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gif" ContentType="image/gif"/>
  <Default Extension="png" ContentType="image/png"/>
  <Default Extension="bmp" ContentType="image/bmp"/>
  <Default Extension="emf" ContentType="image/x-emf"/>
  <Default Extension="wmf" ContentType="image/x-wmf"/>
  <Default Extension="tiff" ContentType="image/tif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
    <w:p> </w:p>
    <w:p> </w:p>
    <w:p>
      <w:pPr>
        <w:jc w:val="center"/>
        <w:pStyle w:val="Figure"/>
      </w:pPr>
      <w:r>
        <w:rPr/>
        <w:drawing>
          <wp:inline distT="0" distB="0" distL="0" distR="0">
            <wp:extent cx="2834640" cy="77724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46"/>
                    <a:srcRect/>
                    <a:stretch>
                      <a:fillRect/>
                    </a:stretch>
                  </pic:blipFill>
                  <pic:spPr bwMode="auto">
                    <a:xfrm>
                      <a:off x="0" y="0"/>
                      <a:ext cx="39370" cy="10795"/>
                    </a:xfrm>
                    <a:prstGeom prst="rect">
                      <a:avLst/>
                    </a:prstGeom>
                    <a:noFill/>
                  </pic:spPr>
                </pic:pic>
              </a:graphicData>
            </a:graphic>
          </wp:inline>
        </w:drawing>
      </w:r>
    </w:p>
    <w:p> </w:p>
    <w:p> </w:p>
    <w:p> </w:p>
    <w:p w:rsidR="00654871" w:rsidRDefault="008A15EB">
      <w:pPr>
        <w:jc w:val="center"/>
      </w:pPr>
      <w:r>
        <w:rPr>
          <w:rFonts w:ascii="黑体" w:eastAsia="黑体" w:hAnsi="黑体" w:hint="eastAsia"/>
          <w:b/>
          <w:sz w:val="44"/>
          <w:szCs w:val="44"/>
        </w:rPr>
        <w:t>SCFA Metabolomics Assay Final Report</w:t>
      </w:r>
    </w:p>
    <w:p> </w:p>
    <w:p> </w:p>
    <w:p> </w:p>
    <w:p> </w:p>
    <w:p> </w:p>
    <w:p> </w:p>
    <w:p> </w:p>
    <w:p> </w:p>
    <w:p> </w:p>
    <w:br w:type="page"/>
    <w:p w:rsidR="00654871" w:rsidRDefault="008A15EB">
      <w:pPr>
        <w:jc w:val="center"/>
      </w:pPr>
      <w:r>
        <w:rPr>
          <w:rFonts w:ascii="黑体" w:eastAsia="黑体" w:hAnsi="黑体" w:hint="eastAsia"/>
          <w:b/>
          <w:sz w:val="44"/>
          <w:szCs w:val="44"/>
        </w:rPr>
        <w:t>Demo Short-chain fatty acid report</w:t>
      </w:r>
    </w:p>
    <w:p>
      <w:pPr>
        <w:pStyle w:val="1"/>
      </w:pPr>
      <w:bookmarkStart w:id="20" w:name="abstract"/>
      <w:r>
        <w:t xml:space="preserve">Abstract</w:t>
      </w:r>
      <w:bookmarkEnd w:id="20"/>
    </w:p>
    <w:p>
      <w:pPr>
        <w:pStyle w:val="FirstParagraph"/>
      </w:pPr>
      <w:r>
        <w:t xml:space="preserve">Short Chain Fatty Acids (SCFAs), also known as volatile fatty acids, are organic fatty acids composed of 1-6 carbon atoms. The types and quantities of SCFAs mainly depend on the composition of intestinal microbiota, digestion time, host microbial metabolic flux, and the fiber content in the host’s diet, exerting different effects in the metabolic activities of different organs in the human body. Medium Chain Fatty Acids (MCFAs) are single-carboxylic saturated fatty acids with carbon chains ranging from 7 to 12, derived from the breakdown of dietary triglycerides. They serve as biomarkers in the diet and their own biological activity affects human health. Gas Chromatography-Mass Spectrometry (GC-MS) is currently the most widely used and thoroughly researched detection technology for short/medium chain fatty acids. It excels in sensitivity, stability, and separation performance. Our company has developed a targeted quantitative method for detecting 13 types of short/medium chain fatty acids using a gas quality platform with a single needle.</w:t>
      </w:r>
    </w:p>
    <w:p>
      <w:pPr>
        <w:pStyle w:val="1"/>
      </w:pPr>
      <w:bookmarkStart w:id="21" w:name="experimental-procedure"/>
      <w:r>
        <w:t xml:space="preserve">Experimental procedure</w:t>
      </w:r>
      <w:bookmarkEnd w:id="21"/>
    </w:p>
    <w:p>
      <w:pPr>
        <w:pStyle w:val="FirstParagraph"/>
      </w:pPr>
      <w:r>
        <w:t xml:space="preserve">Schematic of the workflow is as follows:</w:t>
      </w:r>
    </w:p>
    <w:p>
      <w:pPr>
        <w:jc w:val="center"/>
        <w:pStyle w:val="Figure"/>
      </w:pPr>
      <w:r>
        <w:rPr/>
        <w:drawing>
          <wp:inline distT="0" distB="0" distL="0" distR="0">
            <wp:extent cx="2743200" cy="274320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47"/>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eeefe4c7-ac24-40ec-8e70-ce97b08c3f0b" w:name="unnamed-chunk-3"/>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eeefe4c7-ac24-40ec-8e70-ce97b08c3f0b"/>
      <w:r>
        <w:t xml:space="preserve">: </w:t>
      </w:r>
      <w:r>
        <w:t xml:space="preserve">Flow chart of metabolomics analysis</w:t>
      </w:r>
    </w:p>
    <w:p>
      <w:pPr>
        <w:pStyle w:val="a0"/>
      </w:pPr>
      <w:r>
        <w:t xml:space="preserve">The types of substances detected in this project are listed in the table below.</w:t>
      </w:r>
    </w:p>
    <w:p>
      <w:pPr>
        <w:pStyle w:val="TableCaption"/>
      </w:pPr>
      <w:r>
        <w:t xml:space="preserve">Table</w:t>
      </w:r>
      <w:bookmarkStart w:id="4521034d-984f-4640-a187-a5e129b19eef" w:name="mtcars"/>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4521034d-984f-4640-a187-a5e129b19eef"/>
      <w:r>
        <w:t xml:space="preserve">: </w:t>
      </w:r>
      <w:r>
        <w:t xml:space="preserve">List of compounds in the panel</w:t>
      </w:r>
    </w:p>
    <w:tbl>
      <w:tblPr>
        <w:tblStyle w:val="Table"/>
        <w:tblLayout w:type="autofit"/>
        <w:jc w:val="center"/>
        <w:tblW w:type="pct" w:w="5000"/>
        <w:tblLook w:firstRow="1" w:lastRow="0" w:firstColumn="1" w:lastColumn="0" w:noHBand="0" w:noVBand="1"/>
      </w:tblPr>
      <w:tr>
        <w:trPr>
          <w:tblHeader/>
        </w:trPr>
        <w:tc>
          <w:p>
            <w:pPr>
              <w:jc w:val="left"/>
            </w:pPr>
            <w:r>
              <w:t>Number</w:t>
            </w:r>
          </w:p>
        </w:tc>
        <w:tc>
          <w:p>
            <w:pPr>
              <w:jc w:val="left"/>
            </w:pPr>
            <w:r>
              <w:t>Compounds</w:t>
            </w:r>
          </w:p>
        </w:tc>
        <w:tc>
          <w:p>
            <w:pPr>
              <w:jc w:val="left"/>
            </w:pPr>
            <w:r>
              <w:t>Index</w:t>
            </w:r>
          </w:p>
        </w:tc>
      </w:tr>
      <w:tr>
        <w:tc>
          <w:p>
            <w:pPr>
              <w:jc w:val="left"/>
            </w:pPr>
            <w:r>
              <w:t>1</w:t>
            </w:r>
          </w:p>
        </w:tc>
        <w:tc>
          <w:p>
            <w:pPr>
              <w:jc w:val="left"/>
            </w:pPr>
            <w:r>
              <w:t>Acetic acid</w:t>
            </w:r>
          </w:p>
        </w:tc>
        <w:tc>
          <w:p>
            <w:pPr>
              <w:jc w:val="left"/>
            </w:pPr>
            <w:r>
              <w:t>Acetate</w:t>
            </w:r>
          </w:p>
        </w:tc>
      </w:tr>
      <w:tr>
        <w:tc>
          <w:p>
            <w:pPr>
              <w:jc w:val="left"/>
            </w:pPr>
            <w:r>
              <w:t>2</w:t>
            </w:r>
          </w:p>
        </w:tc>
        <w:tc>
          <w:p>
            <w:pPr>
              <w:jc w:val="left"/>
            </w:pPr>
            <w:r>
              <w:t>Propionic acid</w:t>
            </w:r>
          </w:p>
        </w:tc>
        <w:tc>
          <w:p>
            <w:pPr>
              <w:jc w:val="left"/>
            </w:pPr>
            <w:r>
              <w:t>Propionate</w:t>
            </w:r>
          </w:p>
        </w:tc>
      </w:tr>
      <w:tr>
        <w:tc>
          <w:p>
            <w:pPr>
              <w:jc w:val="left"/>
            </w:pPr>
            <w:r>
              <w:t>3</w:t>
            </w:r>
          </w:p>
        </w:tc>
        <w:tc>
          <w:p>
            <w:pPr>
              <w:jc w:val="left"/>
            </w:pPr>
            <w:r>
              <w:t>Isobutyric acid</w:t>
            </w:r>
          </w:p>
        </w:tc>
        <w:tc>
          <w:p>
            <w:pPr>
              <w:jc w:val="left"/>
            </w:pPr>
            <w:r>
              <w:t>Isobutyrate</w:t>
            </w:r>
          </w:p>
        </w:tc>
      </w:tr>
      <w:tr>
        <w:tc>
          <w:p>
            <w:pPr>
              <w:jc w:val="left"/>
            </w:pPr>
            <w:r>
              <w:t>4</w:t>
            </w:r>
          </w:p>
        </w:tc>
        <w:tc>
          <w:p>
            <w:pPr>
              <w:jc w:val="left"/>
            </w:pPr>
            <w:r>
              <w:t>Butyric acid</w:t>
            </w:r>
          </w:p>
        </w:tc>
        <w:tc>
          <w:p>
            <w:pPr>
              <w:jc w:val="left"/>
            </w:pPr>
            <w:r>
              <w:t>Butyrate</w:t>
            </w:r>
          </w:p>
        </w:tc>
      </w:tr>
      <w:tr>
        <w:tc>
          <w:p>
            <w:pPr>
              <w:jc w:val="left"/>
            </w:pPr>
            <w:r>
              <w:t>5</w:t>
            </w:r>
          </w:p>
        </w:tc>
        <w:tc>
          <w:p>
            <w:pPr>
              <w:jc w:val="left"/>
            </w:pPr>
            <w:r>
              <w:t>2-Methylbutyric acid</w:t>
            </w:r>
          </w:p>
        </w:tc>
        <w:tc>
          <w:p>
            <w:pPr>
              <w:jc w:val="left"/>
            </w:pPr>
            <w:r>
              <w:t>2MBA</w:t>
            </w:r>
          </w:p>
        </w:tc>
      </w:tr>
      <w:tr>
        <w:tc>
          <w:p>
            <w:pPr>
              <w:jc w:val="left"/>
            </w:pPr>
            <w:r>
              <w:t>6</w:t>
            </w:r>
          </w:p>
        </w:tc>
        <w:tc>
          <w:p>
            <w:pPr>
              <w:jc w:val="left"/>
            </w:pPr>
            <w:r>
              <w:t>Isovaleric acid</w:t>
            </w:r>
          </w:p>
        </w:tc>
        <w:tc>
          <w:p>
            <w:pPr>
              <w:jc w:val="left"/>
            </w:pPr>
            <w:r>
              <w:t>Isovalerate</w:t>
            </w:r>
          </w:p>
        </w:tc>
      </w:tr>
      <w:tr>
        <w:tc>
          <w:p>
            <w:pPr>
              <w:jc w:val="left"/>
            </w:pPr>
            <w:r>
              <w:t>7</w:t>
            </w:r>
          </w:p>
        </w:tc>
        <w:tc>
          <w:p>
            <w:pPr>
              <w:jc w:val="left"/>
            </w:pPr>
            <w:r>
              <w:t>Crotonic acid</w:t>
            </w:r>
          </w:p>
        </w:tc>
        <w:tc>
          <w:p>
            <w:pPr>
              <w:jc w:val="left"/>
            </w:pPr>
            <w:r>
              <w:t>Crotonate</w:t>
            </w:r>
          </w:p>
        </w:tc>
      </w:tr>
      <w:tr>
        <w:tc>
          <w:p>
            <w:pPr>
              <w:jc w:val="left"/>
            </w:pPr>
            <w:r>
              <w:t>8</w:t>
            </w:r>
          </w:p>
        </w:tc>
        <w:tc>
          <w:p>
            <w:pPr>
              <w:jc w:val="left"/>
            </w:pPr>
            <w:r>
              <w:t>Valeric acid</w:t>
            </w:r>
          </w:p>
        </w:tc>
        <w:tc>
          <w:p>
            <w:pPr>
              <w:jc w:val="left"/>
            </w:pPr>
            <w:r>
              <w:t>Valerate</w:t>
            </w:r>
          </w:p>
        </w:tc>
      </w:tr>
      <w:tr>
        <w:tc>
          <w:p>
            <w:pPr>
              <w:jc w:val="left"/>
            </w:pPr>
            <w:r>
              <w:t>9</w:t>
            </w:r>
          </w:p>
        </w:tc>
        <w:tc>
          <w:p>
            <w:pPr>
              <w:jc w:val="left"/>
            </w:pPr>
            <w:r>
              <w:t>Isohexanoic acid</w:t>
            </w:r>
          </w:p>
        </w:tc>
        <w:tc>
          <w:p>
            <w:pPr>
              <w:jc w:val="left"/>
            </w:pPr>
            <w:r>
              <w:t>Isohexanoate</w:t>
            </w:r>
          </w:p>
        </w:tc>
      </w:tr>
      <w:tr>
        <w:tc>
          <w:p>
            <w:pPr>
              <w:jc w:val="left"/>
            </w:pPr>
            <w:r>
              <w:t>10</w:t>
            </w:r>
          </w:p>
        </w:tc>
        <w:tc>
          <w:p>
            <w:pPr>
              <w:jc w:val="left"/>
            </w:pPr>
            <w:r>
              <w:t>Hexanoic acid</w:t>
            </w:r>
          </w:p>
        </w:tc>
        <w:tc>
          <w:p>
            <w:pPr>
              <w:jc w:val="left"/>
            </w:pPr>
            <w:r>
              <w:t>Hexanoate</w:t>
            </w:r>
          </w:p>
        </w:tc>
      </w:tr>
      <w:tr>
        <w:tc>
          <w:p>
            <w:pPr>
              <w:jc w:val="left"/>
            </w:pPr>
            <w:r>
              <w:t>11</w:t>
            </w:r>
          </w:p>
        </w:tc>
        <w:tc>
          <w:p>
            <w:pPr>
              <w:jc w:val="left"/>
            </w:pPr>
            <w:r>
              <w:t>Heptanoic acid</w:t>
            </w:r>
          </w:p>
        </w:tc>
        <w:tc>
          <w:p>
            <w:pPr>
              <w:jc w:val="left"/>
            </w:pPr>
            <w:r>
              <w:t>Heptanoate</w:t>
            </w:r>
          </w:p>
        </w:tc>
      </w:tr>
      <w:tr>
        <w:tc>
          <w:p>
            <w:pPr>
              <w:jc w:val="left"/>
            </w:pPr>
            <w:r>
              <w:t>12</w:t>
            </w:r>
          </w:p>
        </w:tc>
        <w:tc>
          <w:p>
            <w:pPr>
              <w:jc w:val="left"/>
            </w:pPr>
            <w:r>
              <w:t>Octanoic acid</w:t>
            </w:r>
          </w:p>
        </w:tc>
        <w:tc>
          <w:p>
            <w:pPr>
              <w:jc w:val="left"/>
            </w:pPr>
            <w:r>
              <w:t>Octanoate</w:t>
            </w:r>
          </w:p>
        </w:tc>
      </w:tr>
      <w:tr>
        <w:tc>
          <w:p>
            <w:pPr>
              <w:jc w:val="left"/>
            </w:pPr>
            <w:r>
              <w:t>13</w:t>
            </w:r>
          </w:p>
        </w:tc>
        <w:tc>
          <w:p>
            <w:pPr>
              <w:jc w:val="left"/>
            </w:pPr>
            <w:r>
              <w:t>Decanoic acid</w:t>
            </w:r>
          </w:p>
        </w:tc>
        <w:tc>
          <w:p>
            <w:pPr>
              <w:jc w:val="left"/>
            </w:pPr>
            <w:r>
              <w:t>Decanoate</w:t>
            </w:r>
          </w:p>
        </w:tc>
      </w:tr>
    </w:tbl>
    <w:p>
      <w:pPr>
        <w:pStyle w:val="a0"/>
      </w:pPr>
      <w:hyperlink r:id="rId22">
        <w:r>
          <w:rPr>
            <w:rStyle w:val="ae"/>
          </w:rPr>
          <w:t xml:space="preserve">/data/ion_component.xlsx</w:t>
        </w:r>
      </w:hyperlink>
    </w:p>
    <w:p>
      <w:pPr>
        <w:pStyle w:val="2"/>
      </w:pPr>
      <w:bookmarkStart w:id="23" w:name="sample-information"/>
      <w:r>
        <w:t xml:space="preserve">Sample information</w:t>
      </w:r>
      <w:bookmarkEnd w:id="23"/>
    </w:p>
    <w:p>
      <w:pPr>
        <w:pStyle w:val="FirstParagraph"/>
      </w:pPr>
      <w:r>
        <w:t xml:space="preserve">This project has 3 samples divided into 3 groups. Sample information is shown in the following table:</w:t>
      </w:r>
    </w:p>
    <w:p>
      <w:pPr>
        <w:pStyle w:val="TableCaption"/>
      </w:pPr>
      <w:r>
        <w:t xml:space="preserve">Table</w:t>
      </w:r>
      <w:bookmarkStart w:id="a0a4c8e8-b9fe-412e-a19d-ed9b30334e57" w:name="mtcars"/>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a0a4c8e8-b9fe-412e-a19d-ed9b30334e57"/>
      <w:r>
        <w:t xml:space="preserve">: </w:t>
      </w:r>
      <w:r>
        <w:t xml:space="preserve">Sample information table</w:t>
      </w:r>
    </w:p>
    <w:tbl>
      <w:tblPr>
        <w:tblStyle w:val="Table"/>
        <w:tblLayout w:type="autofit"/>
        <w:jc w:val="center"/>
        <w:tblW w:type="pct" w:w="5000"/>
        <w:tblLook w:firstRow="1" w:lastRow="0" w:firstColumn="1" w:lastColumn="0" w:noHBand="0" w:noVBand="1"/>
      </w:tblPr>
      <w:tr>
        <w:trPr>
          <w:tblHeader/>
        </w:trPr>
        <w:tc>
          <w:p>
            <w:pPr>
              <w:jc w:val="left"/>
            </w:pPr>
            <w:r>
              <w:t>Species</w:t>
            </w:r>
          </w:p>
        </w:tc>
        <w:tc>
          <w:p>
            <w:pPr>
              <w:jc w:val="left"/>
            </w:pPr>
            <w:r>
              <w:t>Tissues</w:t>
            </w:r>
          </w:p>
        </w:tc>
        <w:tc>
          <w:p>
            <w:pPr>
              <w:jc w:val="left"/>
            </w:pPr>
            <w:r>
              <w:t>MW_ID</w:t>
            </w:r>
          </w:p>
        </w:tc>
        <w:tc>
          <w:p>
            <w:pPr>
              <w:jc w:val="left"/>
            </w:pPr>
            <w:r>
              <w:t>Sample_ID</w:t>
            </w:r>
          </w:p>
        </w:tc>
      </w:tr>
      <w:tr>
        <w:tc>
          <w:p>
            <w:pPr>
              <w:jc w:val="left"/>
            </w:pPr>
            <w:r>
              <w:t>-</w:t>
            </w:r>
          </w:p>
        </w:tc>
        <w:tc>
          <w:p>
            <w:pPr>
              <w:jc w:val="left"/>
            </w:pPr>
            <w:r>
              <w:t>-</w:t>
            </w:r>
          </w:p>
        </w:tc>
        <w:tc>
          <w:p>
            <w:pPr>
              <w:jc w:val="left"/>
            </w:pPr>
            <w:r>
              <w:t>A</w:t>
            </w:r>
          </w:p>
        </w:tc>
        <w:tc>
          <w:p>
            <w:pPr>
              <w:jc w:val="left"/>
            </w:pPr>
            <w:r>
              <w:t>A</w:t>
            </w:r>
          </w:p>
        </w:tc>
      </w:tr>
      <w:tr>
        <w:tc>
          <w:p>
            <w:pPr>
              <w:jc w:val="left"/>
            </w:pPr>
            <w:r>
              <w:t>-</w:t>
            </w:r>
          </w:p>
        </w:tc>
        <w:tc>
          <w:p>
            <w:pPr>
              <w:jc w:val="left"/>
            </w:pPr>
            <w:r>
              <w:t>-</w:t>
            </w:r>
          </w:p>
        </w:tc>
        <w:tc>
          <w:p>
            <w:pPr>
              <w:jc w:val="left"/>
            </w:pPr>
            <w:r>
              <w:t>B</w:t>
            </w:r>
          </w:p>
        </w:tc>
        <w:tc>
          <w:p>
            <w:pPr>
              <w:jc w:val="left"/>
            </w:pPr>
            <w:r>
              <w:t>B</w:t>
            </w:r>
          </w:p>
        </w:tc>
      </w:tr>
      <w:tr>
        <w:tc>
          <w:p>
            <w:pPr>
              <w:jc w:val="left"/>
            </w:pPr>
            <w:r>
              <w:t>-</w:t>
            </w:r>
          </w:p>
        </w:tc>
        <w:tc>
          <w:p>
            <w:pPr>
              <w:jc w:val="left"/>
            </w:pPr>
            <w:r>
              <w:t>-</w:t>
            </w:r>
          </w:p>
        </w:tc>
        <w:tc>
          <w:p>
            <w:pPr>
              <w:jc w:val="left"/>
            </w:pPr>
            <w:r>
              <w:t>C</w:t>
            </w:r>
          </w:p>
        </w:tc>
        <w:tc>
          <w:p>
            <w:pPr>
              <w:jc w:val="left"/>
            </w:pPr>
            <w:r>
              <w:t>C</w:t>
            </w:r>
          </w:p>
        </w:tc>
      </w:tr>
    </w:tbl>
    <w:p>
      <w:pPr>
        <w:pStyle w:val="a0"/>
      </w:pPr>
      <w:hyperlink r:id="rId24">
        <w:r>
          <w:rPr>
            <w:rStyle w:val="ae"/>
          </w:rPr>
          <w:t xml:space="preserve">Original file path: Final report/0.data/sample_info.xlsx</w:t>
        </w:r>
      </w:hyperlink>
    </w:p>
    <w:p>
      <w:pPr>
        <w:pStyle w:val="2"/>
      </w:pPr>
      <w:bookmarkStart w:id="25" w:name="sample-processing"/>
      <w:r>
        <w:t xml:space="preserve">Sample processing</w:t>
      </w:r>
      <w:bookmarkEnd w:id="25"/>
    </w:p>
    <w:p>
      <w:pPr>
        <w:pStyle w:val="FirstParagraph"/>
      </w:pPr>
      <w:r>
        <w:t xml:space="preserve">Human fecal samples (~15-20 mg) were weighed into Bead Ruptor tubes (2 ml containing 2.8 mm ceramic beads, Omni International). Extraction solution (1 ml) consisting of 50% methanol (1:1 methanol: water) containing 10 µM each 2-ethyl-butyric acid, D3-acetic acid, D5-propionic acid, and D7-butyric acid (internal standards, all from Sigma), adjusted with sodium hydroxide to 25 mM, was added. A blank, with extraction solution but no sample, was also prepared.</w:t>
      </w:r>
    </w:p>
    <w:p>
      <w:pPr>
        <w:pStyle w:val="a0"/>
      </w:pPr>
      <w:r>
        <w:t xml:space="preserve">Samples were homogenized using a Bead Ruptor 12 (Omni International) (setting 5.5, 30 s, 2 cycles, with cooling on ice between cycles), and centrifuged samples directly in Bead Ruptor tubes (4°C, 10 min, 13,000 rpm/ 18,000g). Portions (20 and 50 µl) of the supernatant were dried using a Speedvac centrifugal evaporator (Savant/ Thermo).</w:t>
      </w:r>
    </w:p>
    <w:p>
      <w:pPr>
        <w:pStyle w:val="a0"/>
      </w:pPr>
      <w:r>
        <w:t xml:space="preserve">Dried samples were resuspended in 50 µl sodium hydroxide solution (25 mM). In parallel, a 25 mM NaOH blank and a range of 12 standards containing from 10 pmol up to 5 nmol equimolar amounts of 17 standards including 13 SCFA analytes and 4 internal compounds (listed below) (in 25 mM NaOH) were prepared.</w:t>
      </w:r>
    </w:p>
    <w:p>
      <w:pPr>
        <w:pStyle w:val="a0"/>
      </w:pPr>
      <w:r>
        <w:t xml:space="preserve">Samples and standards were derivatized with the addition of 100 µl 2,3,4,5,6-pentafluorobenzylbromide (Sigma), 172 mM in acetone (Fisher GC grade), and incubation for 30 min at 60°C with shaking (650 rpm). After cooling to room temperature. 750 µl water and 60 µl chloroform was added. Tubes were vortexed briefly and centrifuged (10000 g, 5 min). The lower chloroform phases were transferred to GC-MS vial inserts for analysis.</w:t>
      </w:r>
    </w:p>
    <w:p>
      <w:pPr>
        <w:pStyle w:val="a0"/>
      </w:pPr>
      <w:r>
        <w:t xml:space="preserve">Samples and standards were analyzed using a Thermo GC Trace 1610-TSQ 9610 MS (MS) with a Thermo TG-S5SILMS column (30 m x 0.25 i.d. x 0.25 μm). The GC-MS was programmed with an injection temperature of 250°C, 0.5 µl splitless injection volume. The GC oven temperature was initially 90°C for 2.5 min, rising to 150°C at 5°C/min, and to 280°C at 50°C/min with a final hold at this temperature for 2 min. GC flow rate, with helium as the carrier gas, was 1.2 ml/min. The GC-MS interface temperature was 300°C and ion source temperature was 200°C. A negative chemical ionization source was used with negative polarity and a methane flow of 1.25 ml/min. Mass fragments in the m/z range 43-400 were scanned. SCFA were quantified using the following ions: acetate, 59; D3-acetate, 62; propionate, 73; D5-propionate, 78; isobutyrate and butyrate, 87; D7-butyrate, 94; 2-methylbutyrate, valerate and isovalerate, 101; crotonate, 85; 2-ethylbutyrate, hexanoate and isohexanoate, 115; heptanoate, 129; octanoate, 143; decanoate, 171. Calibration was done in Chromeleon (Thermo), and metabolite amounts were adjusted for recovery of the deuterated internal standards for acetate, propionate and butyrate, or 2-ethylbutyrate for other SCFA.</w:t>
      </w:r>
    </w:p>
    <w:p>
      <w:pPr>
        <w:pStyle w:val="1"/>
      </w:pPr>
      <w:bookmarkStart w:id="26" w:name="data-evaluation"/>
      <w:r>
        <w:t xml:space="preserve">Data evaluation</w:t>
      </w:r>
      <w:bookmarkEnd w:id="26"/>
    </w:p>
    <w:p>
      <w:pPr>
        <w:pStyle w:val="2"/>
      </w:pPr>
      <w:bookmarkStart w:id="27" w:name="standard-curve"/>
      <w:r>
        <w:t xml:space="preserve">Standard curve</w:t>
      </w:r>
      <w:bookmarkEnd w:id="27"/>
    </w:p>
    <w:p>
      <w:pPr>
        <w:pStyle w:val="FirstParagraph"/>
      </w:pPr>
      <w:r>
        <w:t xml:space="preserve">The standard solutions (0.01 nmol/mL, 0.02 nmol/mL, 0.05 nmol/mL, 0.1 nmol/mL, 0.2 nmol/mL, 0.5 nmol/mL, 1 nmol/mL, 2 nmol/mL, 5 nmol/mL, 10 nmol/mL, 20 nmol/mL, 50 nmol/mL) were employed in GC-NCI-MS for data collection, where a calibration curve was generated to establish the functional relationship between peak area and standard sample concentration. This calibration curve was then utilized to perform quantitative analysis of the sample target.</w:t>
      </w:r>
    </w:p>
    <w:p>
      <w:pPr>
        <w:pStyle w:val="TableCaption"/>
      </w:pPr>
      <w:r>
        <w:t xml:space="preserve">Table</w:t>
      </w:r>
      <w:bookmarkStart w:id="9f854987-b8aa-4e04-b264-26bac76d8aac" w:name="mtcars"/>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9f854987-b8aa-4e04-b264-26bac76d8aac"/>
      <w:r>
        <w:t xml:space="preserve">: </w:t>
      </w:r>
      <w:r>
        <w:t xml:space="preserve">Equation of calibration curve</w:t>
      </w:r>
    </w:p>
    <w:tbl>
      <w:tblPr>
        <w:tblStyle w:val="Table"/>
        <w:tblLayout w:type="autofit"/>
        <w:jc w:val="center"/>
        <w:tblW w:type="pct" w:w="5000"/>
        <w:tblLook w:firstRow="1" w:lastRow="0" w:firstColumn="1" w:lastColumn="0" w:noHBand="0" w:noVBand="1"/>
      </w:tblPr>
      <w:tr>
        <w:trPr>
          <w:tblHeader/>
        </w:trPr>
        <w:tc>
          <w:p>
            <w:pPr>
              <w:jc w:val="left"/>
            </w:pPr>
            <w:r>
              <w:t>Index</w:t>
            </w:r>
          </w:p>
        </w:tc>
        <w:tc>
          <w:p>
            <w:pPr>
              <w:jc w:val="left"/>
            </w:pPr>
            <w:r>
              <w:t>Name</w:t>
            </w:r>
          </w:p>
        </w:tc>
        <w:tc>
          <w:p>
            <w:pPr>
              <w:jc w:val="left"/>
            </w:pPr>
            <w:r>
              <w:t>RT</w:t>
            </w:r>
          </w:p>
        </w:tc>
        <w:tc>
          <w:p>
            <w:pPr>
              <w:jc w:val="left"/>
            </w:pPr>
            <w:r>
              <w:t>Equation</w:t>
            </w:r>
          </w:p>
        </w:tc>
      </w:tr>
      <w:tr>
        <w:tc>
          <w:p>
            <w:pPr>
              <w:jc w:val="left"/>
            </w:pPr>
            <w:r>
              <w:t>Acetate</w:t>
            </w:r>
          </w:p>
        </w:tc>
        <w:tc>
          <w:p>
            <w:pPr>
              <w:jc w:val="left"/>
            </w:pPr>
            <w:r>
              <w:t>Acetic acid</w:t>
            </w:r>
          </w:p>
        </w:tc>
        <w:tc>
          <w:p>
            <w:pPr>
              <w:jc w:val="left"/>
            </w:pPr>
            <w:r>
              <w:t>5.38</w:t>
            </w:r>
          </w:p>
        </w:tc>
        <w:tc>
          <w:p>
            <w:pPr>
              <w:jc w:val="left"/>
            </w:pPr>
            <w:r>
              <w:t>y = -62.3682350739208 * x^2  + 19476.5603533403 * x  + 110488.539125503</w:t>
            </w:r>
          </w:p>
        </w:tc>
      </w:tr>
      <w:tr>
        <w:tc>
          <w:p>
            <w:pPr>
              <w:jc w:val="left"/>
            </w:pPr>
            <w:r>
              <w:t>Propionate</w:t>
            </w:r>
          </w:p>
        </w:tc>
        <w:tc>
          <w:p>
            <w:pPr>
              <w:jc w:val="left"/>
            </w:pPr>
            <w:r>
              <w:t>Propionic acid</w:t>
            </w:r>
          </w:p>
        </w:tc>
        <w:tc>
          <w:p>
            <w:pPr>
              <w:jc w:val="left"/>
            </w:pPr>
            <w:r>
              <w:t>7.315</w:t>
            </w:r>
          </w:p>
        </w:tc>
        <w:tc>
          <w:p>
            <w:pPr>
              <w:jc w:val="left"/>
            </w:pPr>
            <w:r>
              <w:t>y = -259.338736776546 * x^2  + 47301.6589650842 * x  + 51756.9677425556</w:t>
            </w:r>
          </w:p>
        </w:tc>
      </w:tr>
      <w:tr>
        <w:tc>
          <w:p>
            <w:pPr>
              <w:jc w:val="left"/>
            </w:pPr>
            <w:r>
              <w:t>Isobutyrate</w:t>
            </w:r>
          </w:p>
        </w:tc>
        <w:tc>
          <w:p>
            <w:pPr>
              <w:jc w:val="left"/>
            </w:pPr>
            <w:r>
              <w:t>Isobutyric acid</w:t>
            </w:r>
          </w:p>
        </w:tc>
        <w:tc>
          <w:p>
            <w:pPr>
              <w:jc w:val="left"/>
            </w:pPr>
            <w:r>
              <w:t>8.15</w:t>
            </w:r>
          </w:p>
        </w:tc>
        <w:tc>
          <w:p>
            <w:pPr>
              <w:jc w:val="left"/>
            </w:pPr>
            <w:r>
              <w:t>y = 115815.371118614 * x^0.896141086023827</w:t>
            </w:r>
          </w:p>
        </w:tc>
      </w:tr>
      <w:tr>
        <w:tc>
          <w:p>
            <w:pPr>
              <w:jc w:val="left"/>
            </w:pPr>
            <w:r>
              <w:t>Butyrate</w:t>
            </w:r>
          </w:p>
        </w:tc>
        <w:tc>
          <w:p>
            <w:pPr>
              <w:jc w:val="left"/>
            </w:pPr>
            <w:r>
              <w:t>Butyric acid</w:t>
            </w:r>
          </w:p>
        </w:tc>
        <w:tc>
          <w:p>
            <w:pPr>
              <w:jc w:val="left"/>
            </w:pPr>
            <w:r>
              <w:t>9.344</w:t>
            </w:r>
          </w:p>
        </w:tc>
        <w:tc>
          <w:p>
            <w:pPr>
              <w:jc w:val="left"/>
            </w:pPr>
            <w:r>
              <w:t>y = 96329.6157939069 * x^0.889101815725758</w:t>
            </w:r>
          </w:p>
        </w:tc>
      </w:tr>
      <w:tr>
        <w:tc>
          <w:p>
            <w:pPr>
              <w:jc w:val="left"/>
            </w:pPr>
            <w:r>
              <w:t>2MBA</w:t>
            </w:r>
          </w:p>
        </w:tc>
        <w:tc>
          <w:p>
            <w:pPr>
              <w:jc w:val="left"/>
            </w:pPr>
            <w:r>
              <w:t>2-Methylbutyric acid</w:t>
            </w:r>
          </w:p>
        </w:tc>
        <w:tc>
          <w:p>
            <w:pPr>
              <w:jc w:val="left"/>
            </w:pPr>
            <w:r>
              <w:t>10.508</w:t>
            </w:r>
          </w:p>
        </w:tc>
        <w:tc>
          <w:p>
            <w:pPr>
              <w:jc w:val="left"/>
            </w:pPr>
            <w:r>
              <w:t>y = 166359.764906198 * x^0.958843900975324</w:t>
            </w:r>
          </w:p>
        </w:tc>
      </w:tr>
      <w:tr>
        <w:tc>
          <w:p>
            <w:pPr>
              <w:jc w:val="left"/>
            </w:pPr>
            <w:r>
              <w:t>Isovalerate</w:t>
            </w:r>
          </w:p>
        </w:tc>
        <w:tc>
          <w:p>
            <w:pPr>
              <w:jc w:val="left"/>
            </w:pPr>
            <w:r>
              <w:t>Isovaleric acid</w:t>
            </w:r>
          </w:p>
        </w:tc>
        <w:tc>
          <w:p>
            <w:pPr>
              <w:jc w:val="left"/>
            </w:pPr>
            <w:r>
              <w:t>10.712</w:t>
            </w:r>
          </w:p>
        </w:tc>
        <w:tc>
          <w:p>
            <w:pPr>
              <w:jc w:val="left"/>
            </w:pPr>
            <w:r>
              <w:t>y = 150357.844638145 * x^0.964226908615627</w:t>
            </w:r>
          </w:p>
        </w:tc>
      </w:tr>
      <w:tr>
        <w:tc>
          <w:p>
            <w:pPr>
              <w:jc w:val="left"/>
            </w:pPr>
            <w:r>
              <w:t>Crotonate</w:t>
            </w:r>
          </w:p>
        </w:tc>
        <w:tc>
          <w:p>
            <w:pPr>
              <w:jc w:val="left"/>
            </w:pPr>
            <w:r>
              <w:t>Crotonic acid</w:t>
            </w:r>
          </w:p>
        </w:tc>
        <w:tc>
          <w:p>
            <w:pPr>
              <w:jc w:val="left"/>
            </w:pPr>
            <w:r>
              <w:t>10.243</w:t>
            </w:r>
          </w:p>
        </w:tc>
        <w:tc>
          <w:p>
            <w:pPr>
              <w:jc w:val="left"/>
            </w:pPr>
            <w:r>
              <w:t>y = 74684.4148013682 * x^0.945014070983808</w:t>
            </w:r>
          </w:p>
        </w:tc>
      </w:tr>
      <w:tr>
        <w:tc>
          <w:p>
            <w:pPr>
              <w:jc w:val="left"/>
            </w:pPr>
            <w:r>
              <w:t>Valerate</w:t>
            </w:r>
          </w:p>
        </w:tc>
        <w:tc>
          <w:p>
            <w:pPr>
              <w:jc w:val="left"/>
            </w:pPr>
            <w:r>
              <w:t>Valeric acid</w:t>
            </w:r>
          </w:p>
        </w:tc>
        <w:tc>
          <w:p>
            <w:pPr>
              <w:jc w:val="left"/>
            </w:pPr>
            <w:r>
              <w:t>11.671</w:t>
            </w:r>
          </w:p>
        </w:tc>
        <w:tc>
          <w:p>
            <w:pPr>
              <w:jc w:val="left"/>
            </w:pPr>
            <w:r>
              <w:t>y = 131132.175616482 * x^0.935826338471052</w:t>
            </w:r>
          </w:p>
        </w:tc>
      </w:tr>
      <w:tr>
        <w:tc>
          <w:p>
            <w:pPr>
              <w:jc w:val="left"/>
            </w:pPr>
            <w:r>
              <w:t>Isohexanoate</w:t>
            </w:r>
          </w:p>
        </w:tc>
        <w:tc>
          <w:p>
            <w:pPr>
              <w:jc w:val="left"/>
            </w:pPr>
            <w:r>
              <w:t>Isohexanoic acid</w:t>
            </w:r>
          </w:p>
        </w:tc>
        <w:tc>
          <w:p>
            <w:pPr>
              <w:jc w:val="left"/>
            </w:pPr>
            <w:r>
              <w:t>13.127</w:t>
            </w:r>
          </w:p>
        </w:tc>
        <w:tc>
          <w:p>
            <w:pPr>
              <w:jc w:val="left"/>
            </w:pPr>
            <w:r>
              <w:t>y = 147017.571963013 * x^0.999768930247744</w:t>
            </w:r>
          </w:p>
        </w:tc>
      </w:tr>
      <w:tr>
        <w:tc>
          <w:p>
            <w:pPr>
              <w:jc w:val="left"/>
            </w:pPr>
            <w:r>
              <w:t>Hexanoate</w:t>
            </w:r>
          </w:p>
        </w:tc>
        <w:tc>
          <w:p>
            <w:pPr>
              <w:jc w:val="left"/>
            </w:pPr>
            <w:r>
              <w:t>Hexanoic acid</w:t>
            </w:r>
          </w:p>
        </w:tc>
        <w:tc>
          <w:p>
            <w:pPr>
              <w:jc w:val="left"/>
            </w:pPr>
            <w:r>
              <w:t>13.995999999999999</w:t>
            </w:r>
          </w:p>
        </w:tc>
        <w:tc>
          <w:p>
            <w:pPr>
              <w:jc w:val="left"/>
            </w:pPr>
            <w:r>
              <w:t>y = 141346.305759957 * x^0.939507208187343</w:t>
            </w:r>
          </w:p>
        </w:tc>
      </w:tr>
    </w:tbl>
    <w:p>
      <w:pPr>
        <w:pStyle w:val="a0"/>
      </w:pPr>
      <w:hyperlink r:id="rId28">
        <w:r>
          <w:rPr>
            <w:rStyle w:val="ae"/>
          </w:rPr>
          <w:t xml:space="preserve">/0.data/equation.xlsx</w:t>
        </w:r>
      </w:hyperlink>
    </w:p>
    <w:p>
      <w:pPr>
        <w:pStyle w:val="2"/>
      </w:pPr>
      <w:bookmarkStart w:id="29" w:name="sample-abundance"/>
      <w:r>
        <w:t xml:space="preserve">Sample abundance</w:t>
      </w:r>
      <w:bookmarkEnd w:id="29"/>
    </w:p>
    <w:p>
      <w:pPr>
        <w:pStyle w:val="FirstParagraph"/>
      </w:pPr>
      <w:r>
        <w:t xml:space="preserve">The integrated peak areas of all detected samples are plugged into the equation of the standard curve for calculation. Subsequently, these values are further incorporated into the calculation formula to determine the substance content in the actual samples. It’s worth noting that the calculation formula has been standardized into specific units, allowing for direct substitution of corresponding values to obtain the sample content. For instance, the content of Short Chain Fatty Acids in the sample (in nmol/mg) can be calculated as follows:</w:t>
      </w:r>
    </w:p>
    <w:p>
      <w:pPr>
        <w:pStyle w:val="a0"/>
      </w:pPr>
      <w:r>
        <w:t xml:space="preserve">SCFAs abundance (nmol/mg) = c*R*V1/V2/m</w:t>
      </w:r>
    </w:p>
    <w:p>
      <w:pPr>
        <w:pStyle w:val="a0"/>
      </w:pPr>
      <w:r>
        <w:t xml:space="preserve">Where: - c is the concentration value obtained by substituting the integration peak area ratio into the standard curve (nmol/mg).</w:t>
      </w:r>
    </w:p>
    <w:p>
      <w:pPr>
        <w:pStyle w:val="a0"/>
      </w:pPr>
      <w:r>
        <w:t xml:space="preserve">-R: the recovery of the internal standard in the sample;</w:t>
      </w:r>
    </w:p>
    <w:p>
      <w:pPr>
        <w:pStyle w:val="a0"/>
      </w:pPr>
      <w:r>
        <w:t xml:space="preserve">-V1: volume of extraction solution (μL);</w:t>
      </w:r>
    </w:p>
    <w:p>
      <w:pPr>
        <w:pStyle w:val="a0"/>
      </w:pPr>
      <w:r>
        <w:t xml:space="preserve">-V2: volume of supernatant removed (μL);</w:t>
      </w:r>
    </w:p>
    <w:p>
      <w:pPr>
        <w:pStyle w:val="a0"/>
      </w:pPr>
      <w:r>
        <w:t xml:space="preserve">-m: mass of the weighed sample (mg).</w:t>
      </w:r>
    </w:p>
    <w:p>
      <w:pPr>
        <w:pStyle w:val="a0"/>
      </w:pPr>
      <w:r>
        <w:t xml:space="preserve">The metabolite ID, concentration and corresponding metabolite names of some metabolites detected in this experiment are shown in the following table:</w:t>
      </w:r>
    </w:p>
    <w:p>
      <w:pPr>
        <w:pStyle w:val="TableCaption"/>
      </w:pPr>
      <w:r>
        <w:t xml:space="preserve">Table</w:t>
      </w:r>
      <w:bookmarkStart w:id="16b336e7-a956-415b-9585-f6efd30c3a05" w:name="mtcars"/>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16b336e7-a956-415b-9585-f6efd30c3a05"/>
      <w:r>
        <w:t xml:space="preserve">: </w:t>
      </w:r>
      <w:r>
        <w:t xml:space="preserve">Statistical Table of metabolite quantity</w:t>
      </w:r>
    </w:p>
    <w:tbl>
      <w:tblPr>
        <w:tblStyle w:val="Table"/>
        <w:tblLayout w:type="autofit"/>
        <w:jc w:val="center"/>
        <w:tblW w:type="pct" w:w="5000"/>
        <w:tblLook w:firstRow="1" w:lastRow="0" w:firstColumn="1" w:lastColumn="0" w:noHBand="0" w:noVBand="1"/>
      </w:tblPr>
      <w:tr>
        <w:trPr>
          <w:tblHeader/>
        </w:trPr>
        <w:tc>
          <w:p>
            <w:pPr>
              <w:jc w:val="left"/>
            </w:pPr>
            <w:r>
              <w:t>Index</w:t>
            </w:r>
          </w:p>
        </w:tc>
        <w:tc>
          <w:p>
            <w:pPr>
              <w:jc w:val="left"/>
            </w:pPr>
            <w:r>
              <w:t>A</w:t>
            </w:r>
          </w:p>
        </w:tc>
        <w:tc>
          <w:p>
            <w:pPr>
              <w:jc w:val="left"/>
            </w:pPr>
            <w:r>
              <w:t>B</w:t>
            </w:r>
          </w:p>
        </w:tc>
      </w:tr>
      <w:tr>
        <w:tc>
          <w:p>
            <w:pPr>
              <w:jc w:val="left"/>
            </w:pPr>
            <w:r>
              <w:t>Heptanoate</w:t>
            </w:r>
          </w:p>
        </w:tc>
        <w:tc>
          <w:p>
            <w:pPr>
              <w:jc w:val="left"/>
            </w:pPr>
            <w:r>
              <w:t>0.26793</w:t>
            </w:r>
          </w:p>
        </w:tc>
        <w:tc>
          <w:p>
            <w:pPr>
              <w:jc w:val="left"/>
            </w:pPr>
            <w:r>
              <w:t>0.2089</w:t>
            </w:r>
          </w:p>
        </w:tc>
      </w:tr>
      <w:tr>
        <w:tc>
          <w:p>
            <w:pPr>
              <w:jc w:val="left"/>
            </w:pPr>
            <w:r>
              <w:t>Octanoate</w:t>
            </w:r>
          </w:p>
        </w:tc>
        <w:tc>
          <w:p>
            <w:pPr>
              <w:jc w:val="left"/>
            </w:pPr>
            <w:r>
              <w:t>0.0612</w:t>
            </w:r>
          </w:p>
        </w:tc>
        <w:tc>
          <w:p>
            <w:pPr>
              <w:jc w:val="left"/>
            </w:pPr>
            <w:r>
              <w:t>0.048631</w:t>
            </w:r>
          </w:p>
        </w:tc>
      </w:tr>
      <w:tr>
        <w:tc>
          <w:p>
            <w:pPr>
              <w:jc w:val="left"/>
            </w:pPr>
            <w:r>
              <w:t>Decanoate</w:t>
            </w:r>
          </w:p>
        </w:tc>
        <w:tc>
          <w:p>
            <w:pPr>
              <w:jc w:val="left"/>
            </w:pPr>
            <w:r>
              <w:t>0.0137</w:t>
            </w:r>
          </w:p>
        </w:tc>
        <w:tc>
          <w:p>
            <w:pPr>
              <w:jc w:val="left"/>
            </w:pPr>
            <w:r>
              <w:t>0.0293</w:t>
            </w:r>
          </w:p>
        </w:tc>
      </w:tr>
      <w:tr>
        <w:tc>
          <w:p>
            <w:pPr>
              <w:jc w:val="left"/>
            </w:pPr>
            <w:r>
              <w:t>Acetate</w:t>
            </w:r>
          </w:p>
        </w:tc>
        <w:tc>
          <w:p>
            <w:pPr>
              <w:jc w:val="left"/>
            </w:pPr>
            <w:r>
              <w:t>3.5428</w:t>
            </w:r>
          </w:p>
        </w:tc>
        <w:tc>
          <w:p>
            <w:pPr>
              <w:jc w:val="left"/>
            </w:pPr>
            <w:r>
              <w:t>5.5386</w:t>
            </w:r>
          </w:p>
        </w:tc>
      </w:tr>
      <w:tr>
        <w:tc>
          <w:p>
            <w:pPr>
              <w:jc w:val="left"/>
            </w:pPr>
            <w:r>
              <w:t>Propionate</w:t>
            </w:r>
          </w:p>
        </w:tc>
        <w:tc>
          <w:p>
            <w:pPr>
              <w:jc w:val="left"/>
            </w:pPr>
            <w:r>
              <w:t>1.597</w:t>
            </w:r>
          </w:p>
        </w:tc>
        <w:tc>
          <w:p>
            <w:pPr>
              <w:jc w:val="left"/>
            </w:pPr>
            <w:r>
              <w:t>1.125</w:t>
            </w:r>
          </w:p>
        </w:tc>
      </w:tr>
      <w:tr>
        <w:tc>
          <w:p>
            <w:pPr>
              <w:jc w:val="left"/>
            </w:pPr>
            <w:r>
              <w:t>Isobutyrate</w:t>
            </w:r>
          </w:p>
        </w:tc>
        <w:tc>
          <w:p>
            <w:pPr>
              <w:jc w:val="left"/>
            </w:pPr>
            <w:r>
              <w:t>0.9339</w:t>
            </w:r>
          </w:p>
        </w:tc>
        <w:tc>
          <w:p>
            <w:pPr>
              <w:jc w:val="left"/>
            </w:pPr>
            <w:r>
              <w:t>1.5575</w:t>
            </w:r>
          </w:p>
        </w:tc>
      </w:tr>
      <w:tr>
        <w:tc>
          <w:p>
            <w:pPr>
              <w:jc w:val="left"/>
            </w:pPr>
            <w:r>
              <w:t>Butyrate</w:t>
            </w:r>
          </w:p>
        </w:tc>
        <w:tc>
          <w:p>
            <w:pPr>
              <w:jc w:val="left"/>
            </w:pPr>
            <w:r>
              <w:t>9.12581</w:t>
            </w:r>
          </w:p>
        </w:tc>
        <w:tc>
          <w:p>
            <w:pPr>
              <w:jc w:val="left"/>
            </w:pPr>
            <w:r>
              <w:t>11.1971</w:t>
            </w:r>
          </w:p>
        </w:tc>
      </w:tr>
      <w:tr>
        <w:tc>
          <w:p>
            <w:pPr>
              <w:jc w:val="left"/>
            </w:pPr>
            <w:r>
              <w:t>2MBA</w:t>
            </w:r>
          </w:p>
        </w:tc>
        <w:tc>
          <w:p>
            <w:pPr>
              <w:jc w:val="left"/>
            </w:pPr>
            <w:r>
              <w:t>0.5907</w:t>
            </w:r>
          </w:p>
        </w:tc>
        <w:tc>
          <w:p>
            <w:pPr>
              <w:jc w:val="left"/>
            </w:pPr>
            <w:r>
              <w:t>0.8674</w:t>
            </w:r>
          </w:p>
        </w:tc>
      </w:tr>
      <w:tr>
        <w:tc>
          <w:p>
            <w:pPr>
              <w:jc w:val="left"/>
            </w:pPr>
            <w:r>
              <w:t>Isovalerate</w:t>
            </w:r>
          </w:p>
        </w:tc>
        <w:tc>
          <w:p>
            <w:pPr>
              <w:jc w:val="left"/>
            </w:pPr>
            <w:r>
              <w:t>0.742621316</w:t>
            </w:r>
          </w:p>
        </w:tc>
        <w:tc>
          <w:p>
            <w:pPr>
              <w:jc w:val="left"/>
            </w:pPr>
            <w:r>
              <w:t>1.099264636</w:t>
            </w:r>
          </w:p>
        </w:tc>
      </w:tr>
      <w:tr>
        <w:tc>
          <w:p>
            <w:pPr>
              <w:jc w:val="left"/>
            </w:pPr>
            <w:r>
              <w:t>Crotonate</w:t>
            </w:r>
          </w:p>
        </w:tc>
        <w:tc>
          <w:p>
            <w:pPr>
              <w:jc w:val="left"/>
            </w:pPr>
            <w:r>
              <w:t>0.07074</w:t>
            </w:r>
          </w:p>
        </w:tc>
        <w:tc>
          <w:p>
            <w:pPr>
              <w:jc w:val="left"/>
            </w:pPr>
            <w:r>
              <w:t>0.020338</w:t>
            </w:r>
          </w:p>
        </w:tc>
      </w:tr>
    </w:tbl>
    <w:p>
      <w:pPr>
        <w:pStyle w:val="a9"/>
      </w:pPr>
      <w:r>
        <w:t xml:space="preserve">Note:Concentration units is nmol/mg;N/A indicates that the substance was not detected in this project, possibly because the sample contains less than the instrument detection limit or because the sample does not contain the substance;Index: ID;Compounds: the names of metabolites;Class: English Classification of Substances;Q1 (Da): The molecular weight of the parent ion after the material has passed through the ion source;Molecular Weight: Relative molecular weight;Ion mode: Ionization mode (M+H is positively charged, M-H is negatively charged);Formula: the chemical formula of the compound;Sample columns: The amount of each substance in each sample;cpd_ID: ID information of metabolites in KEGG database;CAS: a unique numerical identification number for a substance;kegg_map: KEGG database signal path number</w:t>
      </w:r>
    </w:p>
    <w:p>
      <w:pPr>
        <w:pStyle w:val="FirstParagraph"/>
      </w:pPr>
      <w:hyperlink r:id="rId30">
        <w:r>
          <w:rPr>
            <w:rStyle w:val="ae"/>
          </w:rPr>
          <w:t xml:space="preserve">Original file path: Final report/0.data/*level.xlsx</w:t>
        </w:r>
      </w:hyperlink>
    </w:p>
    <w:p>
      <w:pPr>
        <w:pStyle w:val="2"/>
      </w:pPr>
      <w:bookmarkStart w:id="31" w:name="internal-standards-quality-control"/>
      <w:r>
        <w:t xml:space="preserve">Internal standards quality control</w:t>
      </w:r>
      <w:bookmarkEnd w:id="31"/>
    </w:p>
    <w:p>
      <w:pPr>
        <w:pStyle w:val="FirstParagraph"/>
      </w:pPr>
      <w:r>
        <w:t xml:space="preserve">The coefficient of variation (CV) is the ratio of the standard deviation of the original data to the mean of the original data, which reflects the degree of data dispersion. The coeffecient of variations of internal standards in blank samples are used for the quality control. If the CV values of the internal standards are less than 0.2, it indicates that the experimental data is stable. High stability of the instrument provides important guarantees for the repeatability and reliability of the data.</w:t>
      </w:r>
    </w:p>
    <w:p>
      <w:pPr>
        <w:pStyle w:val="TableCaption"/>
      </w:pPr>
      <w:r>
        <w:t xml:space="preserve">Table</w:t>
      </w:r>
      <w:bookmarkStart w:id="56b63b95-dc8c-476c-a1cd-66974611c7e9" w:name="mtcars"/>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56b63b95-dc8c-476c-a1cd-66974611c7e9"/>
      <w:r>
        <w:t xml:space="preserve">: </w:t>
      </w:r>
      <w:r>
        <w:t xml:space="preserve">CV table of internal standard substances</w:t>
      </w:r>
    </w:p>
    <w:tbl>
      <w:tblPr>
        <w:tblStyle w:val="Table"/>
        <w:tblLayout w:type="autofit"/>
        <w:jc w:val="center"/>
        <w:tblW w:type="pct" w:w="5000"/>
        <w:tblLook w:firstRow="1" w:lastRow="0" w:firstColumn="1" w:lastColumn="0" w:noHBand="0" w:noVBand="1"/>
      </w:tblPr>
      <w:tr>
        <w:trPr>
          <w:tblHeader/>
        </w:trPr>
        <w:tc>
          <w:p>
            <w:pPr>
              <w:jc w:val="left"/>
            </w:pPr>
            <w:r>
              <w:t>Index</w:t>
            </w:r>
          </w:p>
        </w:tc>
        <w:tc>
          <w:p>
            <w:pPr>
              <w:jc w:val="left"/>
            </w:pPr>
            <w:r>
              <w:t>Blank_50μL</w:t>
            </w:r>
          </w:p>
        </w:tc>
        <w:tc>
          <w:p>
            <w:pPr>
              <w:jc w:val="left"/>
            </w:pPr>
            <w:r>
              <w:t>Blank_20μL</w:t>
            </w:r>
          </w:p>
        </w:tc>
        <w:tc>
          <w:p>
            <w:pPr>
              <w:jc w:val="left"/>
            </w:pPr>
            <w:r>
              <w:t>CV</w:t>
            </w:r>
          </w:p>
        </w:tc>
      </w:tr>
      <w:tr>
        <w:tc>
          <w:p>
            <w:pPr>
              <w:jc w:val="left"/>
            </w:pPr>
            <w:r>
              <w:t>IS_2EBA</w:t>
            </w:r>
          </w:p>
        </w:tc>
        <w:tc>
          <w:p>
            <w:pPr>
              <w:jc w:val="left"/>
            </w:pPr>
            <w:r>
              <w:t>0.53</w:t>
            </w:r>
          </w:p>
        </w:tc>
        <w:tc>
          <w:p>
            <w:pPr>
              <w:jc w:val="left"/>
            </w:pPr>
            <w:r>
              <w:t>0.625</w:t>
            </w:r>
          </w:p>
        </w:tc>
        <w:tc>
          <w:p>
            <w:pPr>
              <w:jc w:val="left"/>
            </w:pPr>
            <w:r>
              <w:t>0.11632059603934546</w:t>
            </w:r>
          </w:p>
        </w:tc>
      </w:tr>
      <w:tr>
        <w:tc>
          <w:p>
            <w:pPr>
              <w:jc w:val="left"/>
            </w:pPr>
            <w:r>
              <w:t>IS_D3 acetate</w:t>
            </w:r>
          </w:p>
        </w:tc>
        <w:tc>
          <w:p>
            <w:pPr>
              <w:jc w:val="left"/>
            </w:pPr>
            <w:r>
              <w:t>0.5700000000000001</w:t>
            </w:r>
          </w:p>
        </w:tc>
        <w:tc>
          <w:p>
            <w:pPr>
              <w:jc w:val="left"/>
            </w:pPr>
            <w:r>
              <w:t>0.725</w:t>
            </w:r>
          </w:p>
        </w:tc>
        <w:tc>
          <w:p>
            <w:pPr>
              <w:jc w:val="left"/>
            </w:pPr>
            <w:r>
              <w:t>0.16926880476280282</w:t>
            </w:r>
          </w:p>
        </w:tc>
      </w:tr>
      <w:tr>
        <w:tc>
          <w:p>
            <w:pPr>
              <w:jc w:val="left"/>
            </w:pPr>
            <w:r>
              <w:t>IS_D5 propionate</w:t>
            </w:r>
          </w:p>
        </w:tc>
        <w:tc>
          <w:p>
            <w:pPr>
              <w:jc w:val="left"/>
            </w:pPr>
            <w:r>
              <w:t>0.52</w:t>
            </w:r>
          </w:p>
        </w:tc>
        <w:tc>
          <w:p>
            <w:pPr>
              <w:jc w:val="left"/>
            </w:pPr>
            <w:r>
              <w:t>0.625</w:t>
            </w:r>
          </w:p>
        </w:tc>
        <w:tc>
          <w:p>
            <w:pPr>
              <w:jc w:val="left"/>
            </w:pPr>
            <w:r>
              <w:t>0.1296877065931659</w:t>
            </w:r>
          </w:p>
        </w:tc>
      </w:tr>
      <w:tr>
        <w:tc>
          <w:p>
            <w:pPr>
              <w:jc w:val="left"/>
            </w:pPr>
            <w:r>
              <w:t>IS_D7 butyrate</w:t>
            </w:r>
          </w:p>
        </w:tc>
        <w:tc>
          <w:p>
            <w:pPr>
              <w:jc w:val="left"/>
            </w:pPr>
            <w:r>
              <w:t>0.58</w:t>
            </w:r>
          </w:p>
        </w:tc>
        <w:tc>
          <w:p>
            <w:pPr>
              <w:jc w:val="left"/>
            </w:pPr>
            <w:r>
              <w:t>0.7</w:t>
            </w:r>
          </w:p>
        </w:tc>
        <w:tc>
          <w:p>
            <w:pPr>
              <w:jc w:val="left"/>
            </w:pPr>
            <w:r>
              <w:t>0.13258252147247768</w:t>
            </w:r>
          </w:p>
        </w:tc>
      </w:tr>
    </w:tbl>
    <w:p>
      <w:pPr>
        <w:pStyle w:val="a0"/>
      </w:pPr>
      <w:hyperlink r:id="rId32">
        <w:r>
          <w:rPr>
            <w:rStyle w:val="ae"/>
          </w:rPr>
          <w:t xml:space="preserve">/0.data/blank_result.xlsx</w:t>
        </w:r>
      </w:hyperlink>
    </w:p>
    <w:p>
      <w:pPr>
        <w:pStyle w:val="2"/>
      </w:pPr>
      <w:bookmarkStart w:id="33" w:name="sample-quantification-histogram"/>
      <w:r>
        <w:t xml:space="preserve">Sample quantification histogram</w:t>
      </w:r>
      <w:bookmarkEnd w:id="33"/>
    </w:p>
    <w:p>
      <w:pPr>
        <w:pStyle w:val="FirstParagraph"/>
      </w:pPr>
      <w:r>
        <w:t xml:space="preserve">The results of sample content are grouped by statistics, and the statistical results are shown in the following table.</w:t>
      </w:r>
    </w:p>
    <w:p>
      <w:pPr>
        <w:pStyle w:val="TableCaption"/>
      </w:pPr>
      <w:r>
        <w:t xml:space="preserve">Table</w:t>
      </w:r>
      <w:bookmarkStart w:id="1bb28733-5dd4-4a48-ae1f-5123ec73228d" w:name="mtcars"/>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1bb28733-5dd4-4a48-ae1f-5123ec73228d"/>
      <w:r>
        <w:t xml:space="preserve">: </w:t>
      </w:r>
      <w:r>
        <w:t xml:space="preserve">Statistical results table</w:t>
      </w:r>
    </w:p>
    <w:tbl>
      <w:tblPr>
        <w:tblStyle w:val="Table"/>
        <w:tblLayout w:type="autofit"/>
        <w:jc w:val="center"/>
        <w:tblW w:type="pct" w:w="5000"/>
        <w:tblLook w:firstRow="1" w:lastRow="0" w:firstColumn="1" w:lastColumn="0" w:noHBand="0" w:noVBand="1"/>
      </w:tblPr>
      <w:tr>
        <w:trPr>
          <w:tblHeader/>
        </w:trPr>
        <w:tc>
          <w:p>
            <w:pPr>
              <w:jc w:val="left"/>
            </w:pPr>
            <w:r>
              <w:t>Index</w:t>
            </w:r>
          </w:p>
        </w:tc>
        <w:tc>
          <w:p>
            <w:pPr>
              <w:jc w:val="left"/>
            </w:pPr>
            <w:r>
              <w:t>Group</w:t>
            </w:r>
          </w:p>
        </w:tc>
        <w:tc>
          <w:p>
            <w:pPr>
              <w:jc w:val="left"/>
            </w:pPr>
            <w:r>
              <w:t>N</w:t>
            </w:r>
          </w:p>
        </w:tc>
        <w:tc>
          <w:p>
            <w:pPr>
              <w:jc w:val="left"/>
            </w:pPr>
            <w:r>
              <w:t>Mean</w:t>
            </w:r>
          </w:p>
        </w:tc>
      </w:tr>
      <w:tr>
        <w:tc>
          <w:p>
            <w:pPr>
              <w:jc w:val="left"/>
            </w:pPr>
            <w:r>
              <w:t>2MBA</w:t>
            </w:r>
          </w:p>
        </w:tc>
        <w:tc>
          <w:p>
            <w:pPr>
              <w:jc w:val="left"/>
            </w:pPr>
            <w:r>
              <w:t>C</w:t>
            </w:r>
          </w:p>
        </w:tc>
        <w:tc>
          <w:p>
            <w:pPr>
              <w:jc w:val="left"/>
            </w:pPr>
            <w:r>
              <w:t>1</w:t>
            </w:r>
          </w:p>
        </w:tc>
        <w:tc>
          <w:p>
            <w:pPr>
              <w:jc w:val="left"/>
            </w:pPr>
            <w:r>
              <w:t>0.6703</w:t>
            </w:r>
          </w:p>
        </w:tc>
      </w:tr>
      <w:tr>
        <w:tc>
          <w:p>
            <w:pPr>
              <w:jc w:val="left"/>
            </w:pPr>
            <w:r>
              <w:t>2MBA</w:t>
            </w:r>
          </w:p>
        </w:tc>
        <w:tc>
          <w:p>
            <w:pPr>
              <w:jc w:val="left"/>
            </w:pPr>
            <w:r>
              <w:t>B</w:t>
            </w:r>
          </w:p>
        </w:tc>
        <w:tc>
          <w:p>
            <w:pPr>
              <w:jc w:val="left"/>
            </w:pPr>
            <w:r>
              <w:t>1</w:t>
            </w:r>
          </w:p>
        </w:tc>
        <w:tc>
          <w:p>
            <w:pPr>
              <w:jc w:val="left"/>
            </w:pPr>
            <w:r>
              <w:t>0.8674</w:t>
            </w:r>
          </w:p>
        </w:tc>
      </w:tr>
      <w:tr>
        <w:tc>
          <w:p>
            <w:pPr>
              <w:jc w:val="left"/>
            </w:pPr>
            <w:r>
              <w:t>2MBA</w:t>
            </w:r>
          </w:p>
        </w:tc>
        <w:tc>
          <w:p>
            <w:pPr>
              <w:jc w:val="left"/>
            </w:pPr>
            <w:r>
              <w:t>A</w:t>
            </w:r>
          </w:p>
        </w:tc>
        <w:tc>
          <w:p>
            <w:pPr>
              <w:jc w:val="left"/>
            </w:pPr>
            <w:r>
              <w:t>1</w:t>
            </w:r>
          </w:p>
        </w:tc>
        <w:tc>
          <w:p>
            <w:pPr>
              <w:jc w:val="left"/>
            </w:pPr>
            <w:r>
              <w:t>0.5907</w:t>
            </w:r>
          </w:p>
        </w:tc>
      </w:tr>
      <w:tr>
        <w:tc>
          <w:p>
            <w:pPr>
              <w:jc w:val="left"/>
            </w:pPr>
            <w:r>
              <w:t>Acetate</w:t>
            </w:r>
          </w:p>
        </w:tc>
        <w:tc>
          <w:p>
            <w:pPr>
              <w:jc w:val="left"/>
            </w:pPr>
            <w:r>
              <w:t>C</w:t>
            </w:r>
          </w:p>
        </w:tc>
        <w:tc>
          <w:p>
            <w:pPr>
              <w:jc w:val="left"/>
            </w:pPr>
            <w:r>
              <w:t>1</w:t>
            </w:r>
          </w:p>
        </w:tc>
        <w:tc>
          <w:p>
            <w:pPr>
              <w:jc w:val="left"/>
            </w:pPr>
            <w:r>
              <w:t>5.1899</w:t>
            </w:r>
          </w:p>
        </w:tc>
      </w:tr>
      <w:tr>
        <w:tc>
          <w:p>
            <w:pPr>
              <w:jc w:val="left"/>
            </w:pPr>
            <w:r>
              <w:t>Acetate</w:t>
            </w:r>
          </w:p>
        </w:tc>
        <w:tc>
          <w:p>
            <w:pPr>
              <w:jc w:val="left"/>
            </w:pPr>
            <w:r>
              <w:t>B</w:t>
            </w:r>
          </w:p>
        </w:tc>
        <w:tc>
          <w:p>
            <w:pPr>
              <w:jc w:val="left"/>
            </w:pPr>
            <w:r>
              <w:t>1</w:t>
            </w:r>
          </w:p>
        </w:tc>
        <w:tc>
          <w:p>
            <w:pPr>
              <w:jc w:val="left"/>
            </w:pPr>
            <w:r>
              <w:t>5.5386</w:t>
            </w:r>
          </w:p>
        </w:tc>
      </w:tr>
      <w:tr>
        <w:tc>
          <w:p>
            <w:pPr>
              <w:jc w:val="left"/>
            </w:pPr>
            <w:r>
              <w:t>Acetate</w:t>
            </w:r>
          </w:p>
        </w:tc>
        <w:tc>
          <w:p>
            <w:pPr>
              <w:jc w:val="left"/>
            </w:pPr>
            <w:r>
              <w:t>A</w:t>
            </w:r>
          </w:p>
        </w:tc>
        <w:tc>
          <w:p>
            <w:pPr>
              <w:jc w:val="left"/>
            </w:pPr>
            <w:r>
              <w:t>1</w:t>
            </w:r>
          </w:p>
        </w:tc>
        <w:tc>
          <w:p>
            <w:pPr>
              <w:jc w:val="left"/>
            </w:pPr>
            <w:r>
              <w:t>3.5428</w:t>
            </w:r>
          </w:p>
        </w:tc>
      </w:tr>
      <w:tr>
        <w:tc>
          <w:p>
            <w:pPr>
              <w:jc w:val="left"/>
            </w:pPr>
            <w:r>
              <w:t>Butyrate</w:t>
            </w:r>
          </w:p>
        </w:tc>
        <w:tc>
          <w:p>
            <w:pPr>
              <w:jc w:val="left"/>
            </w:pPr>
            <w:r>
              <w:t>C</w:t>
            </w:r>
          </w:p>
        </w:tc>
        <w:tc>
          <w:p>
            <w:pPr>
              <w:jc w:val="left"/>
            </w:pPr>
            <w:r>
              <w:t>1</w:t>
            </w:r>
          </w:p>
        </w:tc>
        <w:tc>
          <w:p>
            <w:pPr>
              <w:jc w:val="left"/>
            </w:pPr>
            <w:r>
              <w:t>14.769</w:t>
            </w:r>
          </w:p>
        </w:tc>
      </w:tr>
      <w:tr>
        <w:tc>
          <w:p>
            <w:pPr>
              <w:jc w:val="left"/>
            </w:pPr>
            <w:r>
              <w:t>Butyrate</w:t>
            </w:r>
          </w:p>
        </w:tc>
        <w:tc>
          <w:p>
            <w:pPr>
              <w:jc w:val="left"/>
            </w:pPr>
            <w:r>
              <w:t>B</w:t>
            </w:r>
          </w:p>
        </w:tc>
        <w:tc>
          <w:p>
            <w:pPr>
              <w:jc w:val="left"/>
            </w:pPr>
            <w:r>
              <w:t>1</w:t>
            </w:r>
          </w:p>
        </w:tc>
        <w:tc>
          <w:p>
            <w:pPr>
              <w:jc w:val="left"/>
            </w:pPr>
            <w:r>
              <w:t>11.197</w:t>
            </w:r>
          </w:p>
        </w:tc>
      </w:tr>
      <w:tr>
        <w:tc>
          <w:p>
            <w:pPr>
              <w:jc w:val="left"/>
            </w:pPr>
            <w:r>
              <w:t>Butyrate</w:t>
            </w:r>
          </w:p>
        </w:tc>
        <w:tc>
          <w:p>
            <w:pPr>
              <w:jc w:val="left"/>
            </w:pPr>
            <w:r>
              <w:t>A</w:t>
            </w:r>
          </w:p>
        </w:tc>
        <w:tc>
          <w:p>
            <w:pPr>
              <w:jc w:val="left"/>
            </w:pPr>
            <w:r>
              <w:t>1</w:t>
            </w:r>
          </w:p>
        </w:tc>
        <w:tc>
          <w:p>
            <w:pPr>
              <w:jc w:val="left"/>
            </w:pPr>
            <w:r>
              <w:t>9.1258</w:t>
            </w:r>
          </w:p>
        </w:tc>
      </w:tr>
      <w:tr>
        <w:tc>
          <w:p>
            <w:pPr>
              <w:jc w:val="left"/>
            </w:pPr>
            <w:r>
              <w:t>Crotonate</w:t>
            </w:r>
          </w:p>
        </w:tc>
        <w:tc>
          <w:p>
            <w:pPr>
              <w:jc w:val="left"/>
            </w:pPr>
            <w:r>
              <w:t>C</w:t>
            </w:r>
          </w:p>
        </w:tc>
        <w:tc>
          <w:p>
            <w:pPr>
              <w:jc w:val="left"/>
            </w:pPr>
            <w:r>
              <w:t>1</w:t>
            </w:r>
          </w:p>
        </w:tc>
        <w:tc>
          <w:p>
            <w:pPr>
              <w:jc w:val="left"/>
            </w:pPr>
            <w:r>
              <w:t>0.094301</w:t>
            </w:r>
          </w:p>
        </w:tc>
      </w:tr>
    </w:tbl>
    <w:p>
      <w:pPr>
        <w:pStyle w:val="a9"/>
      </w:pPr>
      <w:r>
        <w:t xml:space="preserve">Note:Index is abbreviation of compound;N is the number of non-N/A data in the corresponding group;SD is standard deviation;SE is standard error;Content units nmol/mg</w:t>
      </w:r>
    </w:p>
    <w:p>
      <w:pPr>
        <w:pStyle w:val="FirstParagraph"/>
      </w:pPr>
      <w:hyperlink r:id="rId34">
        <w:r>
          <w:rPr>
            <w:rStyle w:val="ae"/>
          </w:rPr>
          <w:t xml:space="preserve">Original file path: Final report/1.Data_Assess/histogram/groups*.xlsx</w:t>
        </w:r>
      </w:hyperlink>
    </w:p>
    <w:p>
      <w:pPr>
        <w:pStyle w:val="a0"/>
      </w:pPr>
      <w:r>
        <w:t xml:space="preserve">The bar chart below shows the content difference of each substance in different groups.</w:t>
      </w:r>
    </w:p>
    <w:p>
      <w:pPr>
        <w:jc w:val="center"/>
        <w:pStyle w:val="Figure"/>
      </w:pPr>
      <w:r>
        <w:rPr/>
        <w:drawing>
          <wp:inline distT="0" distB="0" distL="0" distR="0">
            <wp:extent cx="2743200" cy="274320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48"/>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36349a5c-e65f-422c-993a-9f8f8a2b1d61" w:name="unnamed-chunk-16"/>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36349a5c-e65f-422c-993a-9f8f8a2b1d61"/>
      <w:r>
        <w:t xml:space="preserve">: </w:t>
      </w:r>
      <w:r>
        <w:t xml:space="preserve">Sample content histogram</w:t>
      </w:r>
    </w:p>
    <w:p>
      <w:pPr>
        <w:pStyle w:val="a9"/>
      </w:pPr>
      <w:r>
        <w:t xml:space="preserve">Note: The x-axis represents the sample groups, and the y-axis represents the metabolite content, while error bars represents standard deviations.</w:t>
      </w:r>
    </w:p>
    <w:p>
      <w:pPr>
        <w:pStyle w:val="FirstParagraph"/>
      </w:pPr>
      <w:hyperlink r:id="rId35">
        <w:r>
          <w:rPr>
            <w:rStyle w:val="ae"/>
          </w:rPr>
          <w:t xml:space="preserve">Original file path: Final report/1.Data_Assess/histogram/histogram_compounds/*.png</w:t>
        </w:r>
      </w:hyperlink>
    </w:p>
    <w:p>
      <w:pPr>
        <w:pStyle w:val="1"/>
      </w:pPr>
      <w:bookmarkStart w:id="36" w:name="analysis-results"/>
      <w:r>
        <w:t xml:space="preserve">Analysis results</w:t>
      </w:r>
      <w:bookmarkEnd w:id="36"/>
    </w:p>
    <w:p>
      <w:pPr>
        <w:pStyle w:val="2"/>
      </w:pPr>
      <w:bookmarkStart w:id="37" w:name="differential-metabolite-screening"/>
      <w:r>
        <w:t xml:space="preserve">Differential metabolite screening</w:t>
      </w:r>
      <w:bookmarkEnd w:id="37"/>
    </w:p>
    <w:p>
      <w:pPr>
        <w:pStyle w:val="FirstParagraph"/>
      </w:pPr>
      <w:r>
        <w:t xml:space="preserve">It is often necessary to combine univariate statistical analysis and multivariate statistical analysis for large high dimensional datasets such as metabolomics datasets to accurately identify differential metabolites. Univariate statistical analysis methods include parametric test and nonparametric test. Multivariate statistical analysis methods include principal component analysis and partial least square discriminant analysis. Based on the results of OPLS-DA (biological repetition ≥ 2), multivariate analysis of Variable Importance in Projection (VIP) from OPLS-DA modeling was used to preliminarily select differential metabolites from different samples. The fold-change and statistical significance (p-value) from univariate analysis can be used in conjunction to further identify differential metabolites. If biological replicates were &lt; 3, differential metabolites are screened based on Fold Change value. If there were ≥ 3 biological replicates, VIP and P-values were used in combination to screen for differential metabolites. The detailed screening criteria is as follows:</w:t>
      </w:r>
    </w:p>
    <w:p>
      <w:pPr>
        <w:pStyle w:val="a0"/>
      </w:pPr>
      <w:r>
        <w:rPr>
          <w:b/>
        </w:rPr>
        <w:t xml:space="preserve">For two sets of comparisons:</w:t>
      </w:r>
    </w:p>
    <w:p>
      <w:pPr>
        <w:pStyle w:val="a0"/>
      </w:pPr>
      <w:r>
        <w:rPr>
          <w:b/>
        </w:rPr>
        <w:t xml:space="preserve">1.Metabolites with Fold Change ≥ 2 and Fold Change ≤ 0.5 were considered as significant and selected.</w:t>
      </w:r>
    </w:p>
    <w:p>
      <w:pPr>
        <w:pStyle w:val="a0"/>
      </w:pPr>
      <w:r>
        <w:t xml:space="preserve">A partial result from the screening criteria is seen below:</w:t>
      </w:r>
    </w:p>
    <w:p>
      <w:pPr>
        <w:pStyle w:val="TableCaption"/>
      </w:pPr>
      <w:r>
        <w:t xml:space="preserve">Table</w:t>
      </w:r>
      <w:bookmarkStart w:id="b34a8eba-92a2-46b8-873b-d281ba8a0f65" w:name="mtcars"/>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b34a8eba-92a2-46b8-873b-d281ba8a0f65"/>
      <w:r>
        <w:t xml:space="preserve">: </w:t>
      </w:r>
      <w:r>
        <w:t xml:space="preserve">Screening results of differential metabolites</w:t>
      </w:r>
    </w:p>
    <w:tbl>
      <w:tblPr>
        <w:tblStyle w:val="Table"/>
        <w:tblLayout w:type="autofit"/>
        <w:jc w:val="center"/>
        <w:tblW w:type="pct" w:w="5000"/>
        <w:tblLook w:firstRow="1" w:lastRow="0" w:firstColumn="1" w:lastColumn="0" w:noHBand="0" w:noVBand="1"/>
      </w:tblPr>
      <w:tr>
        <w:trPr>
          <w:tblHeader/>
        </w:trPr>
        <w:tc>
          <w:p>
            <w:pPr>
              <w:jc w:val="left"/>
            </w:pPr>
            <w:r>
              <w:t>Index</w:t>
            </w:r>
          </w:p>
        </w:tc>
        <w:tc>
          <w:p>
            <w:pPr>
              <w:jc w:val="left"/>
            </w:pPr>
            <w:r>
              <w:t>Compounds</w:t>
            </w:r>
          </w:p>
        </w:tc>
        <w:tc>
          <w:p>
            <w:pPr>
              <w:jc w:val="left"/>
            </w:pPr>
            <w:r>
              <w:t>Type</w:t>
            </w:r>
          </w:p>
        </w:tc>
      </w:tr>
      <w:tr>
        <w:tc>
          <w:p>
            <w:pPr>
              <w:jc w:val="left"/>
            </w:pPr>
            <w:r>
              <w:t>Decanoate</w:t>
            </w:r>
          </w:p>
        </w:tc>
        <w:tc>
          <w:p>
            <w:pPr>
              <w:jc w:val="left"/>
            </w:pPr>
            <w:r>
              <w:t>Decanoic acid</w:t>
            </w:r>
          </w:p>
        </w:tc>
        <w:tc>
          <w:p>
            <w:pPr>
              <w:jc w:val="left"/>
            </w:pPr>
            <w:r>
              <w:t>down</w:t>
            </w:r>
          </w:p>
        </w:tc>
      </w:tr>
      <w:tr>
        <w:tc>
          <w:p>
            <w:pPr>
              <w:jc w:val="left"/>
            </w:pPr>
            <w:r>
              <w:t>Crotonate</w:t>
            </w:r>
          </w:p>
        </w:tc>
        <w:tc>
          <w:p>
            <w:pPr>
              <w:jc w:val="left"/>
            </w:pPr>
            <w:r>
              <w:t>Crotonic acid</w:t>
            </w:r>
          </w:p>
        </w:tc>
        <w:tc>
          <w:p>
            <w:pPr>
              <w:jc w:val="left"/>
            </w:pPr>
            <w:r>
              <w:t>up</w:t>
            </w:r>
          </w:p>
        </w:tc>
      </w:tr>
      <w:tr>
        <w:tc>
          <w:p>
            <w:pPr>
              <w:jc w:val="left"/>
            </w:pPr>
            <w:r>
              <w:t>Isohexanoate</w:t>
            </w:r>
          </w:p>
        </w:tc>
        <w:tc>
          <w:p>
            <w:pPr>
              <w:jc w:val="left"/>
            </w:pPr>
            <w:r>
              <w:t>Isohexanoic acid</w:t>
            </w:r>
          </w:p>
        </w:tc>
        <w:tc>
          <w:p>
            <w:pPr>
              <w:jc w:val="left"/>
            </w:pPr>
            <w:r>
              <w:t>down</w:t>
            </w:r>
          </w:p>
        </w:tc>
      </w:tr>
    </w:tbl>
    <w:p>
      <w:pPr>
        <w:pStyle w:val="a9"/>
      </w:pPr>
      <w:r>
        <w:t xml:space="preserve">Note:Index: ID;P-value: T-test;Fold Change: Log2FC;Type: Metabolite up or down regulation</w:t>
      </w:r>
    </w:p>
    <w:p>
      <w:pPr>
        <w:pStyle w:val="FirstParagraph"/>
      </w:pPr>
      <w:hyperlink r:id="rId38">
        <w:r>
          <w:rPr>
            <w:rStyle w:val="ae"/>
          </w:rPr>
          <w:t xml:space="preserve">Final report/2.Basic_analysis/Difference_analysis/group-ID*_vs_group-ID*/group-ID*_vs_group-ID*filter.xlsx.</w:t>
        </w:r>
      </w:hyperlink>
    </w:p>
    <w:p>
      <w:pPr>
        <w:pStyle w:val="3"/>
      </w:pPr>
      <w:bookmarkStart w:id="39" w:name="differential-metabolite-statistics"/>
      <w:r>
        <w:t xml:space="preserve">Differential metabolite statistics</w:t>
      </w:r>
      <w:bookmarkEnd w:id="39"/>
    </w:p>
    <w:p>
      <w:pPr>
        <w:pStyle w:val="FirstParagraph"/>
      </w:pPr>
      <w:r>
        <w:t xml:space="preserve">The number of different metabolites in each group is shown in the table below:</w:t>
      </w:r>
    </w:p>
    <w:p>
      <w:pPr>
        <w:pStyle w:val="TableCaption"/>
      </w:pPr>
      <w:r>
        <w:t xml:space="preserve">Table</w:t>
      </w:r>
      <w:bookmarkStart w:id="ec6781b3-5d6e-4346-abbe-4be567b83ff3" w:name="mtcars"/>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ec6781b3-5d6e-4346-abbe-4be567b83ff3"/>
      <w:r>
        <w:t xml:space="preserve">: </w:t>
      </w:r>
      <w:r>
        <w:t xml:space="preserve">Statistical table of differential metabolites</w:t>
      </w:r>
    </w:p>
    <w:tbl>
      <w:tblPr>
        <w:tblStyle w:val="Table"/>
        <w:tblLayout w:type="autofit"/>
        <w:jc w:val="center"/>
        <w:tblW w:type="pct" w:w="5000"/>
        <w:tblLook w:firstRow="1" w:lastRow="0" w:firstColumn="1" w:lastColumn="0" w:noHBand="0" w:noVBand="1"/>
      </w:tblPr>
      <w:tr>
        <w:trPr>
          <w:tblHeader/>
        </w:trPr>
        <w:tc>
          <w:p>
            <w:pPr>
              <w:jc w:val="left"/>
            </w:pPr>
            <w:r>
              <w:t>group name</w:t>
            </w:r>
          </w:p>
        </w:tc>
        <w:tc>
          <w:p>
            <w:pPr>
              <w:jc w:val="left"/>
            </w:pPr>
            <w:r>
              <w:t>All sig diff</w:t>
            </w:r>
          </w:p>
        </w:tc>
        <w:tc>
          <w:p>
            <w:pPr>
              <w:jc w:val="left"/>
            </w:pPr>
            <w:r>
              <w:t>down regulated</w:t>
            </w:r>
          </w:p>
        </w:tc>
        <w:tc>
          <w:p>
            <w:pPr>
              <w:jc w:val="left"/>
            </w:pPr>
            <w:r>
              <w:t>up regulated</w:t>
            </w:r>
          </w:p>
        </w:tc>
      </w:tr>
      <w:tr>
        <w:tc>
          <w:p>
            <w:pPr>
              <w:jc w:val="left"/>
            </w:pPr>
            <w:r>
              <w:t>A_vs_B</w:t>
            </w:r>
          </w:p>
        </w:tc>
        <w:tc>
          <w:p>
            <w:pPr>
              <w:jc w:val="left"/>
            </w:pPr>
            <w:r>
              <w:t>3</w:t>
            </w:r>
          </w:p>
        </w:tc>
        <w:tc>
          <w:p>
            <w:pPr>
              <w:jc w:val="left"/>
            </w:pPr>
            <w:r>
              <w:t>2</w:t>
            </w:r>
          </w:p>
        </w:tc>
        <w:tc>
          <w:p>
            <w:pPr>
              <w:jc w:val="left"/>
            </w:pPr>
            <w:r>
              <w:t>1</w:t>
            </w:r>
          </w:p>
        </w:tc>
      </w:tr>
    </w:tbl>
    <w:p>
      <w:pPr>
        <w:pStyle w:val="a0"/>
      </w:pPr>
      <w:hyperlink r:id="rId40">
        <w:r>
          <w:rPr>
            <w:rStyle w:val="ae"/>
          </w:rPr>
          <w:t xml:space="preserve">Statistical table of differential metabolites:Final report/2.Basic_analysis/Difference_analysis/sigMetabolitesCount.xlsx;</w:t>
        </w:r>
      </w:hyperlink>
    </w:p>
    <w:p>
      <w:pPr>
        <w:pStyle w:val="2"/>
      </w:pPr>
      <w:bookmarkStart w:id="41" w:name="functional-annotation-and-enrichment-analysis-of-differential-metabolites-in-kegg-database"/>
      <w:r>
        <w:t xml:space="preserve">Functional annotation and enrichment analysis of differential metabolites in KEGG database</w:t>
      </w:r>
      <w:bookmarkEnd w:id="41"/>
    </w:p>
    <w:p>
      <w:pPr>
        <w:pStyle w:val="FirstParagraph"/>
      </w:pPr>
      <w:r>
        <w:t xml:space="preserve">KEGG (Kyoto Encyclopedia of Genes and Genomes) is a database that integrates compounds and genes into metabolic pathways. The KEGG database enabled researchers to study genes with their expression information and compounds with their abundances as a complete network.</w:t>
      </w:r>
    </w:p>
    <w:p>
      <w:pPr>
        <w:pStyle w:val="3"/>
      </w:pPr>
      <w:bookmarkStart w:id="42" w:name="functional-annotation-of-differential-metabolites"/>
      <w:r>
        <w:t xml:space="preserve">Functional annotation of differential metabolites</w:t>
      </w:r>
      <w:bookmarkEnd w:id="42"/>
    </w:p>
    <w:p>
      <w:pPr>
        <w:pStyle w:val="FirstParagraph"/>
      </w:pPr>
      <w:r>
        <w:t xml:space="preserve">Metabolites are annotated using the KEGG database, and only metabolic pathways containing differential metabolites are shown. Detailed results are found in the attached results. A portion of the results is shown below:</w:t>
      </w:r>
    </w:p>
    <w:p>
      <w:pPr>
        <w:jc w:val="center"/>
        <w:pStyle w:val="Figure"/>
      </w:pPr>
      <w:r>
        <w:rPr/>
        <w:drawing>
          <wp:inline distT="0" distB="0" distL="0" distR="0">
            <wp:extent cx="2743200" cy="274320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49"/>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e1b4b0ca-bd45-4532-87dd-9d0c7e988995" w:name="unnamed-chunk-21"/>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e1b4b0ca-bd45-4532-87dd-9d0c7e988995"/>
      <w:r>
        <w:t xml:space="preserve">: </w:t>
      </w:r>
      <w:r>
        <w:t xml:space="preserve">KEGG pathway of metabolites</w:t>
      </w:r>
    </w:p>
    <w:p>
      <w:pPr>
        <w:pStyle w:val="a9"/>
      </w:pPr>
      <w:r>
        <w:t xml:space="preserve">Note: Red circles indicate that the metabolite content was significantly up-regulated in the experimental group; the blue circles indicate that the metabolite content was detected but did not change significantly; Green circles indicate that the metabolite content was significantly down-regulated in the experimental group. The orange circles indicate a mixture of both up-regulated and down-regulated metabolites.This allows searching for metabolites that may contribute to the phenotypic differences.</w:t>
      </w:r>
    </w:p>
    <w:p>
      <w:pPr>
        <w:pStyle w:val="FirstParagraph"/>
      </w:pPr>
      <w:hyperlink r:id="rId43">
        <w:r>
          <w:rPr>
            <w:rStyle w:val="ae"/>
          </w:rPr>
          <w:t xml:space="preserve">Final report/2.Basic_analysis/Difference_analysis/group-ID*_vs_group-ID*/enrichment/Graph/ko*.</w:t>
        </w:r>
      </w:hyperlink>
    </w:p>
    <w:p>
      <w:pPr>
        <w:pStyle w:val="a0"/>
      </w:pPr>
      <w:r>
        <w:t xml:space="preserve">Statistical analysis of KEGG database annotation of screened metabolites with significant differences. Some of the results are as follows:</w:t>
      </w:r>
    </w:p>
    <w:p>
      <w:pPr>
        <w:pStyle w:val="TableCaption"/>
      </w:pPr>
      <w:r>
        <w:t xml:space="preserve">Table</w:t>
      </w:r>
      <w:bookmarkStart w:id="33d79ffe-5990-4d48-8e04-eef49ca04793" w:name="mtcars"/>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33d79ffe-5990-4d48-8e04-eef49ca04793"/>
      <w:r>
        <w:t xml:space="preserve">: </w:t>
      </w:r>
      <w:r>
        <w:t xml:space="preserve">KEGG annotations for differential metabolites</w:t>
      </w:r>
    </w:p>
    <w:tbl>
      <w:tblPr>
        <w:tblStyle w:val="Table"/>
        <w:tblLayout w:type="autofit"/>
        <w:jc w:val="center"/>
        <w:tblW w:type="pct" w:w="5000"/>
        <w:tblLook w:firstRow="1" w:lastRow="0" w:firstColumn="1" w:lastColumn="0" w:noHBand="0" w:noVBand="1"/>
      </w:tblPr>
      <w:tr>
        <w:trPr>
          <w:tblHeader/>
        </w:trPr>
        <w:tc>
          <w:p>
            <w:pPr>
              <w:jc w:val="left"/>
            </w:pPr>
            <w:r>
              <w:t>Index</w:t>
            </w:r>
          </w:p>
        </w:tc>
        <w:tc>
          <w:p>
            <w:pPr>
              <w:jc w:val="left"/>
            </w:pPr>
            <w:r>
              <w:t>Compounds</w:t>
            </w:r>
          </w:p>
        </w:tc>
        <w:tc>
          <w:p>
            <w:pPr>
              <w:jc w:val="left"/>
            </w:pPr>
            <w:r>
              <w:t>Type</w:t>
            </w:r>
          </w:p>
        </w:tc>
        <w:tc>
          <w:p>
            <w:pPr>
              <w:jc w:val="left"/>
            </w:pPr>
            <w:r>
              <w:t>cpd_ID</w:t>
            </w:r>
          </w:p>
        </w:tc>
      </w:tr>
      <w:tr>
        <w:tc>
          <w:p>
            <w:pPr>
              <w:jc w:val="left"/>
            </w:pPr>
            <w:r>
              <w:t>Decanoate</w:t>
            </w:r>
          </w:p>
        </w:tc>
        <w:tc>
          <w:p>
            <w:pPr>
              <w:jc w:val="left"/>
            </w:pPr>
            <w:r>
              <w:t>Decanoic acid</w:t>
            </w:r>
          </w:p>
        </w:tc>
        <w:tc>
          <w:p>
            <w:pPr>
              <w:jc w:val="left"/>
            </w:pPr>
            <w:r>
              <w:t>down</w:t>
            </w:r>
          </w:p>
        </w:tc>
        <w:tc>
          <w:p>
            <w:pPr>
              <w:jc w:val="left"/>
            </w:pPr>
            <w:r>
              <w:t>C01571</w:t>
            </w:r>
          </w:p>
        </w:tc>
      </w:tr>
      <w:tr>
        <w:tc>
          <w:p>
            <w:pPr>
              <w:jc w:val="left"/>
            </w:pPr>
            <w:r>
              <w:t>Crotonate</w:t>
            </w:r>
          </w:p>
        </w:tc>
        <w:tc>
          <w:p>
            <w:pPr>
              <w:jc w:val="left"/>
            </w:pPr>
            <w:r>
              <w:t>Crotonic acid</w:t>
            </w:r>
          </w:p>
        </w:tc>
        <w:tc>
          <w:p>
            <w:pPr>
              <w:jc w:val="left"/>
            </w:pPr>
            <w:r>
              <w:t>up</w:t>
            </w:r>
          </w:p>
        </w:tc>
        <w:tc>
          <w:p>
            <w:pPr>
              <w:jc w:val="left"/>
            </w:pPr>
            <w:r>
              <w:t>C01771</w:t>
            </w:r>
          </w:p>
        </w:tc>
      </w:tr>
      <w:tr>
        <w:tc>
          <w:p>
            <w:pPr>
              <w:jc w:val="left"/>
            </w:pPr>
            <w:r>
              <w:t>Isohexanoate</w:t>
            </w:r>
          </w:p>
        </w:tc>
        <w:tc>
          <w:p>
            <w:pPr>
              <w:jc w:val="left"/>
            </w:pPr>
            <w:r>
              <w:t>Isohexanoic acid</w:t>
            </w:r>
          </w:p>
        </w:tc>
        <w:tc>
          <w:p>
            <w:pPr>
              <w:jc w:val="left"/>
            </w:pPr>
            <w:r>
              <w:t>down</w:t>
            </w:r>
          </w:p>
        </w:tc>
        <w:tc>
          <w:p>
            <w:pPr>
              <w:jc w:val="left"/>
            </w:pPr>
            <w:r>
              <w:t>-</w:t>
            </w:r>
          </w:p>
        </w:tc>
      </w:tr>
    </w:tbl>
    <w:p>
      <w:pPr>
        <w:pStyle w:val="a9"/>
      </w:pPr>
      <w:r>
        <w:t xml:space="preserve">Note:Index: ID;Compounds: the names of metabolites;Class: English Classification of Substances;The N/A values are filled with zeros;Fold_Change:Multiple of difference (Inf indicates infinity, since Fold_Change = mean in the experimental group/control group, and when the control group average is 0, Fold_Change is infinite, Inf indicates it);Log2FC: The difference multiple takes the logarithm base 2 (Inf is infinite, so is Log2FC when Fold_Change is infinite, -INF is negative infinity, and Log2FC when Fold_Change is 0);Type:Metabolites up or down regualation;cpd_ID: ID information of metabolites in KEGG database;kegg_map: KEGG database signal path number.</w:t>
      </w:r>
    </w:p>
    <w:p>
      <w:pPr>
        <w:pStyle w:val="TableCaption"/>
      </w:pPr>
      <w:r>
        <w:t xml:space="preserve">Table</w:t>
      </w:r>
      <w:bookmarkStart w:id="416558e3-a308-464b-9ae8-6518c2e1aa89" w:name="mtcars"/>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416558e3-a308-464b-9ae8-6518c2e1aa89"/>
      <w:r>
        <w:t xml:space="preserve">: </w:t>
      </w:r>
      <w:r>
        <w:t xml:space="preserve">Enrichment Statistics of KEGG annotations for differential metabolites</w:t>
      </w:r>
    </w:p>
    <w:tbl>
      <w:tblPr>
        <w:tblStyle w:val="Table"/>
        <w:tblLayout w:type="autofit"/>
        <w:jc w:val="center"/>
        <w:tblW w:type="pct" w:w="5000"/>
        <w:tblLook w:firstRow="1" w:lastRow="0" w:firstColumn="1" w:lastColumn="0" w:noHBand="0" w:noVBand="1"/>
      </w:tblPr>
      <w:tr>
        <w:trPr>
          <w:tblHeader/>
        </w:trPr>
        <w:tc>
          <w:p>
            <w:pPr>
              <w:jc w:val="left"/>
            </w:pPr>
            <w:r>
              <w:t>ko_ID</w:t>
            </w:r>
          </w:p>
        </w:tc>
        <w:tc>
          <w:p>
            <w:pPr>
              <w:jc w:val="left"/>
            </w:pPr>
            <w:r>
              <w:t>Sig_compound</w:t>
            </w:r>
          </w:p>
        </w:tc>
        <w:tc>
          <w:p>
            <w:pPr>
              <w:jc w:val="left"/>
            </w:pPr>
            <w:r>
              <w:t>compound</w:t>
            </w:r>
          </w:p>
        </w:tc>
        <w:tc>
          <w:p>
            <w:pPr>
              <w:jc w:val="left"/>
            </w:pPr>
            <w:r>
              <w:t>Sig_compound_all</w:t>
            </w:r>
          </w:p>
        </w:tc>
        <w:tc>
          <w:p>
            <w:pPr>
              <w:jc w:val="left"/>
            </w:pPr>
            <w:r>
              <w:t>compound_all</w:t>
            </w:r>
          </w:p>
        </w:tc>
      </w:tr>
      <w:tr>
        <w:tc>
          <w:p>
            <w:pPr>
              <w:jc w:val="left"/>
            </w:pPr>
            <w:r>
              <w:t>ko00061</w:t>
            </w:r>
          </w:p>
        </w:tc>
        <w:tc>
          <w:p>
            <w:pPr>
              <w:jc w:val="left"/>
            </w:pPr>
            <w:r>
              <w:t>1</w:t>
            </w:r>
          </w:p>
        </w:tc>
        <w:tc>
          <w:p>
            <w:pPr>
              <w:jc w:val="left"/>
            </w:pPr>
            <w:r>
              <w:t>2</w:t>
            </w:r>
          </w:p>
        </w:tc>
        <w:tc>
          <w:p>
            <w:pPr>
              <w:jc w:val="left"/>
            </w:pPr>
            <w:r>
              <w:t>1</w:t>
            </w:r>
          </w:p>
        </w:tc>
        <w:tc>
          <w:p>
            <w:pPr>
              <w:jc w:val="left"/>
            </w:pPr>
            <w:r>
              <w:t>8</w:t>
            </w:r>
          </w:p>
        </w:tc>
      </w:tr>
      <w:tr>
        <w:tc>
          <w:p>
            <w:pPr>
              <w:jc w:val="left"/>
            </w:pPr>
            <w:r>
              <w:t>ko01100</w:t>
            </w:r>
          </w:p>
        </w:tc>
        <w:tc>
          <w:p>
            <w:pPr>
              <w:jc w:val="left"/>
            </w:pPr>
            <w:r>
              <w:t>1</w:t>
            </w:r>
          </w:p>
        </w:tc>
        <w:tc>
          <w:p>
            <w:pPr>
              <w:jc w:val="left"/>
            </w:pPr>
            <w:r>
              <w:t>6</w:t>
            </w:r>
          </w:p>
        </w:tc>
        <w:tc>
          <w:p>
            <w:pPr>
              <w:jc w:val="left"/>
            </w:pPr>
            <w:r>
              <w:t>1</w:t>
            </w:r>
          </w:p>
        </w:tc>
        <w:tc>
          <w:p>
            <w:pPr>
              <w:jc w:val="left"/>
            </w:pPr>
            <w:r>
              <w:t>8</w:t>
            </w:r>
          </w:p>
        </w:tc>
      </w:tr>
    </w:tbl>
    <w:p>
      <w:pPr>
        <w:pStyle w:val="a9"/>
      </w:pPr>
      <w:r>
        <w:t xml:space="preserve">Note:Kegg_pathway: The name of the channel;ko_ID: The ko number of the pathway in the KEGG database;Sig_compound: The number of differential significant metabolites annotated by KEGG in this pathway;compound: The number of metabolites belonging to this pathway among the detected metabolites;Sig_compound_all: KEGG annotated to the difference in the number of significant metabolites;compound_all: The number of metabolites annotated by KEGG among all the measured metabolites;IndexList: The substance abbreviation of the substance of the differential significant metabolite that is annotated in this pathway, with</w:t>
      </w:r>
      <w:r>
        <w:t xml:space="preserve"> </w:t>
      </w:r>
      <w:r>
        <w:t xml:space="preserve">“</w:t>
      </w:r>
      <w:r>
        <w:t xml:space="preserve">;</w:t>
      </w:r>
      <w:r>
        <w:t xml:space="preserve">”</w:t>
      </w:r>
      <w:r>
        <w:t xml:space="preserve"> </w:t>
      </w:r>
      <w:r>
        <w:t xml:space="preserve">Connect;CIDList: The KEGG database number of the differences significant metabolites that are noted in this pathway are connected with</w:t>
      </w:r>
      <w:r>
        <w:t xml:space="preserve"> </w:t>
      </w:r>
      <w:r>
        <w:t xml:space="preserve">“</w:t>
      </w:r>
      <w:r>
        <w:t xml:space="preserve">+</w:t>
      </w:r>
      <w:r>
        <w:t xml:space="preserve">”</w:t>
      </w:r>
      <w:r>
        <w:t xml:space="preserve">.</w:t>
      </w:r>
    </w:p>
    <w:p>
      <w:pPr>
        <w:pStyle w:val="FirstParagraph"/>
      </w:pPr>
      <w:hyperlink r:id="rId44">
        <w:r>
          <w:rPr>
            <w:rStyle w:val="ae"/>
          </w:rPr>
          <w:t xml:space="preserve">Final report/2.Basic_analysis/Difference_analysis/group-ID*_vs_group-ID*/enrichment/group-ID*_vs_group-ID*_filter_kegg.xlsx.</w:t>
        </w:r>
      </w:hyperlink>
    </w:p>
    <w:p>
      <w:pPr>
        <w:pStyle w:val="a0"/>
      </w:pPr>
      <w:hyperlink r:id="rId45">
        <w:r>
          <w:rPr>
            <w:rStyle w:val="ae"/>
          </w:rPr>
          <w:t xml:space="preserve">Final report/2.Basic_analysis/Difference_analysis/group-ID*_vs_group-ID*/enrichment/group-ID*_vs_group-ID*_KEGG.xlsx.</w:t>
        </w:r>
      </w:hyperlink>
    </w:p>
    <w:sectPr w:rsidR="005E0C3D" w:rsidSect="00AC4D5C">
      <w:footerReference w:type="even" r:id="rId10"/>
      <w:footerReference w:type="default" r:id="rId9"/>
      <w:pgSz w:w="12240" w:h="15840"/>
      <w:pgMar w:top="1417" w:right="1417" w:bottom="1417" w:left="1417" w:header="720" w:footer="720" w:gutter="0"/>
      <w:pgNumType w:start="1"/>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f2"/>
      </w:rPr>
      <w:id w:val="1342282442"/>
      <w:docPartObj>
        <w:docPartGallery w:val="Page Numbers (Bottom of Page)"/>
        <w:docPartUnique/>
      </w:docPartObj>
    </w:sdtPr>
    <w:sdtEndPr>
      <w:rPr>
        <w:rStyle w:val="af2"/>
      </w:rPr>
    </w:sdtEndPr>
    <w:sdtContent>
      <w:p w14:paraId="51B253EF" w14:textId="77777777" w:rsidR="00676DF8" w:rsidRDefault="00676DF8" w:rsidP="00084E93">
        <w:pPr>
          <w:pStyle w:val="af0"/>
          <w:framePr w:wrap="none" w:vAnchor="text" w:hAnchor="margin" w:xAlign="center" w:y="1"/>
          <w:rPr>
            <w:rStyle w:val="af2"/>
          </w:rPr>
        </w:pPr>
        <w:r>
          <w:rPr>
            <w:rStyle w:val="af2"/>
          </w:rPr>
          <w:fldChar w:fldCharType="begin"/>
        </w:r>
        <w:r>
          <w:rPr>
            <w:rStyle w:val="af2"/>
          </w:rPr>
          <w:instrText xml:space="preserve"> PAGE </w:instrText>
        </w:r>
        <w:r>
          <w:rPr>
            <w:rStyle w:val="af2"/>
          </w:rPr>
          <w:fldChar w:fldCharType="end"/>
        </w:r>
      </w:p>
    </w:sdtContent>
  </w:sdt>
  <w:p w14:paraId="414AE6DE" w14:textId="77777777" w:rsidR="00676DF8" w:rsidRDefault="00676DF8" w:rsidP="00676DF8">
    <w:pPr>
      <w:pStyle w:val="af0"/>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EACD4D" w14:textId="77777777" w:rsidR="00676DF8" w:rsidRDefault="00676DF8" w:rsidP="00676DF8">
    <w:pPr>
      <w:pStyle w:val="af0"/>
      <w:ind w:right="360"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72BCF93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B6426B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80EB6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28C5C9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34A7C7C"/>
    <w:lvl w:ilvl="0">
      <w:start w:val="1"/>
      <w:numFmt w:val="bullet"/>
      <w:lvlText w:val=""/>
      <w:lvlJc w:val="left"/>
      <w:pPr>
        <w:tabs>
          <w:tab w:val="num" w:pos="1492"/>
        </w:tabs>
        <w:ind w:left="1492" w:hanging="360"/>
      </w:pPr>
      <w:rPr>
        <w:rFonts w:ascii="Symbol" w:hAnsi="Symbol" w:cs="Symbol" w:hint="default"/>
      </w:rPr>
    </w:lvl>
  </w:abstractNum>
  <w:abstractNum w:abstractNumId="5" w15:restartNumberingAfterBreak="0">
    <w:nsid w:val="FFFFFF81"/>
    <w:multiLevelType w:val="singleLevel"/>
    <w:tmpl w:val="A412B48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6680BD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FD2130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AE94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9B4C3A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C657B3"/>
    <w:multiLevelType w:val="multilevel"/>
    <w:tmpl w:val="040C001D"/>
    <w:numStyleLink w:val="Defaultul"/>
  </w:abstractNum>
  <w:abstractNum w:abstractNumId="11" w15:restartNumberingAfterBreak="0">
    <w:nsid w:val="15370A07"/>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70CD2DE"/>
    <w:multiLevelType w:val="multilevel"/>
    <w:tmpl w:val="A94065D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3" w15:restartNumberingAfterBreak="0">
    <w:nsid w:val="1A8E7783"/>
    <w:multiLevelType w:val="multilevel"/>
    <w:tmpl w:val="745A1C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9510A6"/>
    <w:multiLevelType w:val="multilevel"/>
    <w:tmpl w:val="439AF72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5B42E34"/>
    <w:multiLevelType w:val="multilevel"/>
    <w:tmpl w:val="040C001D"/>
    <w:styleLink w:val="Defaultul"/>
    <w:lvl w:ilvl="0">
      <w:start w:val="1"/>
      <w:numFmt w:val="bullet"/>
      <w:lvlText w:val="•"/>
      <w:lvlJc w:val="left"/>
      <w:pPr>
        <w:ind w:left="360" w:hanging="360"/>
      </w:pPr>
      <w:rPr>
        <w:rFonts w:ascii="Times New Roman" w:hAnsi="Times New Roman" w:cs="Times New Roman" w:hint="default"/>
        <w:color w:val="943634" w:themeColor="accent2" w:themeShade="BF"/>
        <w:sz w:val="40"/>
      </w:rPr>
    </w:lvl>
    <w:lvl w:ilvl="1">
      <w:start w:val="1"/>
      <w:numFmt w:val="bullet"/>
      <w:lvlText w:val=""/>
      <w:lvlJc w:val="left"/>
      <w:pPr>
        <w:ind w:left="720" w:hanging="360"/>
      </w:pPr>
      <w:rPr>
        <w:rFonts w:ascii="Symbol" w:hAnsi="Symbol" w:cs="Times New Roman" w:hint="default"/>
        <w:color w:val="FF0000"/>
        <w:sz w:val="24"/>
      </w:rPr>
    </w:lvl>
    <w:lvl w:ilvl="2">
      <w:start w:val="1"/>
      <w:numFmt w:val="bullet"/>
      <w:lvlText w:val=""/>
      <w:lvlJc w:val="left"/>
      <w:pPr>
        <w:ind w:left="1080" w:hanging="360"/>
      </w:pPr>
      <w:rPr>
        <w:rFonts w:ascii="Symbol" w:hAnsi="Symbol" w:cs="Times New Roman" w:hint="default"/>
        <w:color w:val="92CDDC" w:themeColor="accent5" w:themeTint="99"/>
        <w:sz w:val="24"/>
      </w:rPr>
    </w:lvl>
    <w:lvl w:ilvl="3">
      <w:start w:val="1"/>
      <w:numFmt w:val="bullet"/>
      <w:lvlText w:val="à"/>
      <w:lvlJc w:val="left"/>
      <w:pPr>
        <w:ind w:left="1440" w:hanging="360"/>
      </w:pPr>
      <w:rPr>
        <w:rFonts w:ascii="Wingdings" w:hAnsi="Wingdings" w:cs="Times New Roman" w:hint="default"/>
        <w:color w:val="000000" w:themeColor="text1"/>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89B7C2A"/>
    <w:multiLevelType w:val="multilevel"/>
    <w:tmpl w:val="4B88F872"/>
    <w:numStyleLink w:val="Defaultol"/>
  </w:abstractNum>
  <w:abstractNum w:abstractNumId="17" w15:restartNumberingAfterBreak="0">
    <w:nsid w:val="324A70B7"/>
    <w:multiLevelType w:val="multilevel"/>
    <w:tmpl w:val="4B88F872"/>
    <w:styleLink w:val="Defaultol"/>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A441560"/>
    <w:multiLevelType w:val="multilevel"/>
    <w:tmpl w:val="B1F2FF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DCC70B2"/>
    <w:multiLevelType w:val="multilevel"/>
    <w:tmpl w:val="163C7B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35D1FEA"/>
    <w:multiLevelType w:val="multilevel"/>
    <w:tmpl w:val="13A280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6F16620"/>
    <w:multiLevelType w:val="multilevel"/>
    <w:tmpl w:val="92960A8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6F44708"/>
    <w:multiLevelType w:val="multilevel"/>
    <w:tmpl w:val="31C4A1B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8191783"/>
    <w:multiLevelType w:val="multilevel"/>
    <w:tmpl w:val="4B88F872"/>
    <w:lvl w:ilvl="0">
      <w:start w:val="1"/>
      <w:numFmt w:val="decimal"/>
      <w:pStyle w:val="1"/>
      <w:lvlText w:val="%1."/>
      <w:lvlJc w:val="left"/>
      <w:pPr>
        <w:ind w:left="360" w:hanging="360"/>
      </w:pPr>
    </w:lvl>
    <w:lvl w:ilvl="1">
      <w:start w:val="1"/>
      <w:numFmt w:val="decimal"/>
      <w:pStyle w:val="2"/>
      <w:lvlText w:val="%1.%2."/>
      <w:lvlJc w:val="left"/>
      <w:pPr>
        <w:ind w:left="792" w:hanging="432"/>
      </w:pPr>
    </w:lvl>
    <w:lvl w:ilvl="2">
      <w:start w:val="1"/>
      <w:numFmt w:val="decimal"/>
      <w:pStyle w:val="3"/>
      <w:lvlText w:val="%1.%2.%3."/>
      <w:lvlJc w:val="left"/>
      <w:pPr>
        <w:ind w:left="1224" w:hanging="504"/>
      </w:pPr>
    </w:lvl>
    <w:lvl w:ilvl="3">
      <w:start w:val="1"/>
      <w:numFmt w:val="decimal"/>
      <w:pStyle w:val="4"/>
      <w:lvlText w:val="%1.%2.%3.%4."/>
      <w:lvlJc w:val="left"/>
      <w:pPr>
        <w:ind w:left="1728" w:hanging="648"/>
      </w:pPr>
    </w:lvl>
    <w:lvl w:ilvl="4">
      <w:start w:val="1"/>
      <w:numFmt w:val="decimal"/>
      <w:pStyle w:val="5"/>
      <w:lvlText w:val="%1.%2.%3.%4.%5."/>
      <w:lvlJc w:val="left"/>
      <w:pPr>
        <w:ind w:left="2232" w:hanging="792"/>
      </w:pPr>
    </w:lvl>
    <w:lvl w:ilvl="5">
      <w:start w:val="1"/>
      <w:numFmt w:val="decimal"/>
      <w:pStyle w:val="6"/>
      <w:lvlText w:val="%1.%2.%3.%4.%5.%6."/>
      <w:lvlJc w:val="left"/>
      <w:pPr>
        <w:ind w:left="2736" w:hanging="936"/>
      </w:pPr>
    </w:lvl>
    <w:lvl w:ilvl="6">
      <w:start w:val="1"/>
      <w:numFmt w:val="decimal"/>
      <w:pStyle w:val="7"/>
      <w:lvlText w:val="%1.%2.%3.%4.%5.%6.%7."/>
      <w:lvlJc w:val="left"/>
      <w:pPr>
        <w:ind w:left="3240" w:hanging="1080"/>
      </w:pPr>
    </w:lvl>
    <w:lvl w:ilvl="7">
      <w:start w:val="1"/>
      <w:numFmt w:val="decimal"/>
      <w:pStyle w:val="8"/>
      <w:lvlText w:val="%1.%2.%3.%4.%5.%6.%7.%8."/>
      <w:lvlJc w:val="left"/>
      <w:pPr>
        <w:ind w:left="3744" w:hanging="1224"/>
      </w:pPr>
    </w:lvl>
    <w:lvl w:ilvl="8">
      <w:start w:val="1"/>
      <w:numFmt w:val="decimal"/>
      <w:pStyle w:val="9"/>
      <w:lvlText w:val="%1.%2.%3.%4.%5.%6.%7.%8.%9."/>
      <w:lvlJc w:val="left"/>
      <w:pPr>
        <w:ind w:left="4320" w:hanging="1440"/>
      </w:pPr>
    </w:lvl>
  </w:abstractNum>
  <w:abstractNum w:abstractNumId="24" w15:restartNumberingAfterBreak="0">
    <w:nsid w:val="7ECB79CB"/>
    <w:multiLevelType w:val="multilevel"/>
    <w:tmpl w:val="CDF26E9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2"/>
  </w:num>
  <w:num w:numId="2">
    <w:abstractNumId w:val="4"/>
  </w:num>
  <w:num w:numId="3">
    <w:abstractNumId w:val="5"/>
  </w:num>
  <w:num w:numId="4">
    <w:abstractNumId w:val="6"/>
  </w:num>
  <w:num w:numId="5">
    <w:abstractNumId w:val="7"/>
  </w:num>
  <w:num w:numId="6">
    <w:abstractNumId w:val="9"/>
  </w:num>
  <w:num w:numId="7">
    <w:abstractNumId w:val="0"/>
  </w:num>
  <w:num w:numId="8">
    <w:abstractNumId w:val="1"/>
  </w:num>
  <w:num w:numId="9">
    <w:abstractNumId w:val="2"/>
  </w:num>
  <w:num w:numId="10">
    <w:abstractNumId w:val="3"/>
  </w:num>
  <w:num w:numId="11">
    <w:abstractNumId w:val="8"/>
  </w:num>
  <w:num w:numId="12">
    <w:abstractNumId w:val="22"/>
  </w:num>
  <w:num w:numId="13">
    <w:abstractNumId w:val="21"/>
  </w:num>
  <w:num w:numId="14">
    <w:abstractNumId w:val="20"/>
  </w:num>
  <w:num w:numId="15">
    <w:abstractNumId w:val="19"/>
  </w:num>
  <w:num w:numId="16">
    <w:abstractNumId w:val="13"/>
  </w:num>
  <w:num w:numId="17">
    <w:abstractNumId w:val="14"/>
  </w:num>
  <w:num w:numId="18">
    <w:abstractNumId w:val="24"/>
  </w:num>
  <w:num w:numId="19">
    <w:abstractNumId w:val="18"/>
  </w:num>
  <w:num w:numId="20">
    <w:abstractNumId w:val="23"/>
  </w:num>
  <w:num w:numId="21">
    <w:abstractNumId w:val="11"/>
  </w:num>
  <w:num w:numId="22">
    <w:abstractNumId w:val="15"/>
  </w:num>
  <w:num w:numId="23">
    <w:abstractNumId w:val="17"/>
  </w:num>
  <w:num w:numId="24">
    <w:abstractNumId w:val="10"/>
  </w:num>
  <w:num w:numId="25">
    <w:abstractNumId w:val="16"/>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hyphenationZone w:val="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rsid w:val="00317227"/>
    <w:pPr>
      <w:keepNext/>
      <w:keepLines/>
      <w:numPr>
        <w:numId w:val="20"/>
      </w:numPr>
      <w:spacing w:beforeLines="100" w:before="100" w:afterLines="100" w:after="100"/>
      <w:ind w:left="0" w:firstLine="0"/>
      <w:outlineLvl w:val="0"/>
    </w:pPr>
    <w:rPr>
      <w:rFonts w:asciiTheme="majorHAnsi" w:eastAsiaTheme="majorEastAsia" w:hAnsiTheme="majorHAnsi" w:cstheme="majorBidi"/>
      <w:b/>
      <w:bCs/>
      <w:color w:val="000000" w:themeColor="text1"/>
      <w:sz w:val="32"/>
      <w:szCs w:val="32"/>
    </w:rPr>
  </w:style>
  <w:style w:type="paragraph" w:styleId="2">
    <w:name w:val="heading 2"/>
    <w:basedOn w:val="a"/>
    <w:next w:val="a0"/>
    <w:uiPriority w:val="9"/>
    <w:unhideWhenUsed/>
    <w:qFormat/>
    <w:rsid w:val="00317227"/>
    <w:pPr>
      <w:keepNext/>
      <w:keepLines/>
      <w:numPr>
        <w:ilvl w:val="1"/>
        <w:numId w:val="20"/>
      </w:numPr>
      <w:spacing w:beforeLines="100" w:before="100" w:afterLines="50" w:after="50"/>
      <w:ind w:left="0" w:firstLine="0"/>
      <w:contextualSpacing/>
      <w:outlineLvl w:val="1"/>
    </w:pPr>
    <w:rPr>
      <w:rFonts w:asciiTheme="majorHAnsi" w:eastAsiaTheme="majorEastAsia" w:hAnsiTheme="majorHAnsi" w:cstheme="majorBidi"/>
      <w:b/>
      <w:bCs/>
      <w:color w:val="000000" w:themeColor="text1"/>
      <w:sz w:val="32"/>
      <w:szCs w:val="32"/>
    </w:rPr>
  </w:style>
  <w:style w:type="paragraph" w:styleId="3">
    <w:name w:val="heading 3"/>
    <w:basedOn w:val="a"/>
    <w:next w:val="a0"/>
    <w:uiPriority w:val="9"/>
    <w:unhideWhenUsed/>
    <w:qFormat/>
    <w:rsid w:val="00317227"/>
    <w:pPr>
      <w:keepNext/>
      <w:keepLines/>
      <w:numPr>
        <w:ilvl w:val="2"/>
        <w:numId w:val="20"/>
      </w:numPr>
      <w:spacing w:beforeLines="50" w:before="50" w:afterLines="50" w:after="50"/>
      <w:ind w:left="0" w:firstLine="0"/>
      <w:outlineLvl w:val="2"/>
    </w:pPr>
    <w:rPr>
      <w:rFonts w:asciiTheme="majorHAnsi" w:eastAsiaTheme="majorEastAsia" w:hAnsiTheme="majorHAnsi" w:cstheme="majorBidi"/>
      <w:b/>
      <w:bCs/>
      <w:color w:val="000000" w:themeColor="text1"/>
      <w:sz w:val="28"/>
      <w:szCs w:val="28"/>
    </w:rPr>
  </w:style>
  <w:style w:type="paragraph" w:styleId="4">
    <w:name w:val="heading 4"/>
    <w:basedOn w:val="a"/>
    <w:next w:val="a0"/>
    <w:uiPriority w:val="9"/>
    <w:unhideWhenUsed/>
    <w:qFormat/>
    <w:rsid w:val="00317227"/>
    <w:pPr>
      <w:keepNext/>
      <w:keepLines/>
      <w:numPr>
        <w:ilvl w:val="3"/>
        <w:numId w:val="20"/>
      </w:numPr>
      <w:spacing w:after="0"/>
      <w:ind w:left="0" w:firstLine="0"/>
      <w:outlineLvl w:val="3"/>
    </w:pPr>
    <w:rPr>
      <w:rFonts w:asciiTheme="majorHAnsi" w:eastAsiaTheme="majorEastAsia" w:hAnsiTheme="majorHAnsi" w:cstheme="majorBidi"/>
      <w:b/>
      <w:bCs/>
      <w:color w:val="000000" w:themeColor="text1"/>
    </w:rPr>
  </w:style>
  <w:style w:type="paragraph" w:styleId="5">
    <w:name w:val="heading 5"/>
    <w:basedOn w:val="a"/>
    <w:next w:val="a0"/>
    <w:uiPriority w:val="9"/>
    <w:unhideWhenUsed/>
    <w:qFormat/>
    <w:rsid w:val="009137D8"/>
    <w:pPr>
      <w:keepNext/>
      <w:keepLines/>
      <w:numPr>
        <w:ilvl w:val="4"/>
        <w:numId w:val="20"/>
      </w:numPr>
      <w:spacing w:before="200" w:after="0"/>
      <w:outlineLvl w:val="4"/>
    </w:pPr>
    <w:rPr>
      <w:rFonts w:asciiTheme="majorHAnsi" w:eastAsiaTheme="majorEastAsia" w:hAnsiTheme="majorHAnsi" w:cstheme="majorBidi"/>
      <w:i/>
      <w:iCs/>
      <w:color w:val="000000" w:themeColor="text1"/>
    </w:rPr>
  </w:style>
  <w:style w:type="paragraph" w:styleId="6">
    <w:name w:val="heading 6"/>
    <w:basedOn w:val="a"/>
    <w:next w:val="a0"/>
    <w:uiPriority w:val="9"/>
    <w:unhideWhenUsed/>
    <w:qFormat/>
    <w:rsid w:val="009137D8"/>
    <w:pPr>
      <w:keepNext/>
      <w:keepLines/>
      <w:numPr>
        <w:ilvl w:val="5"/>
        <w:numId w:val="20"/>
      </w:numPr>
      <w:spacing w:before="200" w:after="0"/>
      <w:outlineLvl w:val="5"/>
    </w:pPr>
    <w:rPr>
      <w:rFonts w:asciiTheme="majorHAnsi" w:eastAsiaTheme="majorEastAsia" w:hAnsiTheme="majorHAnsi" w:cstheme="majorBidi"/>
      <w:color w:val="000000" w:themeColor="text1"/>
    </w:rPr>
  </w:style>
  <w:style w:type="paragraph" w:styleId="7">
    <w:name w:val="heading 7"/>
    <w:basedOn w:val="a"/>
    <w:next w:val="a0"/>
    <w:uiPriority w:val="9"/>
    <w:unhideWhenUsed/>
    <w:qFormat/>
    <w:rsid w:val="009137D8"/>
    <w:pPr>
      <w:keepNext/>
      <w:keepLines/>
      <w:numPr>
        <w:ilvl w:val="6"/>
        <w:numId w:val="20"/>
      </w:numPr>
      <w:spacing w:before="200" w:after="0"/>
      <w:outlineLvl w:val="6"/>
    </w:pPr>
    <w:rPr>
      <w:rFonts w:asciiTheme="majorHAnsi" w:eastAsiaTheme="majorEastAsia" w:hAnsiTheme="majorHAnsi" w:cstheme="majorBidi"/>
      <w:color w:val="000000" w:themeColor="text1"/>
    </w:rPr>
  </w:style>
  <w:style w:type="paragraph" w:styleId="8">
    <w:name w:val="heading 8"/>
    <w:basedOn w:val="a"/>
    <w:next w:val="a0"/>
    <w:uiPriority w:val="9"/>
    <w:unhideWhenUsed/>
    <w:qFormat/>
    <w:rsid w:val="009137D8"/>
    <w:pPr>
      <w:keepNext/>
      <w:keepLines/>
      <w:numPr>
        <w:ilvl w:val="7"/>
        <w:numId w:val="20"/>
      </w:numPr>
      <w:spacing w:before="200" w:after="0"/>
      <w:outlineLvl w:val="7"/>
    </w:pPr>
    <w:rPr>
      <w:rFonts w:asciiTheme="majorHAnsi" w:eastAsiaTheme="majorEastAsia" w:hAnsiTheme="majorHAnsi" w:cstheme="majorBidi"/>
      <w:color w:val="000000" w:themeColor="text1"/>
    </w:rPr>
  </w:style>
  <w:style w:type="paragraph" w:styleId="9">
    <w:name w:val="heading 9"/>
    <w:basedOn w:val="a"/>
    <w:next w:val="a0"/>
    <w:uiPriority w:val="9"/>
    <w:unhideWhenUsed/>
    <w:qFormat/>
    <w:rsid w:val="009137D8"/>
    <w:pPr>
      <w:keepNext/>
      <w:keepLines/>
      <w:numPr>
        <w:ilvl w:val="8"/>
        <w:numId w:val="20"/>
      </w:numPr>
      <w:spacing w:before="200" w:after="0"/>
      <w:outlineLvl w:val="8"/>
    </w:pPr>
    <w:rPr>
      <w:rFonts w:asciiTheme="majorHAnsi" w:eastAsiaTheme="majorEastAsia" w:hAnsiTheme="majorHAnsi"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rsid w:val="006712EE"/>
    <w:pPr>
      <w:topLinePunct/>
      <w:spacing w:before="60" w:after="60" w:line="300" w:lineRule="auto"/>
      <w:ind w:firstLineChars="200" w:firstLine="200"/>
    </w:pPr>
  </w:style>
  <w:style w:type="paragraph" w:customStyle="1" w:styleId="FirstParagraph">
    <w:name w:val="First Paragraph"/>
    <w:basedOn w:val="a0"/>
    <w:next w:val="a0"/>
    <w:qFormat/>
  </w:style>
  <w:style w:type="paragraph" w:customStyle="1" w:styleId="Compact">
    <w:name w:val="Compact"/>
    <w:basedOn w:val="a0"/>
    <w:qFormat/>
    <w:rsid w:val="00317227"/>
    <w:pPr>
      <w:spacing w:before="36" w:after="36"/>
      <w:ind w:firstLineChars="0" w:firstLine="0"/>
    </w:pPr>
  </w:style>
  <w:style w:type="paragraph" w:styleId="a5">
    <w:name w:val="Title"/>
    <w:basedOn w:val="a"/>
    <w:next w:val="a0"/>
    <w:qFormat/>
    <w:rsid w:val="009137D8"/>
    <w:pPr>
      <w:keepNext/>
      <w:keepLines/>
      <w:pBdr>
        <w:bottom w:val="single" w:sz="4" w:space="1" w:color="auto"/>
      </w:pBdr>
      <w:spacing w:before="480" w:after="240"/>
      <w:jc w:val="center"/>
    </w:pPr>
    <w:rPr>
      <w:rFonts w:asciiTheme="majorHAnsi" w:eastAsiaTheme="majorEastAsia" w:hAnsiTheme="majorHAnsi" w:cstheme="majorBidi"/>
      <w:b/>
      <w:bCs/>
      <w:color w:val="000000" w:themeColor="text1"/>
      <w:sz w:val="36"/>
      <w:szCs w:val="36"/>
    </w:rPr>
  </w:style>
  <w:style w:type="paragraph" w:styleId="a6">
    <w:name w:val="Subtitle"/>
    <w:basedOn w:val="a5"/>
    <w:next w:val="a0"/>
    <w:qFormat/>
    <w:rsid w:val="009137D8"/>
    <w:pPr>
      <w:pBdr>
        <w:bottom w:val="none" w:sz="0" w:space="0" w:color="auto"/>
      </w:pBd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style>
  <w:style w:type="paragraph" w:styleId="a9">
    <w:name w:val="Block Text"/>
    <w:basedOn w:val="a0"/>
    <w:next w:val="a0"/>
    <w:uiPriority w:val="9"/>
    <w:unhideWhenUsed/>
    <w:qFormat/>
    <w:pPr>
      <w:spacing w:before="100" w:after="100"/>
    </w:pPr>
    <w:rPr>
      <w:rFonts w:asciiTheme="majorHAnsi" w:eastAsiaTheme="majorEastAsia" w:hAnsiTheme="majorHAnsi" w:cstheme="majorBidi"/>
      <w:bCs/>
      <w:sz w:val="20"/>
      <w:szCs w:val="20"/>
    </w:rPr>
  </w:style>
  <w:style w:type="paragraph" w:styleId="aa">
    <w:name w:val="footnote text"/>
    <w:basedOn w:val="a"/>
    <w:uiPriority w:val="9"/>
    <w:unhideWhenUsed/>
    <w:qFormat/>
  </w:style>
  <w:style w:type="table" w:customStyle="1" w:styleId="Table">
    <w:name w:val="Table"/>
    <w:semiHidden/>
    <w:unhideWhenUsed/>
    <w:qFormat/>
    <w:rsid w:val="00543C54"/>
    <w:pPr>
      <w:keepNext/>
      <w:spacing w:before="100" w:beforeAutospacing="1" w:after="100" w:afterAutospacing="1" w:line="300" w:lineRule="auto"/>
      <w:jc w:val="both"/>
    </w:pPr>
    <w:rPr>
      <w:sz w:val="21"/>
      <w:szCs w:val="20"/>
      <w:lang w:eastAsia="zh-CN"/>
    </w:rPr>
    <w:tblPr>
      <w:tblStyleRowBandSize w:val="1"/>
      <w:tblInd w:w="0" w:type="dxa"/>
      <w:tblBorders>
        <w:bottom w:val="single" w:sz="12" w:space="0" w:color="auto"/>
      </w:tblBorders>
      <w:tblCellMar>
        <w:top w:w="0" w:type="dxa"/>
        <w:left w:w="108" w:type="dxa"/>
        <w:bottom w:w="0" w:type="dxa"/>
        <w:right w:w="108" w:type="dxa"/>
      </w:tblCellMar>
    </w:tblPr>
    <w:tcPr>
      <w:shd w:val="clear" w:color="auto" w:fill="auto"/>
    </w:tcPr>
    <w:tblStylePr w:type="firstRow">
      <w:rPr>
        <w:b/>
      </w:rPr>
      <w:tblPr/>
      <w:tcPr>
        <w:tcBorders>
          <w:top w:val="single" w:sz="12" w:space="0" w:color="auto"/>
          <w:left w:val="nil"/>
          <w:bottom w:val="single" w:sz="12" w:space="0" w:color="auto"/>
          <w:right w:val="nil"/>
          <w:insideH w:val="nil"/>
          <w:insideV w:val="nil"/>
        </w:tcBorders>
        <w:shd w:val="clear" w:color="auto" w:fill="auto"/>
      </w:tcPr>
    </w:tblStylePr>
    <w:tblStylePr w:type="firstCol">
      <w:pPr>
        <w:wordWrap/>
        <w:adjustRightInd w:val="0"/>
        <w:snapToGrid/>
        <w:spacing w:line="300" w:lineRule="auto"/>
        <w:ind w:firstLineChars="0" w:firstLine="0"/>
        <w:contextualSpacing w:val="0"/>
        <w:mirrorIndents/>
        <w:jc w:val="left"/>
        <w:outlineLvl w:val="9"/>
      </w:pPr>
      <w:tblPr/>
      <w:tcPr>
        <w:tcBorders>
          <w:right w:val="nil"/>
        </w:tcBorders>
        <w:shd w:val="clear" w:color="auto" w:fill="auto"/>
      </w:tcPr>
    </w:tblStylePr>
    <w:tblStylePr w:type="band1Horz">
      <w:tblPr/>
      <w:tcPr>
        <w:tcBorders>
          <w:top w:val="nil"/>
        </w:tcBorders>
        <w:shd w:val="clear" w:color="auto" w:fill="auto"/>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b">
    <w:name w:val="caption"/>
    <w:basedOn w:val="a"/>
    <w:link w:val="ac"/>
    <w:pPr>
      <w:spacing w:after="120"/>
    </w:pPr>
    <w:rPr>
      <w:i/>
    </w:rPr>
  </w:style>
  <w:style w:type="paragraph" w:customStyle="1" w:styleId="TableCaption">
    <w:name w:val="Table Caption"/>
    <w:basedOn w:val="ab"/>
    <w:rsid w:val="006A12E0"/>
    <w:pPr>
      <w:keepNext/>
      <w:jc w:val="center"/>
    </w:pPr>
    <w:rPr>
      <w:i w:val="0"/>
    </w:rPr>
  </w:style>
  <w:style w:type="paragraph" w:customStyle="1" w:styleId="ImageCaption">
    <w:name w:val="Image Caption"/>
    <w:basedOn w:val="ab"/>
    <w:rsid w:val="00BD4F91"/>
    <w:pPr>
      <w:jc w:val="center"/>
    </w:pPr>
    <w:rPr>
      <w:i w:val="0"/>
    </w:rPr>
  </w:style>
  <w:style w:type="paragraph" w:customStyle="1" w:styleId="Figure">
    <w:name w:val="Figure"/>
    <w:basedOn w:val="a"/>
    <w:rsid w:val="009B2D46"/>
    <w:pPr>
      <w:keepNext/>
      <w:keepLines/>
      <w:spacing w:before="60"/>
      <w:jc w:val="center"/>
    </w:pPr>
  </w:style>
  <w:style w:type="paragraph" w:customStyle="1" w:styleId="CaptionedFigure">
    <w:name w:val="Captioned Figure"/>
    <w:basedOn w:val="Figure"/>
  </w:style>
  <w:style w:type="character" w:customStyle="1" w:styleId="ac">
    <w:name w:val="题注 字符"/>
    <w:basedOn w:val="a1"/>
    <w:link w:val="ab"/>
  </w:style>
  <w:style w:type="character" w:customStyle="1" w:styleId="VerbatimChar">
    <w:name w:val="Verbatim Char"/>
    <w:basedOn w:val="ac"/>
    <w:rsid w:val="009137D8"/>
    <w:rPr>
      <w:rFonts w:ascii="Consolas" w:hAnsi="Consolas"/>
      <w:color w:val="C00000"/>
      <w:sz w:val="22"/>
      <w:u w:val="none"/>
      <w:bdr w:val="none" w:sz="0" w:space="0" w:color="auto"/>
      <w:shd w:val="clear" w:color="auto" w:fill="F2F2F2" w:themeFill="background1" w:themeFillShade="F2"/>
    </w:rPr>
  </w:style>
  <w:style w:type="character" w:styleId="ad">
    <w:name w:val="footnote reference"/>
    <w:basedOn w:val="ac"/>
    <w:rPr>
      <w:vertAlign w:val="superscript"/>
    </w:rPr>
  </w:style>
  <w:style w:type="character" w:styleId="ae">
    <w:name w:val="Hyperlink"/>
    <w:basedOn w:val="ac"/>
    <w:rsid w:val="00317227"/>
    <w:rPr>
      <w:color w:val="0070C0"/>
    </w:rPr>
  </w:style>
  <w:style w:type="paragraph" w:styleId="TOC">
    <w:name w:val="TOC Heading"/>
    <w:basedOn w:val="1"/>
    <w:next w:val="a0"/>
    <w:uiPriority w:val="39"/>
    <w:unhideWhenUsed/>
    <w:qFormat/>
    <w:rsid w:val="009137D8"/>
    <w:pPr>
      <w:numPr>
        <w:numId w:val="0"/>
      </w:numPr>
      <w:spacing w:before="240" w:line="259" w:lineRule="auto"/>
      <w:jc w:val="center"/>
      <w:outlineLvl w:val="9"/>
    </w:pPr>
    <w:rPr>
      <w:b w:val="0"/>
      <w:bCs w:val="0"/>
    </w:rPr>
  </w:style>
  <w:style w:type="character" w:customStyle="1" w:styleId="a4">
    <w:name w:val="正文文本 字符"/>
    <w:basedOn w:val="a1"/>
    <w:link w:val="a0"/>
    <w:rsid w:val="006712EE"/>
  </w:style>
  <w:style w:type="paragraph" w:styleId="af">
    <w:name w:val="List Paragraph"/>
    <w:basedOn w:val="a"/>
    <w:rsid w:val="005E0C3D"/>
    <w:pPr>
      <w:ind w:left="720"/>
      <w:contextualSpacing/>
    </w:pPr>
  </w:style>
  <w:style w:type="numbering" w:customStyle="1" w:styleId="Defaultul">
    <w:name w:val="Default ul"/>
    <w:basedOn w:val="a3"/>
    <w:uiPriority w:val="99"/>
    <w:rsid w:val="005E0C3D"/>
    <w:pPr>
      <w:numPr>
        <w:numId w:val="22"/>
      </w:numPr>
    </w:pPr>
  </w:style>
  <w:style w:type="numbering" w:customStyle="1" w:styleId="Defaultol">
    <w:name w:val="Default ol"/>
    <w:basedOn w:val="a3"/>
    <w:uiPriority w:val="99"/>
    <w:rsid w:val="005E0C3D"/>
    <w:pPr>
      <w:numPr>
        <w:numId w:val="23"/>
      </w:numPr>
    </w:pPr>
  </w:style>
  <w:style w:type="paragraph" w:styleId="af0">
    <w:name w:val="footer"/>
    <w:basedOn w:val="a"/>
    <w:link w:val="af1"/>
    <w:unhideWhenUsed/>
    <w:rsid w:val="00AC4D5C"/>
    <w:pPr>
      <w:tabs>
        <w:tab w:val="center" w:pos="4536"/>
        <w:tab w:val="right" w:pos="9072"/>
      </w:tabs>
      <w:spacing w:after="0"/>
    </w:pPr>
    <w:rPr>
      <w:color w:val="000000" w:themeColor="text1"/>
      <w:sz w:val="21"/>
    </w:rPr>
  </w:style>
  <w:style w:type="character" w:customStyle="1" w:styleId="af1">
    <w:name w:val="页脚 字符"/>
    <w:basedOn w:val="a1"/>
    <w:link w:val="af0"/>
    <w:rsid w:val="00AC4D5C"/>
    <w:rPr>
      <w:color w:val="000000" w:themeColor="text1"/>
      <w:sz w:val="21"/>
    </w:rPr>
  </w:style>
  <w:style w:type="character" w:styleId="af2">
    <w:name w:val="page number"/>
    <w:basedOn w:val="a1"/>
    <w:semiHidden/>
    <w:unhideWhenUsed/>
    <w:rsid w:val="00676DF8"/>
  </w:style>
  <w:style w:type="paragraph" w:styleId="af3">
    <w:name w:val="header"/>
    <w:basedOn w:val="a"/>
    <w:link w:val="af4"/>
    <w:unhideWhenUsed/>
    <w:rsid w:val="003F65B2"/>
    <w:pPr>
      <w:tabs>
        <w:tab w:val="center" w:pos="4536"/>
        <w:tab w:val="right" w:pos="9072"/>
      </w:tabs>
      <w:spacing w:after="0"/>
    </w:pPr>
  </w:style>
  <w:style w:type="character" w:customStyle="1" w:styleId="af4">
    <w:name w:val="页眉 字符"/>
    <w:basedOn w:val="a1"/>
    <w:link w:val="af3"/>
    <w:rsid w:val="003F65B2"/>
  </w:style>
  <w:style w:type="character" w:styleId="af5">
    <w:name w:val="line number"/>
    <w:basedOn w:val="a1"/>
    <w:semiHidden/>
    <w:unhideWhenUsed/>
    <w:rsid w:val="00AC4D5C"/>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581797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2.xml"/><Relationship Id="rId10" Type="http://schemas.openxmlformats.org/officeDocument/2006/relationships/footer" Target="footer1.xml"/><Relationship Id="rId32" Type="http://schemas.openxmlformats.org/officeDocument/2006/relationships/hyperlink" Target="../0.data/blank_result.xlsx" TargetMode="External"/><Relationship Id="rId22" Type="http://schemas.openxmlformats.org/officeDocument/2006/relationships/hyperlink" Target="../0.data/component.xlsx" TargetMode="External"/><Relationship Id="rId30" Type="http://schemas.openxmlformats.org/officeDocument/2006/relationships/hyperlink" Target="../0.data/data.levels.xlsx" TargetMode="External"/><Relationship Id="rId28" Type="http://schemas.openxmlformats.org/officeDocument/2006/relationships/hyperlink" Target="../0.data/equation.xlsx" TargetMode="External"/><Relationship Id="rId24" Type="http://schemas.openxmlformats.org/officeDocument/2006/relationships/hyperlink" Target="../0.data/sample_info.xlsx" TargetMode="External"/><Relationship Id="rId34" Type="http://schemas.openxmlformats.org/officeDocument/2006/relationships/hyperlink" Target="../1.Data_Assess/histogram/groups.stat.xlsx" TargetMode="External"/><Relationship Id="rId35" Type="http://schemas.openxmlformats.org/officeDocument/2006/relationships/hyperlink" Target="../1.Data_Assess/histogram/histogram_compounds" TargetMode="External"/><Relationship Id="rId38" Type="http://schemas.openxmlformats.org/officeDocument/2006/relationships/hyperlink" Target="../2.Basic_Analysis/Difference_analysis/A_vs_B/A_vs_B_filter.xlsx" TargetMode="External"/><Relationship Id="rId45" Type="http://schemas.openxmlformats.org/officeDocument/2006/relationships/hyperlink" Target="../2.Basic_Analysis/Difference_analysis/A_vs_B/enrichment/A_vs_B_KEGG.xlsx" TargetMode="External"/><Relationship Id="rId44" Type="http://schemas.openxmlformats.org/officeDocument/2006/relationships/hyperlink" Target="../2.Basic_Analysis/Difference_analysis/A_vs_B/enrichment/A_vs_B_filter_kegg.xlsx" TargetMode="External"/><Relationship Id="rId43" Type="http://schemas.openxmlformats.org/officeDocument/2006/relationships/hyperlink" Target="../2.Basic_Analysis/Difference_analysis/A_vs_B/enrichment/Graph" TargetMode="External"/><Relationship Id="rId40" Type="http://schemas.openxmlformats.org/officeDocument/2006/relationships/hyperlink" Target="../2.Basic_Analysis/Difference_analysis/sigMetabolitesCount.xlsx" TargetMode="External"/><Relationship Id="rId46" Type="http://schemas.openxmlformats.org/officeDocument/2006/relationships/image" Target="media/file2eab1792bbd15.png"/><Relationship Id="rId47" Type="http://schemas.openxmlformats.org/officeDocument/2006/relationships/image" Target="media/file2eab1147e8e45.png"/><Relationship Id="rId48" Type="http://schemas.openxmlformats.org/officeDocument/2006/relationships/image" Target="media/file2eab1433b6a96.png"/><Relationship Id="rId49" Type="http://schemas.openxmlformats.org/officeDocument/2006/relationships/image" Target="media/file2eab1ae03827.png"/></Relationships>
</file>

<file path=word/_rels/footnotes.xml.rels><?xml version="1.0" encoding="UTF-8" standalone="yes"?>
<Relationships  xmlns="http://schemas.openxmlformats.org/package/2006/relationships"><Relationship Id="rId32" Type="http://schemas.openxmlformats.org/officeDocument/2006/relationships/hyperlink" Target="../0.data/blank_result.xlsx" TargetMode="External"/><Relationship Id="rId22" Type="http://schemas.openxmlformats.org/officeDocument/2006/relationships/hyperlink" Target="../0.data/component.xlsx" TargetMode="External"/><Relationship Id="rId30" Type="http://schemas.openxmlformats.org/officeDocument/2006/relationships/hyperlink" Target="../0.data/data.levels.xlsx" TargetMode="External"/><Relationship Id="rId28" Type="http://schemas.openxmlformats.org/officeDocument/2006/relationships/hyperlink" Target="../0.data/equation.xlsx" TargetMode="External"/><Relationship Id="rId24" Type="http://schemas.openxmlformats.org/officeDocument/2006/relationships/hyperlink" Target="../0.data/sample_info.xlsx" TargetMode="External"/><Relationship Id="rId34" Type="http://schemas.openxmlformats.org/officeDocument/2006/relationships/hyperlink" Target="../1.Data_Assess/histogram/groups.stat.xlsx" TargetMode="External"/><Relationship Id="rId35" Type="http://schemas.openxmlformats.org/officeDocument/2006/relationships/hyperlink" Target="../1.Data_Assess/histogram/histogram_compounds" TargetMode="External"/><Relationship Id="rId38" Type="http://schemas.openxmlformats.org/officeDocument/2006/relationships/hyperlink" Target="../2.Basic_Analysis/Difference_analysis/A_vs_B/A_vs_B_filter.xlsx" TargetMode="External"/><Relationship Id="rId45" Type="http://schemas.openxmlformats.org/officeDocument/2006/relationships/hyperlink" Target="../2.Basic_Analysis/Difference_analysis/A_vs_B/enrichment/A_vs_B_KEGG.xlsx" TargetMode="External"/><Relationship Id="rId44" Type="http://schemas.openxmlformats.org/officeDocument/2006/relationships/hyperlink" Target="../2.Basic_Analysis/Difference_analysis/A_vs_B/enrichment/A_vs_B_filter_kegg.xlsx" TargetMode="External"/><Relationship Id="rId43" Type="http://schemas.openxmlformats.org/officeDocument/2006/relationships/hyperlink" Target="../2.Basic_Analysis/Difference_analysis/A_vs_B/enrichment/Graph" TargetMode="External"/><Relationship Id="rId40" Type="http://schemas.openxmlformats.org/officeDocument/2006/relationships/hyperlink" Target="../2.Basic_Analysis/Difference_analysis/sigMetabolitesCount.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2</Pages>
  <Words>101</Words>
  <Characters>581</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Title</vt:lpstr>
    </vt:vector>
  </TitlesOfParts>
  <Company/>
  <LinksUpToDate>false</LinksUpToDate>
  <CharactersWithSpaces>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creator/>
  <cp:keywords/>
  <dcterms:created xsi:type="dcterms:W3CDTF">2024-09-09T09:13:33Z</dcterms:created>
  <dcterms:modified xsi:type="dcterms:W3CDTF">2024-09-09T17:13:33Z</dcterms:modified>
  <cp:lastModifiedBy>wangpeng</cp:lastModifiedBy>
</cp:coreProperties>
</file>