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黑体" w:hAnsi="黑体" w:eastAsia="黑体"/>
          <w:color w:val="5B9BD5" w:themeColor="accent1"/>
          <w14:textFill>
            <w14:solidFill>
              <w14:schemeClr w14:val="accent1"/>
            </w14:solidFill>
          </w14:textFill>
        </w:rPr>
        <w:id w:val="-1103648534"/>
        <w:docPartObj>
          <w:docPartGallery w:val="autotext"/>
        </w:docPartObj>
      </w:sdtPr>
      <w:sdtEndPr>
        <w:rPr>
          <w:rFonts w:ascii="黑体" w:hAnsi="黑体" w:eastAsia="黑体"/>
          <w:color w:val="auto"/>
        </w:rPr>
      </w:sdtEndPr>
      <w:sdtContent>
        <w:p>
          <w:pPr>
            <w:widowControl/>
            <w:jc w:val="left"/>
            <w:rPr>
              <w:rFonts w:ascii="黑体" w:hAnsi="黑体" w:eastAsia="黑体" w:cs="宋体"/>
              <w:kern w:val="0"/>
              <w:sz w:val="24"/>
              <w:szCs w:val="24"/>
            </w:rPr>
          </w:pPr>
          <w:bookmarkStart w:id="0" w:name="OLE_LINK1"/>
          <w:r>
            <w:rPr>
              <w:rFonts w:ascii="黑体" w:hAnsi="黑体" w:eastAsia="黑体"/>
              <w:color w:val="5B9BD5" w:themeColor="accent1"/>
              <w14:textFill>
                <w14:solidFill>
                  <w14:schemeClr w14:val="accent1"/>
                </w14:solidFill>
              </w14:textFill>
            </w:rPr>
            <w:softHyphen/>
          </w:r>
          <w:r>
            <w:rPr>
              <w:rFonts w:ascii="黑体" w:hAnsi="黑体" w:eastAsia="黑体"/>
              <w:color w:val="5B9BD5" w:themeColor="accent1"/>
              <w14:textFill>
                <w14:solidFill>
                  <w14:schemeClr w14:val="accent1"/>
                </w14:solidFill>
              </w14:textFill>
            </w:rPr>
            <w:softHyphen/>
          </w:r>
          <w:r>
            <w:rPr>
              <w:rFonts w:ascii="黑体" w:hAnsi="黑体" w:eastAsia="黑体"/>
              <w:color w:val="5B9BD5" w:themeColor="accent1"/>
              <w14:textFill>
                <w14:solidFill>
                  <w14:schemeClr w14:val="accent1"/>
                </w14:solidFill>
              </w14:textFill>
            </w:rPr>
            <w:softHyphen/>
          </w:r>
        </w:p>
        <w:p>
          <w:pPr>
            <w:pStyle w:val="14"/>
            <w:spacing w:before="480"/>
            <w:rPr>
              <w:rFonts w:ascii="黑体" w:hAnsi="黑体" w:eastAsia="黑体"/>
              <w:color w:val="5B9BD5" w:themeColor="accent1"/>
              <w14:textFill>
                <w14:solidFill>
                  <w14:schemeClr w14:val="accent1"/>
                </w14:solidFill>
              </w14:textFill>
            </w:rPr>
          </w:pPr>
        </w:p>
        <w:p>
          <w:pPr>
            <w:widowControl/>
            <w:jc w:val="left"/>
            <w:rPr>
              <w:rFonts w:ascii="黑体" w:hAnsi="黑体" w:eastAsia="黑体"/>
            </w:rPr>
          </w:pPr>
        </w:p>
        <w:p>
          <w:pPr>
            <w:rPr>
              <w:rFonts w:ascii="黑体" w:hAnsi="黑体" w:eastAsia="黑体"/>
            </w:rPr>
          </w:pPr>
        </w:p>
        <w:p>
          <w:pPr>
            <w:rPr>
              <w:rFonts w:ascii="黑体" w:hAnsi="黑体" w:eastAsia="黑体"/>
            </w:rPr>
          </w:pPr>
        </w:p>
        <w:p>
          <w:pPr>
            <w:rPr>
              <w:rFonts w:ascii="黑体" w:hAnsi="黑体" w:eastAsia="黑体"/>
            </w:rPr>
          </w:pPr>
        </w:p>
        <w:p>
          <w:pPr>
            <w:rPr>
              <w:rFonts w:ascii="黑体" w:hAnsi="黑体" w:eastAsia="黑体"/>
            </w:rPr>
          </w:pPr>
        </w:p>
        <w:p>
          <w:pPr>
            <w:pStyle w:val="14"/>
            <w:jc w:val="center"/>
            <w:rPr>
              <w:rFonts w:hint="default" w:ascii="Times New Roman" w:hAnsi="Times New Roman" w:eastAsia="思源黑体 Bold" w:cs="Times New Roman"/>
              <w:color w:val="3B3838" w:themeColor="background2" w:themeShade="40"/>
              <w:sz w:val="36"/>
              <w:szCs w:val="36"/>
            </w:rPr>
          </w:pPr>
          <w:r>
            <w:rPr>
              <w:rFonts w:hint="eastAsia" w:ascii="Times New Roman" w:hAnsi="Times New Roman" w:eastAsia="黑体" w:cs="Times New Roman"/>
              <w:color w:val="3A3535"/>
              <w:sz w:val="36"/>
              <w:szCs w:val="36"/>
              <w:lang w:val="en-US" w:eastAsia="zh-CN"/>
            </w:rPr>
            <w:t>疾病</w:t>
          </w:r>
          <w:r>
            <w:rPr>
              <w:rFonts w:hint="default" w:ascii="Times New Roman" w:hAnsi="Times New Roman" w:eastAsia="黑体" w:cs="Times New Roman"/>
              <w:color w:val="3A3535"/>
              <w:sz w:val="36"/>
              <w:szCs w:val="36"/>
            </w:rPr>
            <w:t xml:space="preserve"> W</w:t>
          </w:r>
          <w:r>
            <w:rPr>
              <w:rFonts w:hint="eastAsia" w:ascii="Times New Roman" w:hAnsi="Times New Roman" w:eastAsia="黑体" w:cs="Times New Roman"/>
              <w:color w:val="3A3535"/>
              <w:sz w:val="36"/>
              <w:szCs w:val="36"/>
              <w:lang w:val="en-US" w:eastAsia="zh-CN"/>
            </w:rPr>
            <w:t>E</w:t>
          </w:r>
          <w:r>
            <w:rPr>
              <w:rFonts w:hint="default" w:ascii="Times New Roman" w:hAnsi="Times New Roman" w:eastAsia="黑体" w:cs="Times New Roman"/>
              <w:color w:val="3A3535"/>
              <w:sz w:val="36"/>
              <w:szCs w:val="36"/>
            </w:rPr>
            <w:t>S</w:t>
          </w:r>
          <w:r>
            <w:rPr>
              <w:rFonts w:hint="eastAsia" w:ascii="Times New Roman" w:hAnsi="Times New Roman" w:eastAsia="黑体" w:cs="Times New Roman"/>
              <w:color w:val="3A3535"/>
              <w:sz w:val="36"/>
              <w:szCs w:val="36"/>
              <w:lang w:val="en-US" w:eastAsia="zh-CN"/>
            </w:rPr>
            <w:t>英文版</w:t>
          </w:r>
          <w:r>
            <w:rPr>
              <w:rFonts w:hint="default" w:ascii="Times New Roman" w:hAnsi="Times New Roman" w:eastAsia="黑体" w:cs="Times New Roman"/>
              <w:color w:val="3A3535"/>
              <w:sz w:val="36"/>
              <w:szCs w:val="36"/>
            </w:rPr>
            <w:t xml:space="preserve"> method</w:t>
          </w:r>
        </w:p>
        <w:p>
          <w:pPr>
            <w:pStyle w:val="14"/>
            <w:jc w:val="center"/>
            <w:rPr>
              <w:rFonts w:ascii="黑体" w:hAnsi="黑体" w:eastAsia="黑体"/>
              <w:color w:val="3B3838" w:themeColor="background2" w:themeShade="40"/>
              <w:sz w:val="36"/>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hint="eastAsia" w:ascii="黑体" w:hAnsi="黑体" w:eastAsia="黑体"/>
              <w:sz w:val="28"/>
              <w:szCs w:val="28"/>
              <w:lang w:eastAsia="zh-CN"/>
            </w:rPr>
          </w:pPr>
        </w:p>
        <w:p>
          <w:pPr>
            <w:rPr>
              <w:rFonts w:hint="eastAsia" w:ascii="黑体" w:hAnsi="黑体" w:eastAsia="黑体"/>
              <w:sz w:val="28"/>
              <w:szCs w:val="28"/>
              <w:lang w:eastAsia="zh-CN"/>
            </w:rPr>
          </w:pPr>
        </w:p>
        <w:p>
          <w:pPr>
            <w:pStyle w:val="7"/>
            <w:jc w:val="center"/>
            <w:rPr>
              <w:rFonts w:ascii="黑体" w:hAnsi="黑体" w:eastAsia="黑体"/>
              <w:sz w:val="28"/>
              <w:szCs w:val="28"/>
            </w:rPr>
          </w:pPr>
          <w:r>
            <w:rPr>
              <w:rFonts w:hint="eastAsia" w:ascii="微软雅黑" w:hAnsi="微软雅黑" w:eastAsia="微软雅黑" w:cs="微软雅黑"/>
              <w:color w:val="auto"/>
              <w:sz w:val="24"/>
              <w:szCs w:val="24"/>
            </w:rPr>
            <w:t>仅供客户在文章写作时参考，分析内容和方法请以结题报告为准，请客户自行承担文章查重等相关</w:t>
          </w:r>
          <w:r>
            <w:rPr>
              <w:rFonts w:hint="eastAsia" w:ascii="微软雅黑" w:hAnsi="微软雅黑" w:eastAsia="微软雅黑" w:cs="微软雅黑"/>
              <w:color w:val="auto"/>
              <w:sz w:val="24"/>
              <w:szCs w:val="24"/>
              <w:lang w:val="en-US" w:eastAsia="zh-CN"/>
            </w:rPr>
            <w:t>风</w:t>
          </w:r>
          <w:r>
            <w:rPr>
              <w:rFonts w:hint="eastAsia" w:ascii="微软雅黑" w:hAnsi="微软雅黑" w:eastAsia="微软雅黑" w:cs="微软雅黑"/>
              <w:color w:val="auto"/>
              <w:sz w:val="24"/>
              <w:szCs w:val="24"/>
            </w:rPr>
            <w:t>险。</w:t>
          </w:r>
        </w:p>
      </w:sdtContent>
    </w:sdt>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8"/>
          <w:szCs w:val="28"/>
        </w:rPr>
      </w:pPr>
      <w:r>
        <w:rPr>
          <w:rFonts w:hint="default" w:ascii="Times New Roman" w:hAnsi="Times New Roman" w:eastAsia="思源黑体 Regular" w:cs="Times New Roman"/>
          <w:b/>
          <w:bCs/>
          <w:sz w:val="28"/>
          <w:szCs w:val="28"/>
        </w:rPr>
        <w:t>Experimental Procedure</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 w:name="OLE_LINK18"/>
      <w:r>
        <w:rPr>
          <w:rFonts w:hint="default" w:ascii="Times New Roman" w:hAnsi="Times New Roman" w:eastAsia="思源黑体 Regular" w:cs="Times New Roman"/>
          <w:b/>
          <w:bCs/>
          <w:sz w:val="24"/>
          <w:szCs w:val="24"/>
        </w:rPr>
        <w:t xml:space="preserve">1.1.Sample Quality Control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eastAsia" w:ascii="Times New Roman" w:hAnsi="Times New Roman" w:eastAsia="宋体" w:cs="Times New Roman"/>
          <w:b w:val="0"/>
          <w:bCs w:val="0"/>
          <w:sz w:val="24"/>
          <w:szCs w:val="24"/>
          <w:lang w:val="en-US" w:eastAsia="zh-CN"/>
        </w:rPr>
      </w:pPr>
      <w:r>
        <w:rPr>
          <w:rFonts w:hint="default" w:ascii="Times New Roman" w:hAnsi="Times New Roman" w:eastAsia="思源黑体 Regular" w:cs="Times New Roman"/>
          <w:b w:val="0"/>
          <w:bCs w:val="0"/>
          <w:sz w:val="24"/>
          <w:szCs w:val="24"/>
        </w:rPr>
        <w:t>Please refer to QC report for methods of sample quality control</w:t>
      </w:r>
      <w:r>
        <w:rPr>
          <w:rFonts w:hint="eastAsia" w:ascii="Times New Roman" w:hAnsi="Times New Roman" w:eastAsia="宋体" w:cs="Times New Roman"/>
          <w:b w:val="0"/>
          <w:bCs w:val="0"/>
          <w:sz w:val="24"/>
          <w:szCs w:val="24"/>
          <w:lang w:val="en-US" w:eastAsia="zh-CN"/>
        </w:rPr>
        <w:t>.</w:t>
      </w:r>
    </w:p>
    <w:bookmarkEnd w:id="1"/>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1.2</w:t>
      </w:r>
      <w:r>
        <w:rPr>
          <w:rFonts w:hint="eastAsia" w:ascii="Times New Roman" w:hAnsi="Times New Roman" w:eastAsia="思源黑体 Regular" w:cs="Times New Roman"/>
          <w:b/>
          <w:bCs/>
          <w:sz w:val="24"/>
          <w:szCs w:val="24"/>
          <w:lang w:val="en-US" w:eastAsia="zh-CN"/>
        </w:rPr>
        <w:t xml:space="preserve"> </w:t>
      </w:r>
      <w:r>
        <w:rPr>
          <w:rFonts w:hint="default" w:ascii="Times New Roman" w:hAnsi="Times New Roman" w:eastAsia="思源黑体 Regular" w:cs="Times New Roman"/>
          <w:b/>
          <w:bCs/>
          <w:sz w:val="24"/>
          <w:szCs w:val="24"/>
        </w:rPr>
        <w:t>DNA fragmentation</w:t>
      </w:r>
      <w:r>
        <w:rPr>
          <w:rFonts w:hint="default" w:ascii="Times New Roman" w:hAnsi="Times New Roman" w:eastAsia="思源黑体 Regular" w:cs="Times New Roman"/>
          <w:b/>
          <w:bCs/>
          <w:sz w:val="24"/>
          <w:szCs w:val="24"/>
          <w:lang w:val="en-US" w:eastAsia="zh-CN"/>
        </w:rPr>
        <w:t xml:space="preserve"> </w:t>
      </w:r>
      <w:r>
        <w:rPr>
          <w:rFonts w:hint="default" w:ascii="Times New Roman" w:hAnsi="Times New Roman" w:eastAsia="思源黑体 Regular" w:cs="Times New Roman"/>
          <w:b/>
          <w:bCs/>
          <w:sz w:val="24"/>
          <w:szCs w:val="24"/>
        </w:rPr>
        <w:t>(</w:t>
      </w:r>
      <w:bookmarkStart w:id="2" w:name="OLE_LINK2"/>
      <w:r>
        <w:rPr>
          <w:rFonts w:hint="default" w:ascii="Times New Roman" w:hAnsi="Times New Roman" w:eastAsia="思源黑体 Regular" w:cs="Times New Roman"/>
          <w:b/>
          <w:bCs/>
          <w:sz w:val="24"/>
          <w:szCs w:val="24"/>
        </w:rPr>
        <w:t>DNA Shearing</w:t>
      </w:r>
      <w:bookmarkEnd w:id="2"/>
      <w:r>
        <w:rPr>
          <w:rFonts w:hint="default" w:ascii="Times New Roman" w:hAnsi="Times New Roman" w:eastAsia="思源黑体 Regular" w:cs="Times New Roman"/>
          <w:b/>
          <w:bCs/>
          <w:sz w:val="24"/>
          <w:szCs w:val="24"/>
        </w:rPr>
        <w:t>)</w:t>
      </w:r>
      <w:bookmarkStart w:id="27" w:name="_GoBack"/>
      <w:bookmarkEnd w:id="27"/>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ascii="Heiti SC Medium" w:hAnsi="Heiti SC Medium" w:eastAsia="Heiti SC Medium"/>
          <w:sz w:val="22"/>
          <w:szCs w:val="22"/>
        </w:rPr>
      </w:pPr>
      <w:r>
        <w:rPr>
          <w:rFonts w:hint="default" w:ascii="Times New Roman" w:hAnsi="Times New Roman" w:eastAsia="思源黑体 Regular" w:cs="Times New Roman"/>
          <w:sz w:val="24"/>
          <w:szCs w:val="24"/>
        </w:rPr>
        <w:t xml:space="preserve">The genomic DNA was randomly interrupted by a Covaris fragmentation device into fragments of about </w:t>
      </w:r>
      <w:r>
        <w:rPr>
          <w:rFonts w:hint="eastAsia" w:ascii="Times New Roman" w:hAnsi="Times New Roman" w:eastAsia="宋体" w:cs="Times New Roman"/>
          <w:sz w:val="24"/>
          <w:szCs w:val="24"/>
          <w:lang w:val="en-US" w:eastAsia="zh-CN"/>
        </w:rPr>
        <w:t xml:space="preserve">180-280 </w:t>
      </w:r>
      <w:r>
        <w:rPr>
          <w:rFonts w:hint="default" w:ascii="Times New Roman" w:hAnsi="Times New Roman" w:eastAsia="思源黑体 Regular" w:cs="Times New Roman"/>
          <w:sz w:val="24"/>
          <w:szCs w:val="24"/>
        </w:rPr>
        <w:t xml:space="preserve">bp. </w:t>
      </w:r>
      <w:r>
        <w:rPr>
          <w:rFonts w:ascii="Heiti SC Medium" w:hAnsi="Heiti SC Medium" w:eastAsia="Heiti SC Medium"/>
          <w:sz w:val="22"/>
          <w:szCs w:val="22"/>
        </w:rPr>
        <w:t xml:space="preserve"> </w:t>
      </w:r>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1.3 </w:t>
      </w:r>
      <w:r>
        <w:rPr>
          <w:rFonts w:hint="default" w:ascii="Times New Roman" w:hAnsi="Times New Roman" w:eastAsia="思源黑体 Regular" w:cs="Times New Roman"/>
          <w:b/>
          <w:bCs/>
          <w:kern w:val="0"/>
          <w:sz w:val="24"/>
          <w:szCs w:val="24"/>
          <w:lang w:val="en-US" w:eastAsia="zh-CN" w:bidi="ar-SA"/>
        </w:rPr>
        <w:t>End repair reaction</w:t>
      </w:r>
      <w:r>
        <w:rPr>
          <w:rFonts w:hint="eastAsia" w:ascii="Times New Roman" w:hAnsi="Times New Roman" w:eastAsia="思源黑体 Regular" w:cs="Times New Roman"/>
          <w:b/>
          <w:bCs/>
          <w:kern w:val="0"/>
          <w:sz w:val="24"/>
          <w:szCs w:val="24"/>
          <w:lang w:val="en-US" w:eastAsia="zh-CN" w:bidi="ar-SA"/>
        </w:rPr>
        <w:t xml:space="preserve"> </w:t>
      </w:r>
      <w:r>
        <w:rPr>
          <w:rFonts w:hint="default" w:ascii="Times New Roman" w:hAnsi="Times New Roman" w:eastAsia="思源黑体 Regular" w:cs="Times New Roman"/>
          <w:b/>
          <w:bCs/>
          <w:sz w:val="24"/>
          <w:szCs w:val="24"/>
        </w:rPr>
        <w:t xml:space="preserve">(End Repair) </w:t>
      </w:r>
      <w:bookmarkStart w:id="3" w:name="OLE_LINK4"/>
      <w:bookmarkStart w:id="4" w:name="OLE_LINK3"/>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jc w:val="both"/>
        <w:textAlignment w:val="auto"/>
        <w:rPr>
          <w:rFonts w:hint="default" w:ascii="Times New Roman" w:hAnsi="Times New Roman" w:eastAsia="思源黑体 Regular" w:cs="Times New Roman"/>
          <w:b w:val="0"/>
          <w:bCs w:val="0"/>
          <w:sz w:val="24"/>
          <w:szCs w:val="24"/>
        </w:rPr>
      </w:pPr>
      <w:r>
        <w:rPr>
          <w:rFonts w:hint="default" w:ascii="Times New Roman" w:hAnsi="Times New Roman" w:eastAsia="思源黑体 Regular" w:cs="Times New Roman"/>
          <w:b w:val="0"/>
          <w:bCs w:val="0"/>
          <w:sz w:val="24"/>
          <w:szCs w:val="24"/>
        </w:rPr>
        <w:t>The fragmented DNA has a</w:t>
      </w:r>
      <w:bookmarkStart w:id="5" w:name="OLE_LINK5"/>
      <w:r>
        <w:rPr>
          <w:rFonts w:hint="default" w:ascii="Times New Roman" w:hAnsi="Times New Roman" w:eastAsia="思源黑体 Regular" w:cs="Times New Roman"/>
          <w:b w:val="0"/>
          <w:bCs w:val="0"/>
          <w:sz w:val="24"/>
          <w:szCs w:val="24"/>
        </w:rPr>
        <w:t xml:space="preserve"> protrusion </w:t>
      </w:r>
      <w:bookmarkEnd w:id="5"/>
      <w:r>
        <w:rPr>
          <w:rFonts w:hint="default" w:ascii="Times New Roman" w:hAnsi="Times New Roman" w:eastAsia="思源黑体 Regular" w:cs="Times New Roman"/>
          <w:b w:val="0"/>
          <w:bCs w:val="0"/>
          <w:sz w:val="24"/>
          <w:szCs w:val="24"/>
        </w:rPr>
        <w:t xml:space="preserve">at the 5' or 3' end, and an end-complement system is added to the purified DNA fragments, in which the exonuclease activity of T4 DNA polymerase is used to digest the single-stranded </w:t>
      </w:r>
      <w:bookmarkStart w:id="6" w:name="OLE_LINK6"/>
      <w:r>
        <w:rPr>
          <w:rFonts w:hint="default" w:ascii="Times New Roman" w:hAnsi="Times New Roman" w:eastAsia="思源黑体 Regular" w:cs="Times New Roman"/>
          <w:b w:val="0"/>
          <w:bCs w:val="0"/>
          <w:sz w:val="24"/>
          <w:szCs w:val="24"/>
        </w:rPr>
        <w:t>protrusion</w:t>
      </w:r>
      <w:bookmarkEnd w:id="6"/>
      <w:r>
        <w:rPr>
          <w:rFonts w:hint="default" w:ascii="Times New Roman" w:hAnsi="Times New Roman" w:eastAsia="思源黑体 Regular" w:cs="Times New Roman"/>
          <w:b w:val="0"/>
          <w:bCs w:val="0"/>
          <w:sz w:val="24"/>
          <w:szCs w:val="24"/>
        </w:rPr>
        <w:t xml:space="preserve"> at the 3' end, and its polymerase activity is used to complement the protrusion at the 5' end. At the same time phosphate kinase (PNK) adds a phosphate group to the 5' end, which is required for subsequent ligation reactions. After purification with Agencourt AMPure XP magnetic beads, a library of short, flat-ended DNA fragments containing a phosphate group at the 5' end is obtained.</w:t>
      </w:r>
      <w:bookmarkEnd w:id="3"/>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1.4 Addition of poly(A) tail at 3' end (Adenlylate 3’ Ends)</w:t>
      </w:r>
      <w:bookmarkStart w:id="7" w:name="OLE_LINK7"/>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above system was supplemented with 3' end-addition poly(A) buffer</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reaction system</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 single adenylate "A" is added to the 3' end of the end-modified double-stranded DNA</w:t>
      </w:r>
      <w:r>
        <w:rPr>
          <w:rFonts w:hint="default" w:ascii="Times New Roman" w:hAnsi="Times New Roman" w:cs="Times New Roman"/>
          <w:sz w:val="24"/>
          <w:szCs w:val="24"/>
          <w:lang w:val="en-US" w:eastAsia="zh-CN"/>
        </w:rPr>
        <w:t>, which</w:t>
      </w:r>
      <w:r>
        <w:rPr>
          <w:rFonts w:hint="default" w:ascii="Times New Roman" w:hAnsi="Times New Roman" w:eastAsia="思源黑体 Regular" w:cs="Times New Roman"/>
          <w:sz w:val="24"/>
          <w:szCs w:val="24"/>
        </w:rPr>
        <w:t xml:space="preserve"> is to prevent the flat ends of DNA fragments from self-associating with each other, so that they can be complementarily paired with the single "T"</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b w:val="0"/>
          <w:bCs w:val="0"/>
          <w:sz w:val="24"/>
          <w:szCs w:val="24"/>
        </w:rPr>
        <w:t>protrusion</w:t>
      </w:r>
      <w:r>
        <w:rPr>
          <w:rFonts w:hint="default" w:ascii="Times New Roman" w:hAnsi="Times New Roman" w:eastAsia="思源黑体 Regular" w:cs="Times New Roman"/>
          <w:sz w:val="24"/>
          <w:szCs w:val="24"/>
        </w:rPr>
        <w:t xml:space="preserve"> at the 5' end of the sequencing junction in the next step, and accurately connected, effectively reducing the crosstalk between library fragments themselves.</w:t>
      </w:r>
    </w:p>
    <w:bookmarkEnd w:id="7"/>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1.5 Adapter Ligation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Ligation buffer and double-stranded sequencing </w:t>
      </w:r>
      <w:bookmarkStart w:id="8" w:name="OLE_LINK9"/>
      <w:r>
        <w:rPr>
          <w:rFonts w:hint="default" w:ascii="Times New Roman" w:hAnsi="Times New Roman" w:cs="Times New Roman"/>
          <w:sz w:val="24"/>
          <w:szCs w:val="24"/>
          <w:lang w:val="en-US" w:eastAsia="zh-CN"/>
        </w:rPr>
        <w:t>adapters</w:t>
      </w:r>
      <w:bookmarkEnd w:id="8"/>
      <w:r>
        <w:rPr>
          <w:rFonts w:hint="default" w:ascii="Times New Roman" w:hAnsi="Times New Roman" w:eastAsia="思源黑体 Regular" w:cs="Times New Roman"/>
          <w:sz w:val="24"/>
          <w:szCs w:val="24"/>
        </w:rPr>
        <w:t xml:space="preserve"> were added to the above reaction system</w:t>
      </w:r>
      <w:r>
        <w:rPr>
          <w:rFonts w:hint="default" w:ascii="Times New Roman" w:hAnsi="Times New Roman" w:cs="Times New Roman"/>
          <w:sz w:val="24"/>
          <w:szCs w:val="24"/>
          <w:lang w:val="en-US" w:eastAsia="zh-CN"/>
        </w:rPr>
        <w:t>,</w:t>
      </w:r>
      <w:r>
        <w:rPr>
          <w:rFonts w:hint="default" w:ascii="Times New Roman" w:hAnsi="Times New Roman" w:eastAsia="思源黑体 Regular" w:cs="Times New Roman"/>
          <w:sz w:val="24"/>
          <w:szCs w:val="24"/>
        </w:rPr>
        <w:t xml:space="preserve"> T4 DNA Ligase was used to ligate Illumina sequencing </w:t>
      </w:r>
      <w:bookmarkStart w:id="9" w:name="OLE_LINK8"/>
      <w:r>
        <w:rPr>
          <w:rFonts w:hint="default" w:ascii="Times New Roman" w:hAnsi="Times New Roman" w:cs="Times New Roman"/>
          <w:sz w:val="24"/>
          <w:szCs w:val="24"/>
          <w:lang w:val="en-US" w:eastAsia="zh-CN"/>
        </w:rPr>
        <w:t>adapters</w:t>
      </w:r>
      <w:bookmarkEnd w:id="9"/>
      <w:r>
        <w:rPr>
          <w:rFonts w:hint="default" w:ascii="Times New Roman" w:hAnsi="Times New Roman" w:eastAsia="思源黑体 Regular" w:cs="Times New Roman"/>
          <w:sz w:val="24"/>
          <w:szCs w:val="24"/>
        </w:rPr>
        <w:t xml:space="preserve"> to both ends of the library DNA.</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1.6 PCR-amplified DNA library (PCR Amplification)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High-fidelity polymerase amplification was applied to amplify the original library to ensure sufficient total library volume. In addition, because only the DNA fragments with adaptors at both ends can be amplified, this step can also effectively enrich this part of the DNA. Reduce bias introduced by excessive amplification cycles with sufficient product; ultimately determine the concentration of each library using Qubit3.0.</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w:t>
      </w:r>
      <w:r>
        <w:rPr>
          <w:rFonts w:hint="eastAsia" w:ascii="Times New Roman" w:hAnsi="Times New Roman" w:eastAsia="宋体" w:cs="Times New Roman"/>
          <w:b/>
          <w:bCs/>
          <w:sz w:val="24"/>
          <w:szCs w:val="24"/>
          <w:lang w:val="en-US" w:eastAsia="zh-CN"/>
        </w:rPr>
        <w:t>7</w:t>
      </w:r>
      <w:r>
        <w:rPr>
          <w:rFonts w:hint="default" w:ascii="Times New Roman" w:hAnsi="Times New Roman" w:eastAsia="思源黑体 Regular" w:cs="Times New Roman"/>
          <w:b/>
          <w:bCs/>
          <w:sz w:val="24"/>
          <w:szCs w:val="24"/>
        </w:rPr>
        <w:t xml:space="preserve"> </w:t>
      </w:r>
      <w:bookmarkStart w:id="10" w:name="OLE_LINK10"/>
      <w:r>
        <w:rPr>
          <w:rFonts w:hint="default" w:ascii="Times New Roman" w:hAnsi="Times New Roman" w:eastAsia="思源黑体 Regular" w:cs="Times New Roman"/>
          <w:b/>
          <w:bCs/>
          <w:sz w:val="24"/>
          <w:szCs w:val="24"/>
        </w:rPr>
        <w:t>Size Selection</w:t>
      </w:r>
      <w:bookmarkEnd w:id="10"/>
      <w:bookmarkStart w:id="11" w:name="OLE_LINK12"/>
      <w:r>
        <w:rPr>
          <w:rFonts w:hint="default" w:ascii="Times New Roman" w:hAnsi="Times New Roman" w:eastAsia="思源黑体 Regular" w:cs="Times New Roman"/>
          <w:b/>
          <w:bCs/>
          <w:sz w:val="24"/>
          <w:szCs w:val="24"/>
        </w:rPr>
        <w:t xml:space="preserve"> </w:t>
      </w:r>
      <w:bookmarkEnd w:id="11"/>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For libraries that have been attached to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fragment size screening should be performed by the Agencourt SPRIselect kit</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(Beckman Coulter, USA, Catalog # : 2358413)</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at the same time as the library is purified.</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Double Size Selection</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 xml:space="preserve">was adopted,specifically, the SPRI beads were used to remove the small fragments on the left side of the target domain, and then the large fragments located on the right side of the target fragment region were removed, so that the original library with moderate fragment size was selected for the next step of PCR amplification.Excess sequencing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xml:space="preserve"> and </w:t>
      </w:r>
      <w:r>
        <w:rPr>
          <w:rFonts w:hint="default" w:ascii="Times New Roman" w:hAnsi="Times New Roman" w:cs="Times New Roman"/>
          <w:sz w:val="24"/>
          <w:szCs w:val="24"/>
          <w:lang w:val="en-US" w:eastAsia="zh-CN"/>
        </w:rPr>
        <w:t>adapter</w:t>
      </w:r>
      <w:r>
        <w:rPr>
          <w:rFonts w:hint="default" w:ascii="Times New Roman" w:hAnsi="Times New Roman" w:eastAsia="思源黑体 Regular" w:cs="Times New Roman"/>
          <w:sz w:val="24"/>
          <w:szCs w:val="24"/>
        </w:rPr>
        <w:t xml:space="preserve"> self-linkage products in the system have been removed from the purified library to avoid invalid amplification during the PCR process and to eliminate the impact on on-board sequencing.</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lang w:val="en-US" w:eastAsia="zh-CN"/>
        </w:rPr>
      </w:pPr>
      <w:r>
        <w:rPr>
          <w:rFonts w:hint="default" w:ascii="Times New Roman" w:hAnsi="Times New Roman" w:eastAsia="思源黑体 Regular" w:cs="Times New Roman"/>
          <w:b/>
          <w:bCs/>
          <w:sz w:val="24"/>
          <w:szCs w:val="24"/>
          <w:lang w:val="en-US" w:eastAsia="zh-CN"/>
        </w:rPr>
        <w:t>1.8 Whole-exon hybrid capture (Library Hybridization with Exome Array)</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lang w:val="en-US" w:eastAsia="zh-CN"/>
        </w:rPr>
      </w:pPr>
      <w:r>
        <w:rPr>
          <w:rFonts w:hint="default" w:ascii="Times New Roman" w:hAnsi="Times New Roman" w:eastAsia="思源黑体 Regular" w:cs="Times New Roman"/>
          <w:sz w:val="24"/>
          <w:szCs w:val="24"/>
          <w:lang w:val="en-US" w:eastAsia="zh-CN"/>
        </w:rPr>
        <w:t>The adaptor library was liquid hybridized to the biotin-labeled probe library using the Agilent SureSelect Human All Exon V6 kit / Agilent SureSelectXT Mouse All Exon library kit. The principle of base complementation of nucleic acids was used to bind the probe to the target DNA fragment, and then the streptavidin magnetic beads were mixed with the hybrid mixture to make the streptavidin magnetic beads firmly bind to the biotin-containing target fragment, thus capturing the exon of the gene. After further washing and removing DNA unspecifically bound to the magnetic beads, DNA belonging to the exonic region in the library was enriched.</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lang w:val="en-US" w:eastAsia="zh-CN"/>
        </w:rPr>
      </w:pPr>
      <w:r>
        <w:rPr>
          <w:rFonts w:hint="default" w:ascii="Times New Roman" w:hAnsi="Times New Roman" w:eastAsia="思源黑体 Regular" w:cs="Times New Roman"/>
          <w:b/>
          <w:bCs/>
          <w:sz w:val="24"/>
          <w:szCs w:val="24"/>
          <w:lang w:val="en-US" w:eastAsia="zh-CN"/>
        </w:rPr>
        <w:t>1.9 PCR-amplified exon DNA library (PCR Amplification)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lang w:val="en-US" w:eastAsia="zh-CN"/>
        </w:rPr>
      </w:pPr>
      <w:r>
        <w:rPr>
          <w:rFonts w:hint="default" w:ascii="Times New Roman" w:hAnsi="Times New Roman" w:eastAsia="思源黑体 Regular" w:cs="Times New Roman"/>
          <w:sz w:val="24"/>
          <w:szCs w:val="24"/>
          <w:lang w:val="en-US" w:eastAsia="zh-CN"/>
        </w:rPr>
        <w:t>The original library was amplified by high-fidelity polymerase amplification in a 50 μ L reaction system to ensure sufficient total amount of exon libraries. The number of PCR amplification cycles was controlled between 10 and 12. Under the premise of ensuring sufficient product, the bias introduced by the large number of amplification cycles is reduced. The amplified exon library can be sequenced after magnetic bead purification.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w:t>
      </w:r>
      <w:r>
        <w:rPr>
          <w:rFonts w:hint="eastAsia" w:ascii="Times New Roman" w:hAnsi="Times New Roman" w:eastAsia="宋体" w:cs="Times New Roman"/>
          <w:b/>
          <w:bCs/>
          <w:sz w:val="24"/>
          <w:szCs w:val="24"/>
          <w:lang w:val="en-US" w:eastAsia="zh-CN"/>
        </w:rPr>
        <w:t>10</w:t>
      </w:r>
      <w:r>
        <w:rPr>
          <w:rFonts w:hint="default" w:ascii="Times New Roman" w:hAnsi="Times New Roman" w:eastAsia="思源黑体 Regular" w:cs="Times New Roman"/>
          <w:b/>
          <w:bCs/>
          <w:sz w:val="24"/>
          <w:szCs w:val="24"/>
        </w:rPr>
        <w:t xml:space="preserve"> Library Quality Assessment</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After the library construction was completed, the insert size of the library was detected by Agilent 5400 system (AATI), and after the insert size met the expectation, the effective concentration of the library (1.5</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nM) was accurately quantified</w:t>
      </w:r>
      <w:r>
        <w:rPr>
          <w:rFonts w:hint="default" w:ascii="Times New Roman" w:hAnsi="Times New Roman" w:cs="Times New Roman"/>
          <w:sz w:val="24"/>
          <w:szCs w:val="24"/>
          <w:lang w:val="en-US" w:eastAsia="zh-CN"/>
        </w:rPr>
        <w:t xml:space="preserve"> by </w:t>
      </w:r>
      <w:r>
        <w:rPr>
          <w:rFonts w:hint="default" w:ascii="Times New Roman" w:hAnsi="Times New Roman" w:eastAsia="思源黑体 Regular" w:cs="Times New Roman"/>
          <w:sz w:val="24"/>
          <w:szCs w:val="24"/>
        </w:rPr>
        <w:t>qPCR to ensure the quality of the library.</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w:t>
      </w:r>
      <w:r>
        <w:rPr>
          <w:rFonts w:hint="eastAsia" w:ascii="Times New Roman" w:hAnsi="Times New Roman" w:eastAsia="宋体" w:cs="Times New Roman"/>
          <w:b/>
          <w:bCs/>
          <w:sz w:val="24"/>
          <w:szCs w:val="24"/>
          <w:lang w:val="en-US" w:eastAsia="zh-CN"/>
        </w:rPr>
        <w:t>11</w:t>
      </w:r>
      <w:r>
        <w:rPr>
          <w:rFonts w:hint="default" w:ascii="Times New Roman" w:hAnsi="Times New Roman" w:eastAsia="思源黑体 Regular" w:cs="Times New Roman"/>
          <w:b/>
          <w:bCs/>
          <w:sz w:val="24"/>
          <w:szCs w:val="24"/>
        </w:rPr>
        <w:t xml:space="preserve"> Bridge</w:t>
      </w:r>
      <w:r>
        <w:rPr>
          <w:rFonts w:hint="eastAsia" w:ascii="Times New Roman" w:hAnsi="Times New Roman" w:cs="Times New Roman"/>
          <w:b/>
          <w:bCs/>
          <w:sz w:val="24"/>
          <w:szCs w:val="24"/>
          <w:lang w:val="en-US" w:eastAsia="zh-CN"/>
        </w:rPr>
        <w:t xml:space="preserve"> </w:t>
      </w:r>
      <w:r>
        <w:rPr>
          <w:rFonts w:hint="default" w:ascii="Times New Roman" w:hAnsi="Times New Roman" w:eastAsia="思源黑体 Regular" w:cs="Times New Roman"/>
          <w:b/>
          <w:bCs/>
          <w:sz w:val="24"/>
          <w:szCs w:val="24"/>
        </w:rPr>
        <w:t>PCR</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kern w:val="0"/>
          <w:sz w:val="24"/>
          <w:szCs w:val="24"/>
          <w:lang w:val="en-US" w:eastAsia="zh-CN" w:bidi="ar-SA"/>
        </w:rPr>
        <w:t>When the library is qualified, the library is then sequenced on the Illumina Novaseq platform accor</w:t>
      </w:r>
      <w:r>
        <w:rPr>
          <w:rFonts w:hint="default" w:ascii="Times New Roman" w:hAnsi="Times New Roman" w:eastAsia="思源黑体 Regular" w:cs="Times New Roman"/>
          <w:sz w:val="24"/>
          <w:szCs w:val="24"/>
        </w:rPr>
        <w:t xml:space="preserve">ding to the validated concentration and data output of the library. </w:t>
      </w:r>
      <w:r>
        <w:rPr>
          <w:rFonts w:hint="default" w:ascii="Times New Roman" w:hAnsi="Times New Roman" w:cs="Times New Roman"/>
          <w:sz w:val="24"/>
          <w:szCs w:val="24"/>
        </w:rPr>
        <w:t>Is the process of inoculthe captured library onto the FlowCell chip for amplification.The inner surface of the FlowCell channel has two different DNA primers that complement the adaptor sequences at both ends of the DNA library and are attached to the FlowCell as a covalent bond.The specific steps are described as follows: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w:t>
      </w:r>
      <w:bookmarkStart w:id="12" w:name="OLE_LINK13"/>
      <w:r>
        <w:rPr>
          <w:rFonts w:hint="default" w:ascii="Times New Roman" w:hAnsi="Times New Roman" w:cs="Times New Roman"/>
          <w:sz w:val="24"/>
          <w:szCs w:val="24"/>
        </w:rPr>
        <w:t>The DNA library is added to the chip. Since the DNA sequence of the double end and the primer sequence on the chip are complementary, complementary hybridization will be performed. After hybridization, dNTP and polymerase are added. the polymerase starts from the primer, along the template, to synthesize a DNA strand complementary to the original DNA sequence;</w:t>
      </w:r>
    </w:p>
    <w:bookmarkEnd w:id="12"/>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b.</w:t>
      </w:r>
      <w:bookmarkStart w:id="13" w:name="OLE_LINK11"/>
      <w:r>
        <w:rPr>
          <w:rFonts w:hint="default" w:ascii="Times New Roman" w:hAnsi="Times New Roman" w:cs="Times New Roman"/>
          <w:sz w:val="24"/>
          <w:szCs w:val="24"/>
        </w:rPr>
        <w:t>NaOH solution is added to make the DNA duplex unchain, wash away the DNA chain that is not covalently connected to the chip, and retain the newly synthesized DNA chain that is covalently connected to the chip;</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思源黑体 Regular" w:cs="Times New Roman"/>
          <w:sz w:val="24"/>
          <w:szCs w:val="24"/>
        </w:rPr>
        <w:t xml:space="preserve"> </w:t>
      </w:r>
      <w:bookmarkEnd w:id="13"/>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c.</w:t>
      </w:r>
      <w:bookmarkStart w:id="14" w:name="OLE_LINK14"/>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 neutralizing liquid is added to the liquid flow magnetic to neutralize the alkaline solution, then the other end of the DNA and the other primer on the chip undergo complementary hybridization, and the enzyme and dNTP are added to synthesize a new DNA chain</w:t>
      </w:r>
      <w:r>
        <w:rPr>
          <w:rFonts w:hint="default" w:ascii="Times New Roman" w:hAnsi="Times New Roman" w:cs="Times New Roman"/>
          <w:sz w:val="24"/>
          <w:szCs w:val="24"/>
          <w:lang w:val="en-US" w:eastAsia="zh-CN"/>
        </w:rPr>
        <w:t>. T</w:t>
      </w:r>
      <w:bookmarkStart w:id="15" w:name="OLE_LINK16"/>
      <w:r>
        <w:rPr>
          <w:rFonts w:hint="default" w:ascii="Times New Roman" w:hAnsi="Times New Roman" w:cs="Times New Roman"/>
          <w:sz w:val="24"/>
          <w:szCs w:val="24"/>
        </w:rPr>
        <w:t>he alkali solution is added again to separate the two DNA strands, then the neutralisation solution is added, followed by the addition of the enzyme and dNTP and the synthesis of the new strand with the new primer. This process is repeated continuously, and the DNA strands grow exponentially.</w:t>
      </w:r>
      <w:bookmarkEnd w:id="15"/>
      <w:r>
        <w:rPr>
          <w:rFonts w:hint="default" w:ascii="Times New Roman" w:hAnsi="Times New Roman" w:eastAsia="思源黑体 Regular" w:cs="Times New Roman"/>
          <w:sz w:val="24"/>
          <w:szCs w:val="24"/>
        </w:rPr>
        <w:t xml:space="preserve"> </w:t>
      </w:r>
      <w:bookmarkEnd w:id="14"/>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1.1</w:t>
      </w:r>
      <w:r>
        <w:rPr>
          <w:rFonts w:hint="eastAsia" w:ascii="Times New Roman" w:hAnsi="Times New Roman" w:eastAsia="宋体" w:cs="Times New Roman"/>
          <w:sz w:val="24"/>
          <w:szCs w:val="24"/>
          <w:lang w:val="en-US" w:eastAsia="zh-CN"/>
        </w:rPr>
        <w:t>2</w:t>
      </w:r>
      <w:r>
        <w:rPr>
          <w:rFonts w:hint="default" w:ascii="Times New Roman" w:hAnsi="Times New Roman" w:eastAsia="思源黑体 Regular" w:cs="Times New Roman"/>
          <w:sz w:val="24"/>
          <w:szCs w:val="24"/>
        </w:rPr>
        <w:t xml:space="preserve"> Illumina platform for PE150 on-board sequencing</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PE150 is Pair-end 150</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思源黑体 Regular" w:cs="Times New Roman"/>
          <w:sz w:val="24"/>
          <w:szCs w:val="24"/>
        </w:rPr>
        <w:t>bp, high-throughput sequencing. In the constructed DNA small fragment library, each insert fragment was sequenced at both ends, each end was sequenced at 150</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思源黑体 Regular" w:cs="Times New Roman"/>
          <w:sz w:val="24"/>
          <w:szCs w:val="24"/>
        </w:rPr>
        <w:t>bp, as follows.</w:t>
      </w:r>
      <w:bookmarkStart w:id="16" w:name="OLE_LINK15"/>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cs="Times New Roman"/>
          <w:sz w:val="24"/>
          <w:szCs w:val="24"/>
          <w:lang w:val="en-US" w:eastAsia="zh-CN"/>
        </w:rPr>
      </w:pPr>
      <w:r>
        <w:rPr>
          <w:rFonts w:hint="default" w:ascii="Times New Roman" w:hAnsi="Times New Roman" w:eastAsia="思源黑体 Regular" w:cs="Times New Roman"/>
          <w:sz w:val="24"/>
          <w:szCs w:val="24"/>
        </w:rPr>
        <w:t>After completion of bridge PCR, the synthesised double strand is turned into a single strand that can be sequenced</w:t>
      </w:r>
      <w:r>
        <w:rPr>
          <w:rFonts w:hint="default" w:ascii="Times New Roman" w:hAnsi="Times New Roman" w:cs="Times New Roman"/>
          <w:sz w:val="24"/>
          <w:szCs w:val="24"/>
          <w:lang w:val="en-US" w:eastAsia="zh-CN"/>
        </w:rPr>
        <w:t>;</w:t>
      </w:r>
      <w:bookmarkEnd w:id="16"/>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bookmarkStart w:id="17" w:name="OLE_LINK17"/>
      <w:r>
        <w:rPr>
          <w:rFonts w:hint="default" w:ascii="Times New Roman" w:hAnsi="Times New Roman" w:eastAsia="思源黑体 Regular" w:cs="Times New Roman"/>
          <w:sz w:val="24"/>
          <w:szCs w:val="24"/>
        </w:rPr>
        <w:t>A specific group of one of the primers on the chip is cut and the chip is rinsed with</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alkali solution, causing the DNA double strand to unravel and the cut DNA strand to be washed away, leaving the strand covalently bonded.</w:t>
      </w:r>
      <w:bookmarkEnd w:id="17"/>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Add neutral solution, sequencing primers and fluorescently labelled dNTP, in which the four dNTPs are labelled with four different fluorescent labels and their 3' ends are blocked by azide groups. The dNTP is then synthesised into the new DNA strand by adding polymerase, which can only extend one base per cycle due to the blockage of the 3' end by the sodium azide group. After completing a cycle, the excess dNTP, enzyme, etc. are washed out and placed under a microscope for laser scanning to determine the type of newly synthesised base based on the fluorescence emitted, and the template base can be inferred through the principle of complementarity</w:t>
      </w:r>
      <w:r>
        <w:rPr>
          <w:rFonts w:hint="eastAsia" w:ascii="Times New Roman" w:hAnsi="Times New Roman" w:cs="Times New Roman"/>
          <w:sz w:val="24"/>
          <w:szCs w:val="24"/>
          <w:lang w:val="en-US" w:eastAsia="zh-CN"/>
        </w:rPr>
        <w:t>.</w:t>
      </w:r>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After completing the cycle, chemicals are added that allow the sodium azide group and the fluorescent group to be cleaved off, exposing the hydroxyl group at the 3' end. New dNTP and enzyme are added, another base is extended, and the excess dNTP and enzyme are flushed out before the round of microscopic laser scanning is performed to read out this round of bases. This cycle is repeated over and over again for hundreds of base reads.</w:t>
      </w:r>
    </w:p>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ind w:left="0" w:leftChars="0" w:firstLine="0" w:firstLineChars="0"/>
        <w:jc w:val="both"/>
        <w:textAlignment w:val="auto"/>
        <w:rPr>
          <w:rFonts w:hint="default" w:ascii="Times New Roman" w:hAnsi="Times New Roman" w:eastAsia="思源黑体 Regular" w:cs="Times New Roman"/>
          <w:b/>
          <w:bCs/>
          <w:sz w:val="28"/>
          <w:szCs w:val="28"/>
        </w:rPr>
      </w:pPr>
      <w:r>
        <w:rPr>
          <w:rFonts w:hint="eastAsia" w:ascii="Times New Roman" w:hAnsi="Times New Roman" w:eastAsia="宋体" w:cs="Times New Roman"/>
          <w:b/>
          <w:bCs/>
          <w:sz w:val="28"/>
          <w:szCs w:val="28"/>
          <w:lang w:val="en-US" w:eastAsia="zh-CN"/>
        </w:rPr>
        <w:t>B</w:t>
      </w:r>
      <w:r>
        <w:rPr>
          <w:rFonts w:hint="default" w:ascii="Times New Roman" w:hAnsi="Times New Roman" w:eastAsia="思源黑体 Regular" w:cs="Times New Roman"/>
          <w:b/>
          <w:bCs/>
          <w:sz w:val="28"/>
          <w:szCs w:val="28"/>
        </w:rPr>
        <w:t xml:space="preserve">ioinformatic analysis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raw sequences were analysed for information at the end of sequencing. The data quality was evaluated to determine whether it met the standard. If the data meets the standard, the samples will be tested for variants, including SNP, InDel, CNV</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思源黑体 Regular" w:cs="Times New Roman"/>
          <w:sz w:val="24"/>
          <w:szCs w:val="24"/>
        </w:rPr>
        <w:t>and annotated with the corresponding variant information. If the data do not meet the quality standard, additional testing or library reconstruction is required according to the actual situation.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2.1 Data quality control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bookmarkStart w:id="18" w:name="OLE_LINK46"/>
      <w:r>
        <w:rPr>
          <w:rFonts w:hint="default" w:ascii="Times New Roman" w:hAnsi="Times New Roman" w:eastAsia="思源黑体 Regular" w:cs="Times New Roman"/>
          <w:sz w:val="24"/>
          <w:szCs w:val="24"/>
        </w:rPr>
        <w:t>2.1.1 Raw sequence data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raw image data files obtained by the Illumina sequencing platform of the original sequencing data were transformed by base</w:t>
      </w:r>
      <w:r>
        <w:rPr>
          <w:rFonts w:hint="default" w:ascii="Times New Roman" w:hAnsi="Times New Roman" w:cs="Times New Roman"/>
          <w:sz w:val="24"/>
          <w:szCs w:val="24"/>
          <w:lang w:val="en-US" w:eastAsia="zh-CN"/>
        </w:rPr>
        <w:t xml:space="preserve"> c</w:t>
      </w:r>
      <w:r>
        <w:rPr>
          <w:rFonts w:hint="default" w:ascii="Times New Roman" w:hAnsi="Times New Roman" w:cs="Times New Roman"/>
          <w:sz w:val="24"/>
          <w:szCs w:val="24"/>
        </w:rPr>
        <w:t xml:space="preserve">alling analysis into the raw </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equenced </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rPr>
        <w:t>eads, namely Raw Data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results are stored in the FASTQ</w:t>
      </w:r>
      <w:r>
        <w:rPr>
          <w:rFonts w:hint="eastAsia" w:ascii="Times New Roman" w:hAnsi="Times New Roman" w:cs="Times New Roman"/>
          <w:sz w:val="24"/>
          <w:szCs w:val="24"/>
          <w:lang w:val="en-US" w:eastAsia="zh-CN"/>
        </w:rPr>
        <w:t xml:space="preserve"> (fq)</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file format containing the sequence information of Sequenced </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rPr>
        <w:t>eads and their corresponding sequencing quality information.</w:t>
      </w:r>
      <w:bookmarkEnd w:id="4"/>
      <w:bookmarkEnd w:id="18"/>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 </w:t>
      </w:r>
      <w:r>
        <w:rPr>
          <w:rFonts w:hint="default" w:ascii="Times New Roman" w:hAnsi="Times New Roman" w:cs="Times New Roman"/>
          <w:sz w:val="24"/>
          <w:szCs w:val="24"/>
        </w:rPr>
        <w:t>Quality assessment of the sequencing data</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2.1.2.1 Raw data filtering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Remove reads pair with adapter</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r</w:t>
      </w:r>
      <w:r>
        <w:rPr>
          <w:rFonts w:hint="default" w:ascii="Times New Roman" w:hAnsi="Times New Roman" w:cs="Times New Roman"/>
          <w:sz w:val="24"/>
          <w:szCs w:val="24"/>
        </w:rPr>
        <w:t>emove reads pairs with more than 10% of N (N indicates the inability to determine the base information);</w:t>
      </w:r>
      <w:r>
        <w:rPr>
          <w:rFonts w:hint="default" w:ascii="Times New Roman" w:hAnsi="Times New Roman" w:cs="Times New Roman"/>
          <w:sz w:val="24"/>
          <w:szCs w:val="24"/>
          <w:lang w:val="en-US" w:eastAsia="zh-CN"/>
        </w:rPr>
        <w:t>t</w:t>
      </w:r>
      <w:r>
        <w:rPr>
          <w:rFonts w:hint="default" w:ascii="Times New Roman" w:hAnsi="Times New Roman" w:cs="Times New Roman"/>
          <w:sz w:val="24"/>
          <w:szCs w:val="24"/>
        </w:rPr>
        <w:t>his pair of reads was removed when the single-end sequencing reads containing low quality (below 5) bases exceeded 50% of the length of the reads.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2.1.2.2 </w:t>
      </w:r>
      <w:r>
        <w:rPr>
          <w:rFonts w:hint="default" w:ascii="Times New Roman" w:hAnsi="Times New Roman" w:cs="Times New Roman"/>
          <w:sz w:val="24"/>
          <w:szCs w:val="24"/>
        </w:rPr>
        <w:t>Detection of the distribution of the sequencing error rates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sequencing error rate is calculated from a model that determines the probability of an error during base recognition (Base Calling). It is related to base quality, and is affected by multiple factors such as the sequencer itself, sequencing reagent, samples and more. Sequencing error rate distribution inspection is used to detect high error rates in base positions with or without abnormalities within the sequencing length. Generally, they should be less than 1% per base position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2.1.2.3 </w:t>
      </w:r>
      <w:r>
        <w:rPr>
          <w:rFonts w:hint="default" w:ascii="Times New Roman" w:hAnsi="Times New Roman" w:cs="Times New Roman"/>
          <w:sz w:val="24"/>
          <w:szCs w:val="24"/>
        </w:rPr>
        <w:t>Detection of the GC content distribution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test mainly detect AT, GC separation phenomenon, theoretically A and T base, C and G base on each sequencing cycle should be equal, but in the actual sequencing process, due to the DNA template amplification deviation, the first few base sequencing quality, the first few bases in each read fluctuation is a normal phenomenon.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2.1.2.4 </w:t>
      </w:r>
      <w:r>
        <w:rPr>
          <w:rFonts w:hint="default" w:ascii="Times New Roman" w:hAnsi="Times New Roman" w:cs="Times New Roman"/>
          <w:sz w:val="24"/>
          <w:szCs w:val="24"/>
        </w:rPr>
        <w:t>Distribution of the sequencing data quality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bookmarkStart w:id="19" w:name="OLE_LINK19"/>
      <w:r>
        <w:rPr>
          <w:rFonts w:hint="default" w:ascii="Times New Roman" w:hAnsi="Times New Roman" w:cs="Times New Roman"/>
          <w:sz w:val="24"/>
          <w:szCs w:val="24"/>
        </w:rPr>
        <w:t>According to the characteristics of sequencing technology, the terminal base quality of sequencing fragments is generally lower than that of the front end. Only when the quality of sequencing data is mainly distributed  Q30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85% can the subsequent analysis be guaranteed normally.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bookmarkEnd w:id="19"/>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2.1.3 Statistics of the sequencing depth and coverage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Effective sequencing data were aligned by BWA (Li et al., 2018) to the reference genome (GRCh37 / hg19 / GRCh38) to obtain the initial alignment in BAM format. Then, the results were sorted by Sambamba (Tarasov et al., 2015) and the duplicate reads (mark duplicate reads) were labeled.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bookmarkStart w:id="20" w:name="OLE_LINK20"/>
      <w:r>
        <w:rPr>
          <w:rFonts w:hint="default" w:ascii="Times New Roman" w:hAnsi="Times New Roman" w:cs="Times New Roman"/>
          <w:sz w:val="24"/>
          <w:szCs w:val="24"/>
        </w:rPr>
        <w:t>Finally, the alignment results after repeated labeling are used to calculate the coverage, depth, etc. Generally, the sequencing reads of human samples can exceed 95%; the SNP detected at a site is credible when the base coverage depth (read depth) reaches 10X.</w:t>
      </w:r>
      <w:r>
        <w:rPr>
          <w:rFonts w:hint="default" w:ascii="Times New Roman" w:hAnsi="Times New Roman" w:eastAsia="思源黑体 Regular" w:cs="Times New Roman"/>
          <w:sz w:val="24"/>
          <w:szCs w:val="24"/>
        </w:rPr>
        <w:t xml:space="preserve"> </w:t>
      </w:r>
      <w:bookmarkEnd w:id="20"/>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ind w:left="0" w:right="0" w:firstLine="0"/>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2.2 </w:t>
      </w:r>
      <w:r>
        <w:rPr>
          <w:rFonts w:hint="default" w:ascii="Times New Roman" w:hAnsi="Times New Roman" w:cs="Times New Roman"/>
          <w:b/>
          <w:bCs/>
          <w:sz w:val="24"/>
          <w:szCs w:val="24"/>
        </w:rPr>
        <w:t>Variant detection results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lang w:val="en-US" w:eastAsia="zh-CN"/>
        </w:rPr>
      </w:pPr>
      <w:bookmarkStart w:id="21" w:name="OLE_LINK22"/>
      <w:bookmarkStart w:id="22" w:name="OLE_LINK21"/>
      <w:r>
        <w:rPr>
          <w:rFonts w:hint="default" w:ascii="Times New Roman" w:hAnsi="Times New Roman" w:cs="Times New Roman"/>
          <w:sz w:val="24"/>
          <w:szCs w:val="24"/>
        </w:rPr>
        <w:t xml:space="preserve">Based on the initial alignment results (BAM files), bcftools (Li et al., 2009) was used to identify SNP and InDel sites, count the number of SNP and InDel in different regions of the genome, the number of different types of SNP and InDel in coding regions, the distribution of </w:t>
      </w:r>
      <w:r>
        <w:rPr>
          <w:rFonts w:hint="default" w:ascii="Times New Roman" w:hAnsi="Times New Roman" w:eastAsia="微软雅黑" w:cs="Times New Roman"/>
          <w:i w:val="0"/>
          <w:iCs w:val="0"/>
          <w:caps w:val="0"/>
          <w:color w:val="333333"/>
          <w:spacing w:val="0"/>
          <w:sz w:val="24"/>
          <w:szCs w:val="24"/>
          <w:shd w:val="clear" w:fill="FFFFFF"/>
        </w:rPr>
        <w:t>transitions</w:t>
      </w:r>
      <w:r>
        <w:rPr>
          <w:rFonts w:hint="default" w:ascii="Times New Roman" w:hAnsi="Times New Roman" w:eastAsia="微软雅黑" w:cs="Times New Roman"/>
          <w:i w:val="0"/>
          <w:iCs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rPr>
        <w:t xml:space="preserve">and </w:t>
      </w:r>
      <w:r>
        <w:rPr>
          <w:rFonts w:hint="default" w:ascii="Times New Roman" w:hAnsi="Times New Roman" w:eastAsia="微软雅黑" w:cs="Times New Roman"/>
          <w:i w:val="0"/>
          <w:iCs w:val="0"/>
          <w:caps w:val="0"/>
          <w:color w:val="333333"/>
          <w:spacing w:val="0"/>
          <w:sz w:val="24"/>
          <w:szCs w:val="24"/>
          <w:shd w:val="clear" w:fill="FFFFFF"/>
        </w:rPr>
        <w:t>transversions</w:t>
      </w:r>
      <w:r>
        <w:rPr>
          <w:rFonts w:hint="default" w:ascii="Times New Roman" w:hAnsi="Times New Roman" w:eastAsia="微软雅黑" w:cs="Times New Roman"/>
          <w:i w:val="0"/>
          <w:iCs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rPr>
        <w:t>, the number of SNP and InDel and the distribution of genotypes. The germline SNP and InDel filtering parameters are as follows</w:t>
      </w:r>
      <w:r>
        <w:rPr>
          <w:rFonts w:hint="default" w:ascii="Times New Roman" w:hAnsi="Times New Roman" w:eastAsia="思源黑体 Regular" w:cs="Times New Roman"/>
          <w:sz w:val="24"/>
          <w:szCs w:val="24"/>
        </w:rPr>
        <w:t>:QUAL≥20;DV≥4;MQ≥30</w:t>
      </w:r>
      <w:r>
        <w:rPr>
          <w:rFonts w:hint="default" w:ascii="Times New Roman" w:hAnsi="Times New Roman" w:cs="Times New Roman"/>
          <w:sz w:val="24"/>
          <w:szCs w:val="24"/>
          <w:lang w:val="en-US" w:eastAsia="zh-CN"/>
        </w:rPr>
        <w:t>.</w:t>
      </w:r>
      <w:bookmarkEnd w:id="0"/>
      <w:bookmarkEnd w:id="21"/>
      <w:bookmarkEnd w:id="22"/>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23" w:name="OLE_LINK50"/>
      <w:r>
        <w:rPr>
          <w:rFonts w:hint="default" w:ascii="Times New Roman" w:hAnsi="Times New Roman" w:eastAsia="思源黑体 Regular" w:cs="Times New Roman"/>
          <w:b/>
          <w:bCs/>
          <w:sz w:val="24"/>
          <w:szCs w:val="24"/>
        </w:rPr>
        <w:t>2.</w:t>
      </w:r>
      <w:r>
        <w:rPr>
          <w:rFonts w:hint="eastAsia" w:ascii="Times New Roman" w:hAnsi="Times New Roman" w:cs="Times New Roman"/>
          <w:b/>
          <w:bCs/>
          <w:sz w:val="24"/>
          <w:szCs w:val="24"/>
          <w:lang w:val="en-US" w:eastAsia="zh-CN"/>
        </w:rPr>
        <w:t>3</w:t>
      </w:r>
      <w:r>
        <w:rPr>
          <w:rFonts w:hint="default" w:ascii="Times New Roman" w:hAnsi="Times New Roman" w:eastAsia="思源黑体 Regular" w:cs="Times New Roman"/>
          <w:b/>
          <w:bCs/>
          <w:sz w:val="24"/>
          <w:szCs w:val="24"/>
        </w:rPr>
        <w:t xml:space="preserve"> </w:t>
      </w:r>
      <w:bookmarkStart w:id="24" w:name="OLE_LINK25"/>
      <w:r>
        <w:rPr>
          <w:rFonts w:hint="default" w:ascii="Times New Roman" w:hAnsi="Times New Roman" w:cs="Times New Roman"/>
          <w:b/>
          <w:bCs/>
          <w:sz w:val="24"/>
          <w:szCs w:val="24"/>
          <w:lang w:val="en-US" w:eastAsia="zh-CN"/>
        </w:rPr>
        <w:t>A</w:t>
      </w:r>
      <w:r>
        <w:rPr>
          <w:rFonts w:hint="default" w:ascii="Times New Roman" w:hAnsi="Times New Roman" w:eastAsia="思源黑体 Regular" w:cs="Times New Roman"/>
          <w:b/>
          <w:bCs/>
          <w:sz w:val="24"/>
          <w:szCs w:val="24"/>
        </w:rPr>
        <w:t>nnotation</w:t>
      </w:r>
      <w:r>
        <w:rPr>
          <w:rFonts w:hint="default" w:ascii="Times New Roman" w:hAnsi="Times New Roman" w:cs="Times New Roman"/>
          <w:b/>
          <w:bCs/>
          <w:sz w:val="24"/>
          <w:szCs w:val="24"/>
          <w:lang w:val="en-US" w:eastAsia="zh-CN"/>
        </w:rPr>
        <w:t>s</w:t>
      </w:r>
      <w:r>
        <w:rPr>
          <w:rFonts w:hint="default" w:ascii="Times New Roman" w:hAnsi="Times New Roman" w:eastAsia="思源黑体 Regular" w:cs="Times New Roman"/>
          <w:b/>
          <w:bCs/>
          <w:sz w:val="24"/>
          <w:szCs w:val="24"/>
        </w:rPr>
        <w:t xml:space="preserve"> </w:t>
      </w:r>
      <w:bookmarkEnd w:id="24"/>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bookmarkStart w:id="25" w:name="OLE_LINK26"/>
      <w:r>
        <w:rPr>
          <w:rFonts w:hint="default" w:ascii="Times New Roman" w:hAnsi="Times New Roman" w:cs="Times New Roman"/>
          <w:sz w:val="24"/>
          <w:szCs w:val="24"/>
        </w:rPr>
        <w:t>ANNOVAR (Wang et al., 2010) is an efficient software tool that uses the latest information to provide functional annotation of gene variants detected by multiple genomes.</w:t>
      </w:r>
      <w:r>
        <w:rPr>
          <w:rFonts w:hint="default" w:ascii="Times New Roman" w:hAnsi="Times New Roman" w:eastAsia="思源黑体 Regular" w:cs="Times New Roman"/>
          <w:sz w:val="24"/>
          <w:szCs w:val="24"/>
        </w:rPr>
        <w:t xml:space="preserve"> </w:t>
      </w:r>
      <w:bookmarkEnd w:id="25"/>
      <w:r>
        <w:rPr>
          <w:rFonts w:hint="default" w:ascii="Times New Roman" w:hAnsi="Times New Roman" w:cs="Times New Roman"/>
          <w:sz w:val="24"/>
          <w:szCs w:val="24"/>
        </w:rPr>
        <w:t>The vcf (variantcallformat) obtained in the previous work was annotated using ANNOVAR</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思源黑体 Regular" w:cs="Times New Roman"/>
          <w:sz w:val="24"/>
          <w:szCs w:val="24"/>
        </w:rPr>
        <w:t>(1)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Refseq (O'Leary et al., 2016) was used to annotate the gene structure of the variant site, with gene types including mRNA, non-coding RNA, etc.</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genomic characteristics of the variant sites should be treated with caution for the mutations located within the repetitive segments of the genome</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effect of the nonsynonymous mutations on the disease / tumor was comprehensively evaluated by SIFT (Ng et al., 2003), PolyPhen (Adzhubei et al., 2013), and MutationTaster (Reva et al., 2011)</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(4)</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Annotations of dbSNP (Sherry et al., 2001), thousand human genome SNP database (Abecasis et al., 2012), known tumor somatic mutation database COSMIC (Tate et al., 2019)and esp6500 variant database are provided, and the variant results can be screened for any combination</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(5)</w:t>
      </w:r>
      <w:bookmarkStart w:id="26" w:name="OLE_LINK27"/>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annotation also includes functional annotation of the genes where the mutation occurred, using databases including GO (Lee et al., 2004), KEGG (Kanehisa et al., 2000), Reactome (Jassal et al., 2020), Biocarta, PID (Schaefer et al., 2009), etc.</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p>
    <w:bookmarkEnd w:id="26"/>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思源黑体 Regular" w:cs="Times New Roman"/>
          <w:b/>
          <w:bCs/>
          <w:sz w:val="24"/>
          <w:szCs w:val="24"/>
        </w:rPr>
        <w:t>2.</w:t>
      </w:r>
      <w:r>
        <w:rPr>
          <w:rFonts w:hint="eastAsia" w:ascii="Times New Roman" w:hAnsi="Times New Roman" w:cs="Times New Roman"/>
          <w:b/>
          <w:bCs/>
          <w:sz w:val="24"/>
          <w:szCs w:val="24"/>
          <w:lang w:val="en-US" w:eastAsia="zh-CN"/>
        </w:rPr>
        <w:t xml:space="preserve">4 </w:t>
      </w:r>
      <w:r>
        <w:rPr>
          <w:rFonts w:hint="default" w:ascii="Times New Roman" w:hAnsi="Times New Roman" w:eastAsia="思源黑体 Regular" w:cs="Times New Roman"/>
          <w:b/>
          <w:bCs/>
          <w:sz w:val="24"/>
          <w:szCs w:val="24"/>
        </w:rPr>
        <w:t>Advanced Analytics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4.1</w:t>
      </w:r>
      <w:r>
        <w:rPr>
          <w:rFonts w:hint="default" w:ascii="Times New Roman" w:hAnsi="Times New Roman" w:cs="Times New Roman"/>
          <w:sz w:val="24"/>
          <w:szCs w:val="24"/>
        </w:rPr>
        <w:t xml:space="preserve"> Analysis of harmfulness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bookmarkEnd w:id="23"/>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w:t>
      </w:r>
      <w:r>
        <w:rPr>
          <w:rFonts w:hint="eastAsia" w:ascii="Times New Roman" w:hAnsi="Times New Roman" w:eastAsia="思源黑体 Regular" w:cs="Times New Roman"/>
          <w:sz w:val="24"/>
          <w:szCs w:val="24"/>
          <w:lang w:val="en-US" w:eastAsia="zh-CN"/>
        </w:rPr>
        <w:t xml:space="preserve">4.1.1 </w:t>
      </w:r>
      <w:r>
        <w:rPr>
          <w:rFonts w:hint="default" w:ascii="Times New Roman" w:hAnsi="Times New Roman" w:eastAsia="思源黑体 Regular" w:cs="Times New Roman"/>
          <w:sz w:val="24"/>
          <w:szCs w:val="24"/>
        </w:rPr>
        <w:t>SNP/INDEL filtration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vcf files of SNPs and INDELs of different samples obtained from the basic analysis were merged and then annotated.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deleteriousness of the mutant loci was prioritized by filtering with different filtering conditions.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filtering conditions were as follows:</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Filter the 1,000 genomes data (1000g_all), ESP6500 data (esp6500siv2_all), and gnomAD data (gnomAD_ALL and gnomAD_EAS) for at least one mutation with a frequency higher than 1% in these four frequency databases. If the gene frequency of the mutant locus was higher than 1% in the above databases, the mutant locus was considered not to be a rare variant that could cause disease;</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Retention of variation in the exonic, splicing region; </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Filtering for synonymous SNP mutations that are not in highly conserved regions and are not judged by the prediction software to affect splicing; and filtering for small (&lt;10bp) non-translocated InDel mutations in repetitive regions.</w:t>
      </w:r>
    </w:p>
    <w:p>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Mutations evaluated by four software programs, SIFT, Polyphen, MutationTaster, and CADD, as potentially affecting protein function were retained; InDel mutations with no predictive scores were retained; SNP mutations predicted by dbscSNV to affect splicing were retained; and variants with splicing site mutations with distances from the exon region of no more than 2bp (±1~2bp) were retained.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right="0" w:rightChars="0"/>
        <w:jc w:val="both"/>
        <w:textAlignment w:val="auto"/>
        <w:rPr>
          <w:rFonts w:hint="default" w:ascii="Times New Roman" w:hAnsi="Times New Roman" w:cs="Times New Roman"/>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2.4.1.2 ACMG classification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ACMG database (Sue Richards et al, 2015) was filtered using the in-house software, and the vcf files of SNPs and INDELs from the different samples obtained from the basic analysis were merged and then annotated to determine the deleterious classification of the variant type based on the 28 evidence in the ACMG classification system.</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2.4.1.3 CNV filtration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results of CNV obtained in the basic analysis were tagged with the results of variant detection using databases such as DGV, DECIPHER, CNVD, etc., to further filter benign CNV, and after a series of screenings, to identify the correlation between the genetic variants of</w:t>
      </w:r>
      <w:r>
        <w:rPr>
          <w:rFonts w:hint="eastAsia"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CNV and the disease.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screening criteria are as follows: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(1) Benign variants of detected CNV were annotated using the DGV database and its derivative series StringentLib, InclusiveLibh and DGV.GoldStandard.July2015;</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(2) Annotation of detected CNV with malignant variants using the CNVD database</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default" w:ascii="Times New Roman" w:hAnsi="Times New Roman" w:eastAsia="思源黑体 Regular" w:cs="Times New Roman"/>
          <w:sz w:val="24"/>
          <w:szCs w:val="24"/>
        </w:rPr>
        <w:t>(3) Classification of CNV based on annotation</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 (high): recorded in the malignant database (CNVD) and not recorded in the benign database (DGV).</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 (possibly deleterious): not recorded in either the malignant database (CNVD) or the benign database (DGV).</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 (medium): recorded in both the malignant database (CNVD) and the benign database (DGV).</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 (low): recorded in the benign database (DGV) and not recorded in the malignant database (CNVD).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2.4.2 Lineage selection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2.4.2.1 Screening for dominant patterns of inheritance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SNP/INDEL loci that have undergone deleterious screening are screened in a dominant mode using the in-house software, and loci that are heterozygous for the patient's permanent taint in the family line (those with mutations in the sex taint are retained) and those that do not have a mutation in the normal person in the family line are retained as candidate loci.</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2.4.2.2 Screening for recessive patterns of inheritance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Recessive inheritance consists of two scenarios, genetically pure mutations and compound heterozygous mutations.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deleterious screening, SNP/INDEL loci were screened for recessive patterns using in-house software, and if a monogenic disease was inherited in a recessive pattern in a family line, loci where the patient's autosomal chromosome was purely heterozygous for the mutation and where the normal was heterozygous or had no mutation in the family line were retained as candidate loci.</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compound heterozygous pattern screening, loci in which neither the patient nor the normal person has a heterozygous mutation are retained, and at least two heterozygous mutation sites for a gene are required in the patient, and the distribution of mutation sites on this gene in the patient cannot be the same as that of the mutation sites in any of the normal persons (for this gene), or sub-set to the mutation sites in any of the normal persons (for this gene).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2.4.2.3 Shared gene screening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dissemination samples, SNP/INDEL loci after deleterious screening were analyzed using in-house software to obtain variant genes shared among multiple samples.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2.4.3 De novo mutation screening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Based on the family relationships provided, the SNP/INDEL assay was rerun in the mode of bcftools call -c trio (calling genotypes under parent-parent-child constraints) and filtered to identify QUAL&gt;15 and DP&gt;12 loci as candidates for de novo mutations.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results of bcftools call -c trio were also analyzed using triodenovo software based on the family relationships provided. The triodenovo software calculated the frequency of de novo mutations as L1 and the probability of Mendelian inheritance as L0 by using the PL or GL columns in the vcf file as input. Candidate loci for de novo mutations were detected by setting the parameters --minDQ 8 ( The candidate sites for de novo mutations were detected by setting the parameters --minDQ 8 (minimum denovo quality) and --minDepth 10 (minimum depth).</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Candidate sites filtered by bcftools software and detected by triodenovo software were processed by taking intersections and filtered (refer to the filtering conditions described in 2.4.1.1) to obtain the final candidate sites.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de novo mutation detection in CNV, candidate loci were detected using in-house software based on the provided family relationships.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2.4.4 Analysis of family chains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Based on the provided lineage information, perl scripts were used to annotate and convert the files of the variants detected by samtools, and the data sets required by the MERLIN software were generated by combining the high-throughput sequencing data in the lineage with the allele frequencies of the Chinese human population (CHB) in the HapMap database. The LOD values were detected using the MERLIN software, and the candidate gene regions for linkage analysis were obtained from the LOD values.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2.4.5 ROH analysis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H3M2 software (Magi, Alberto et al.) was used to detect ROH by calculating the minor allele frequency (BAF) at the SNP locus.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2.4.6 Candidate gene sequencing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eastAsia" w:ascii="Times New Roman" w:hAnsi="Times New Roman" w:eastAsia="思源黑体 Regular" w:cs="Times New Roman"/>
          <w:sz w:val="24"/>
          <w:szCs w:val="24"/>
          <w:lang w:val="en-US" w:eastAsia="zh-CN"/>
        </w:rPr>
      </w:pPr>
      <w:r>
        <w:rPr>
          <w:rFonts w:hint="eastAsia" w:ascii="Times New Roman" w:hAnsi="Times New Roman" w:eastAsia="思源黑体 Regular" w:cs="Times New Roman"/>
          <w:sz w:val="24"/>
          <w:szCs w:val="24"/>
          <w:lang w:val="en-US" w:eastAsia="zh-CN"/>
        </w:rPr>
        <w:t>2.4.6.1 DisGeNet annotations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is necessary to combine the locus genes from the deleteriousness screen, the locus genes from the family pattern screen, and the locus genes from the de novo mutation detection, and the collated genes will be annotated according to the provided disease name/disease ID through the DisGeNet database (Piñero et al., 2017), to obtain the disease-related genes as well as the variant information.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2.4.6.2 Sequencing of phenolyzer candidate genes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is necessary to combine the locus genes from the deleteriousness screen, the locus genes from the family pattern screen, and the locus genes from the de novo mutation detection, and the collated genes will be scored on the gene results by the phenolyzer tool, and the genes will be screened and ranked by combining the sequencing results and multiple databases, to select the causative genes that are associated with the disease/phenotype.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2.4.7 Pathway enrichment analysis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sequenced candidate genes were subjected to pathway enrichment analysis using KEGG database and GO database, and the most prominent biochemical metabolic pathways and signaling pathways involved in the mutant genes were identified by significance enrichment analysis.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2.4.8 Protein Functional Interaction Analysis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Protein functional interactions were analyzed for candidate genes using GeneMANIA software (Warde-Farley et al., 2010), and protein information related to candidate genes was obtained using a multi-association network integration algorithm.</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b/>
          <w:bCs/>
          <w:sz w:val="28"/>
          <w:szCs w:val="28"/>
        </w:rPr>
      </w:pPr>
      <w:r>
        <w:rPr>
          <w:rFonts w:hint="default" w:ascii="Times New Roman" w:hAnsi="Times New Roman" w:eastAsia="思源黑体 Regular" w:cs="Times New Roman"/>
          <w:b/>
          <w:bCs/>
          <w:sz w:val="28"/>
          <w:szCs w:val="28"/>
          <w:lang w:val="en-US" w:eastAsia="zh-CN"/>
        </w:rPr>
        <w:t>R</w:t>
      </w:r>
      <w:r>
        <w:rPr>
          <w:rFonts w:hint="default" w:ascii="Times New Roman" w:hAnsi="Times New Roman" w:eastAsia="思源黑体 Regular" w:cs="Times New Roman"/>
          <w:b/>
          <w:bCs/>
          <w:sz w:val="28"/>
          <w:szCs w:val="28"/>
        </w:rPr>
        <w:t>eference</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Abecasis GR, Auton A, et al. An integrated map of genetic variation from 1,092 human genomes. Nature. 2012;491(7422):56-65. doi:10.1038/nature11632 (1000 Genomes)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Adzhubei I, Jordan DM, Sunyaev SR. Predicting functional effect of human missense mutations using PolyPhen-2. Curr Protoc Hum Genet. 2013;Chapter 7:Unit7.20. doi:10.1002/0471142905.hg0720s76 (PolyPhen)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Buniello A, MacArthur JAL, Cerezo M, et al. The NHGRI-EBI GWAS Catalog of published genome-wide association studies, targeted arrays and summary statistics 2019. Nucleic Acids Res. 2019;47(D1):D1005-D1012. doi:10.1093/nar/gky1120 (GWAS Catalog)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Chun S, Fay JC. Identification of deleterious mutations within three human genomes. Genome Res. 2009;19(9):1553-1561. doi:10.1101/gr.092619.109 (LRT)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eastAsia"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Faust GG, Hall IM. SAMBLASTER: fast duplicate marking and structural variant read extraction. Bioinformatics. 2014;30(17):2503-2505. doi:10.1093/bioinformatics/btu314 (Samblaster)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Frankish A, Diekhans M, Jungreis I, et al. GENCODE 2021. Nucleic Acids Res. 2021;49(D1):D916-D923. doi:10.1093/nar/gkaa1087 (GENCODE)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Garber M, Guttman M, Clamp M, Zody MC, Friedman N, Xie X. Identifying novel constrained elements by exploiting biased substitution patterns. Bioinformatics. 2009;25(12):i54-i62. doi:10.1093/bioinformatics/btp190 (SiPhy)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Hamosh A, Scott AF, Amberger JS, Bocchini CA, McKusick VA. Online Mendelian Inheritance in Man (OMIM), a knowledgebase of human genes and genetic disorders. Nucleic Acids Res. 2005;33(Database issue):D514-D517. doi:10.1093/nar/gki033 (OMIM)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Harris MA, Clark J, Ireland A, et al. The Gene Ontology (GO) database and informatics resource. Nucleic Acids Res. 2004;32(Database issue):D258-D261. doi:10.1093/nar/gkh036 (GO)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Huber CD, Kim BY, Lohmueller KE. Population genetic models of GERP scores suggest pervasive turnover of constrained sites across mammalian evolution. PLoS Genet. 2020;16(5):e1008827. Published 2020 May 29. doi:10.1371/journal.pgen.1008827 (GERP)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Jassal B, Matthews L, Viteri G, et al. The reactome pathway knowledgebase. Nucleic Acids Res. 2020;48(D1):D498-D503. doi:10.1093/nar/gkz1031 (Reactome)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Kanehisa M, Goto S. KEGG: kyoto encyclopedia of genes and genomes. Nucleic Acids Res. 2000;28(1):27-30. doi:10.1093/nar/28.1.27 (KEGG PATHWAY)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Kent WJ, Sugnet CW, Furey TS, et al. The human genome browser at UCSC. Genome Res. 2002;12(6):996-1006. doi:10.1101/gr.229102 (UCSC)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Kobayashi Y, Yang S, Nykamp K, Garcia J, Lincoln SE, Topper SE. Pathogenic variant burden in the ExAC database: an empirical approach to evaluating population data for clinical variant interpretation. Genome Med. 2017;9(1):13. Published 2017 Feb 6. doi:10.1186/s13073-017-0403-7 (ExAc)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Krumm N, Sudmant PH, Ko A, et al. Copy number variation detection and genotyping from exome sequence data.Genome Res. 2012;22:1525-1532(CoNIFER)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Li H, Durbin R. Fast and accurate long-read alignment with Burrows-Wheeler transform. Bioinformatics. 2010;26(5):589-595. doi:10.1093/bioinformatics/btp698 (BWA_MEM)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Li H, Handsaker B, Wysoker A, et al. The Sequence Alignment/Map format and SAMtools. Bioinformatics. 2009;25(16):2078-2079. doi:10.1093/bioinformatics/btp352 (SAMtools)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Ng PC, Henikoff S. SIFT: Predicting amino acid changes that affect protein function. Nucleic Acids Res. 2003;31(13):3812-3814. doi:10.1093/nar/gkg509 (SIFT)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O'Leary NA, Wright MW, Brister JR, et al. Reference sequence (RefSeq) database at NCBI: current status, taxonomic expansion, and functional annotation. Nucleic Acids Res. 2016;44(D1):D733-D745. doi:10.1093/nar/gkv1189 (RefSeq)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Pio MG, Siffo S, Scheps KG, et al. Curating the gnomAD database: Report of novel variants in the thyrogobulin gene using in silico bioinformatics algorithms. Mol Cell Endocrinol. 2021;534:111359. doi:10.1016/j.mce.2021.111359 (gnomAD)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Pollard KS, Hubisz MJ, Rosenbloom KR, Siepel A. Detection of nonneutral substitution rates on mammalian phylogenies. Genome Res. 2010;20(1):110-121. doi:10.1101/gr.097857.109 (phyloP)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Rentzsch P, Witten D, Cooper GM, Shendure J, Kircher M. CADD: predicting the deleteriousness of variants throughout the human genome. Nucleic Acids Res. 2019;47(D1):D886-D894. doi:10.1093/nar/gky1016 (CADD)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Reva B, Antipin Y, Sander C. Predicting the functional impact of protein mutations: application to cancer genomics. Nucleic Acids Res. 2011;39(17):e118. doi:10.1093/nar/gkr407 (MutationAssessor)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Schaefer CF, Anthony K, Krupa S, et al. PID: the Pathway Interaction Database. Nucleic Acids Res. 2009;37(Database issue):D674-D679. doi:10.1093/nar/gkn653 (PID)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Sherry ST, Ward MH, Kholodov M, et al. dbSNP: the NCBI database of genetic variation. Nucleic Acids Res. 2001;29(1):308-311. doi:10.1093/nar/29.1.308 (dbSNP)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Shihab HA, Gough J, Cooper DN, et al. Predicting the functional, molecular, and phenotypic consequences of amino acid substitutions using hidden Markov models. Hum Mutat. 2013;34(1):57-65. doi:10.1002/humu.22225 (FATHMM)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Steinhaus R, Proft S, Schuelke M, Cooper DN, Schwarz JM, Seelow D. MutationTaster2021. Nucleic Acids Res. 2021;49(W1):W446-W451. doi:10.1093/nar/gkab266 (MutationTaster)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Stenson PD, Mort M, Ball EV, et al. The Human Gene Mutation Database (HGMD®): optimizing its use in a clinical diagnostic or research setting. Hum Genet. 2020;139(10):1197-1207. doi:10.1007/s00439-020-02199-3 (HGMD)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Tarasov A, Vilella AJ, Cuppen E, Nijman IJ, Prins P. Sambamba: fast processing of NGS alignment formats. Bioinformatics. 2015;31(12):2032-2034. doi:10.1093/bioinformatics/btv098 (Sambamba)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Tate JG, Bamford S, Jubb HC, et al. COSMIC: the Catalogue Of Somatic Mutations In Cancer.Nucleic Acids Res. 2019;47(D1):D941-D947. doi:10.1093/nar/gky1015 (COSMIC)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Wang K, Li M, Hakonarson H. ANNOVAR: functional annotation of genetic variants from high-throughput sequencing data.Nucleic Acids Res. 2010;38(16):e164. doi:10.1093/nar/gkq603 (ANNOVAR)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eastAsia" w:ascii="Times New Roman" w:hAnsi="Times New Roman" w:eastAsia="思源黑体 Regular" w:cs="Times New Roman"/>
          <w:color w:val="1E1E1E"/>
          <w:kern w:val="0"/>
          <w:sz w:val="24"/>
          <w:szCs w:val="24"/>
          <w:shd w:val="clear" w:color="auto" w:fill="FFFFFF"/>
        </w:rPr>
        <w:t>Richards, Sue, et al.Standards and Guidelines for the Interpretation of Sequence Variants: A Joint Consensus Recommendation of the American College of Medical Genetics and Genomics and the Association for Molecular Pathology</w:t>
      </w:r>
      <w:r>
        <w:rPr>
          <w:rFonts w:hint="default" w:ascii="Times New Roman" w:hAnsi="Times New Roman" w:eastAsia="思源黑体 Regular" w:cs="Times New Roman"/>
          <w:color w:val="1E1E1E"/>
          <w:kern w:val="0"/>
          <w:sz w:val="24"/>
          <w:szCs w:val="24"/>
          <w:shd w:val="clear" w:color="auto" w:fill="FFFFFF"/>
        </w:rPr>
        <w:t>.2015;pp. 405–24.doi:10.1038/gim.2015.30 (ACMG)</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Smedley, Damian, et al.A Whole-Genome Analysis Framework for Effective Identification of Pathogenic Regulatory Variants in Mendelian Disease.The American Journal of Human Genetics</w:t>
      </w:r>
      <w:r>
        <w:rPr>
          <w:rFonts w:hint="eastAsia" w:ascii="Times New Roman" w:hAnsi="Times New Roman" w:eastAsia="思源黑体 Regular" w:cs="Times New Roman"/>
          <w:color w:val="1E1E1E"/>
          <w:kern w:val="0"/>
          <w:sz w:val="24"/>
          <w:szCs w:val="24"/>
          <w:shd w:val="clear" w:color="auto" w:fill="FFFFFF"/>
        </w:rPr>
        <w:t>.</w:t>
      </w:r>
      <w:r>
        <w:rPr>
          <w:rFonts w:hint="default" w:ascii="Times New Roman" w:hAnsi="Times New Roman" w:eastAsia="思源黑体 Regular" w:cs="Times New Roman"/>
          <w:color w:val="1E1E1E"/>
          <w:kern w:val="0"/>
          <w:sz w:val="24"/>
          <w:szCs w:val="24"/>
          <w:shd w:val="clear" w:color="auto" w:fill="FFFFFF"/>
        </w:rPr>
        <w:t>2016;99(3).doi.org/10.1016/j.ajhg.2016.07.005.(Genomiser)</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Magi, Alberto et al. “H3M2: detection of runs of homozygosity from whole-exome sequencing data.” Bioinformatics (Oxford, England) vol. 30,20 (2014): 2852-9. doi:10.1093/bioinformatics/btu401(H3M2)</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Piñero J, Bravo À, Queralt-Rosinach N, et al. DisGeNET: a comprehensive platform integrating information on human disease-associated genes and variants. Nucleic Acids Res. 2017;45(D1):D833-D839. doi:10.1093/nar/gkw943(DisGeNet)</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Warde-Farley, David et al. “The GeneMANIA prediction server: biological network integration for gene prioritization and predicting gene function.” Nucleic acids research vol. 38,Web Server issue (2010): W214-20. doi:10.1093/nar/gkq537(GeneMANIA)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b/>
          <w:bCs/>
          <w:sz w:val="28"/>
          <w:szCs w:val="28"/>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lang w:val="en-US" w:eastAsia="zh-CN"/>
        </w:rPr>
      </w:pPr>
    </w:p>
    <w:sectPr>
      <w:headerReference r:id="rId4" w:type="first"/>
      <w:headerReference r:id="rId3" w:type="default"/>
      <w:footerReference r:id="rId5" w:type="default"/>
      <w:pgSz w:w="11906" w:h="16838"/>
      <w:pgMar w:top="1440" w:right="1800" w:bottom="1440" w:left="1800" w:header="850" w:footer="964"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urce Han Sans SC Regular">
    <w:altName w:val="Adobe 黑体 Std R"/>
    <w:panose1 w:val="020B0604020202020204"/>
    <w:charset w:val="80"/>
    <w:family w:val="swiss"/>
    <w:pitch w:val="default"/>
    <w:sig w:usb0="00000000" w:usb1="00000000" w:usb2="00000016" w:usb3="00000000" w:csb0="002E0107" w:csb1="00000000"/>
  </w:font>
  <w:font w:name="Source Han Sans CN">
    <w:altName w:val="Yu Gothic"/>
    <w:panose1 w:val="020B0604020202020204"/>
    <w:charset w:val="80"/>
    <w:family w:val="swiss"/>
    <w:pitch w:val="default"/>
    <w:sig w:usb0="00000000" w:usb1="00000000" w:usb2="00000016" w:usb3="00000000" w:csb0="00060107" w:csb1="00000000"/>
  </w:font>
  <w:font w:name="思源黑体 Bold">
    <w:altName w:val="Yu Gothic"/>
    <w:panose1 w:val="020B0604020202020204"/>
    <w:charset w:val="80"/>
    <w:family w:val="swiss"/>
    <w:pitch w:val="default"/>
    <w:sig w:usb0="00000000" w:usb1="00000000" w:usb2="00000016" w:usb3="00000000" w:csb0="002E0107" w:csb1="00000000"/>
  </w:font>
  <w:font w:name="思源黑体 Regular">
    <w:altName w:val="Yu Gothic"/>
    <w:panose1 w:val="020B0604020202020204"/>
    <w:charset w:val="80"/>
    <w:family w:val="swiss"/>
    <w:pitch w:val="default"/>
    <w:sig w:usb0="00000000" w:usb1="00000000" w:usb2="00000016" w:usb3="00000000" w:csb0="002E0107" w:csb1="00000000"/>
  </w:font>
  <w:font w:name="Heiti SC Medium">
    <w:altName w:val="Adobe 仿宋 Std R"/>
    <w:panose1 w:val="00000000000000000000"/>
    <w:charset w:val="80"/>
    <w:family w:val="auto"/>
    <w:pitch w:val="default"/>
    <w:sig w:usb0="00000000" w:usb1="00000000" w:usb2="00000010" w:usb3="00000000" w:csb0="003E0001" w:csb1="00000000"/>
  </w:font>
  <w:font w:name="微软雅黑">
    <w:panose1 w:val="020B0503020204020204"/>
    <w:charset w:val="86"/>
    <w:family w:val="swiss"/>
    <w:pitch w:val="default"/>
    <w:sig w:usb0="80000287" w:usb1="2ACF3C50" w:usb2="00000016" w:usb3="00000000" w:csb0="0004001F" w:csb1="00000000"/>
  </w:font>
  <w:font w:name="Adobe 黑体 Std R">
    <w:panose1 w:val="020B0400000000000000"/>
    <w:charset w:val="86"/>
    <w:family w:val="auto"/>
    <w:pitch w:val="default"/>
    <w:sig w:usb0="00000001" w:usb1="0A0F1810" w:usb2="00000016" w:usb3="00000000" w:csb0="00060007" w:csb1="00000000"/>
  </w:font>
  <w:font w:name="Yu Gothic">
    <w:panose1 w:val="020B0400000000000000"/>
    <w:charset w:val="80"/>
    <w:family w:val="auto"/>
    <w:pitch w:val="default"/>
    <w:sig w:usb0="E00002FF" w:usb1="2AC7FDFF" w:usb2="00000016" w:usb3="00000000" w:csb0="2002009F"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微软雅黑" w:hAnsi="微软雅黑" w:eastAsia="微软雅黑"/>
        <w:color w:val="3B3838" w:themeColor="background2" w:themeShade="40"/>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106045</wp:posOffset>
              </wp:positionV>
              <wp:extent cx="5283200" cy="433070"/>
              <wp:effectExtent l="0" t="0" r="0" b="0"/>
              <wp:wrapNone/>
              <wp:docPr id="3" name="矩形 3"/>
              <wp:cNvGraphicFramePr/>
              <a:graphic xmlns:a="http://schemas.openxmlformats.org/drawingml/2006/main">
                <a:graphicData uri="http://schemas.microsoft.com/office/word/2010/wordprocessingShape">
                  <wps:wsp>
                    <wps:cNvSpPr/>
                    <wps:spPr>
                      <a:xfrm>
                        <a:off x="0" y="0"/>
                        <a:ext cx="5283200"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ascii="Times New Roman" w:hAnsi="Times New Roman" w:eastAsia="黑体" w:cs="Times New Roman"/>
                              <w:color w:val="767171" w:themeColor="background2" w:themeShade="80"/>
                              <w:sz w:val="11"/>
                              <w:szCs w:val="11"/>
                            </w:rPr>
                          </w:pPr>
                          <w:r>
                            <w:rPr>
                              <w:rFonts w:hint="default" w:ascii="Times New Roman" w:hAnsi="Times New Roman" w:eastAsia="黑体" w:cs="Times New Roman"/>
                              <w:color w:val="767171" w:themeColor="background2" w:themeShade="80"/>
                              <w:sz w:val="11"/>
                              <w:szCs w:val="11"/>
                            </w:rPr>
                            <w:t xml:space="preserve"> </w:t>
                          </w:r>
                          <w:r>
                            <w:rPr>
                              <w:rFonts w:hint="eastAsia" w:ascii="Times New Roman" w:hAnsi="Times New Roman" w:eastAsia="黑体" w:cs="Times New Roman"/>
                              <w:color w:val="767171" w:themeColor="background2" w:themeShade="80"/>
                              <w:sz w:val="11"/>
                              <w:szCs w:val="11"/>
                              <w:lang w:val="en-US" w:eastAsia="zh-CN"/>
                            </w:rPr>
                            <w:t xml:space="preserve">    </w:t>
                          </w:r>
                          <w:r>
                            <w:rPr>
                              <w:rFonts w:hint="default" w:ascii="Times New Roman" w:hAnsi="Times New Roman" w:eastAsia="黑体" w:cs="Times New Roman"/>
                              <w:color w:val="767171" w:themeColor="background2" w:themeShade="80"/>
                              <w:sz w:val="11"/>
                              <w:szCs w:val="11"/>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8.35pt;height:34.1pt;width:416pt;z-index:251659264;v-text-anchor:middle;mso-width-relative:page;mso-height-relative:page;" filled="f" stroked="f" coordsize="21600,21600" o:gfxdata="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1+a1gAAAAgBAAAPAAAAAAAAAAEAIAAAACIAAABkcnMvZG93bnJldi54bWxQSwECFAAUAAAACACH&#10;TuJAnLQCwF8CAACtBAAADgAAAAAAAAABACAAAAAlAQAAZHJzL2Uyb0RvYy54bWxQSwUGAAAAAAYA&#10;BgBZAQAA9gUAAAAA&#10;">
              <v:fill on="f" focussize="0,0"/>
              <v:stroke on="f" weight="1pt" miterlimit="8" joinstyle="miter"/>
              <v:imagedata o:title=""/>
              <o:lock v:ext="edit" aspectratio="f"/>
              <v:textbox>
                <w:txbxContent>
                  <w:p>
                    <w:pPr>
                      <w:jc w:val="both"/>
                      <w:rPr>
                        <w:rFonts w:hint="default" w:ascii="Times New Roman" w:hAnsi="Times New Roman" w:eastAsia="黑体" w:cs="Times New Roman"/>
                        <w:color w:val="767171" w:themeColor="background2" w:themeShade="80"/>
                        <w:sz w:val="11"/>
                        <w:szCs w:val="11"/>
                      </w:rPr>
                    </w:pPr>
                    <w:r>
                      <w:rPr>
                        <w:rFonts w:hint="default" w:ascii="Times New Roman" w:hAnsi="Times New Roman" w:eastAsia="黑体" w:cs="Times New Roman"/>
                        <w:color w:val="767171" w:themeColor="background2" w:themeShade="80"/>
                        <w:sz w:val="11"/>
                        <w:szCs w:val="11"/>
                      </w:rPr>
                      <w:t xml:space="preserve"> </w:t>
                    </w:r>
                    <w:r>
                      <w:rPr>
                        <w:rFonts w:hint="eastAsia" w:ascii="Times New Roman" w:hAnsi="Times New Roman" w:eastAsia="黑体" w:cs="Times New Roman"/>
                        <w:color w:val="767171" w:themeColor="background2" w:themeShade="80"/>
                        <w:sz w:val="11"/>
                        <w:szCs w:val="11"/>
                        <w:lang w:val="en-US" w:eastAsia="zh-CN"/>
                      </w:rPr>
                      <w:t xml:space="preserve">    </w:t>
                    </w:r>
                    <w:r>
                      <w:rPr>
                        <w:rFonts w:hint="default" w:ascii="Times New Roman" w:hAnsi="Times New Roman" w:eastAsia="黑体" w:cs="Times New Roman"/>
                        <w:color w:val="767171" w:themeColor="background2" w:themeShade="80"/>
                        <w:sz w:val="11"/>
                        <w:szCs w:val="11"/>
                      </w:rPr>
                      <w:t xml:space="preserve"> </w:t>
                    </w:r>
                  </w:p>
                </w:txbxContent>
              </v:textbox>
            </v:rect>
          </w:pict>
        </mc:Fallback>
      </mc:AlternateContent>
    </w:r>
    <w:sdt>
      <w:sdtPr>
        <w:id w:val="-1569486440"/>
        <w:docPartObj>
          <w:docPartGallery w:val="autotext"/>
        </w:docPartObj>
      </w:sdtPr>
      <w:sdtEndPr>
        <w:rPr>
          <w:rFonts w:ascii="微软雅黑" w:hAnsi="微软雅黑" w:eastAsia="微软雅黑"/>
          <w:color w:val="3B3838" w:themeColor="background2" w:themeShade="40"/>
        </w:rPr>
      </w:sdtEndPr>
      <w:sdtContent>
        <w:r>
          <w:rPr>
            <w:rFonts w:ascii="微软雅黑" w:hAnsi="微软雅黑" w:eastAsia="微软雅黑"/>
            <w:color w:val="3B3838" w:themeColor="background2" w:themeShade="40"/>
            <w:sz w:val="15"/>
          </w:rPr>
          <w:fldChar w:fldCharType="begin"/>
        </w:r>
        <w:r>
          <w:rPr>
            <w:rFonts w:ascii="微软雅黑" w:hAnsi="微软雅黑" w:eastAsia="微软雅黑"/>
            <w:color w:val="3B3838" w:themeColor="background2" w:themeShade="40"/>
            <w:sz w:val="15"/>
          </w:rPr>
          <w:instrText xml:space="preserve">PAGE   \* MERGEFORMAT</w:instrText>
        </w:r>
        <w:r>
          <w:rPr>
            <w:rFonts w:ascii="微软雅黑" w:hAnsi="微软雅黑" w:eastAsia="微软雅黑"/>
            <w:color w:val="3B3838" w:themeColor="background2" w:themeShade="40"/>
            <w:sz w:val="15"/>
          </w:rPr>
          <w:fldChar w:fldCharType="separate"/>
        </w:r>
        <w:r>
          <w:rPr>
            <w:rFonts w:ascii="微软雅黑" w:hAnsi="微软雅黑" w:eastAsia="微软雅黑"/>
            <w:color w:val="3B3838" w:themeColor="background2" w:themeShade="40"/>
            <w:sz w:val="15"/>
            <w:lang w:val="zh-CN"/>
          </w:rPr>
          <w:t>1</w:t>
        </w:r>
        <w:r>
          <w:rPr>
            <w:rFonts w:ascii="微软雅黑" w:hAnsi="微软雅黑" w:eastAsia="微软雅黑"/>
            <w:color w:val="3B3838" w:themeColor="background2" w:themeShade="40"/>
            <w:sz w:val="15"/>
          </w:rPr>
          <w:fldChar w:fldCharType="end"/>
        </w:r>
      </w:sdtContent>
    </w:sdt>
  </w:p>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ind w:firstLine="6360" w:firstLineChars="2650"/>
      <w:jc w:val="left"/>
      <w:rPr>
        <w:rFonts w:ascii="宋体" w:hAnsi="宋体" w:eastAsia="宋体" w:cs="宋体"/>
        <w:kern w:val="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rFonts w:hint="eastAsia"/>
      </w:rPr>
      <w:drawing>
        <wp:anchor distT="0" distB="0" distL="114935" distR="114935" simplePos="0" relativeHeight="251660288" behindDoc="1" locked="0" layoutInCell="1" allowOverlap="1">
          <wp:simplePos x="0" y="0"/>
          <wp:positionH relativeFrom="column">
            <wp:posOffset>952500</wp:posOffset>
          </wp:positionH>
          <wp:positionV relativeFrom="paragraph">
            <wp:posOffset>3641725</wp:posOffset>
          </wp:positionV>
          <wp:extent cx="5996305" cy="6480810"/>
          <wp:effectExtent l="0" t="0" r="4445" b="0"/>
          <wp:wrapNone/>
          <wp:docPr id="1" name="图片 1" descr="未标题-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4-01"/>
                  <pic:cNvPicPr>
                    <a:picLocks noChangeAspect="1"/>
                  </pic:cNvPicPr>
                </pic:nvPicPr>
                <pic:blipFill>
                  <a:blip r:embed="rId1"/>
                  <a:stretch>
                    <a:fillRect/>
                  </a:stretch>
                </pic:blipFill>
                <pic:spPr>
                  <a:xfrm>
                    <a:off x="0" y="0"/>
                    <a:ext cx="5996305" cy="64808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9ED3C"/>
    <w:multiLevelType w:val="multilevel"/>
    <w:tmpl w:val="90B9ED3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797098"/>
    <w:multiLevelType w:val="singleLevel"/>
    <w:tmpl w:val="CF797098"/>
    <w:lvl w:ilvl="0" w:tentative="0">
      <w:start w:val="1"/>
      <w:numFmt w:val="lowerLetter"/>
      <w:suff w:val="space"/>
      <w:lvlText w:val="%1."/>
      <w:lvlJc w:val="left"/>
    </w:lvl>
  </w:abstractNum>
  <w:abstractNum w:abstractNumId="2">
    <w:nsid w:val="77C53A16"/>
    <w:multiLevelType w:val="singleLevel"/>
    <w:tmpl w:val="77C53A1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5F5BC8"/>
    <w:rsid w:val="00005200"/>
    <w:rsid w:val="00052EB6"/>
    <w:rsid w:val="00100525"/>
    <w:rsid w:val="001413A0"/>
    <w:rsid w:val="0017439A"/>
    <w:rsid w:val="00200A08"/>
    <w:rsid w:val="00202DA0"/>
    <w:rsid w:val="00226417"/>
    <w:rsid w:val="00282E20"/>
    <w:rsid w:val="00297353"/>
    <w:rsid w:val="002E3256"/>
    <w:rsid w:val="002E68E4"/>
    <w:rsid w:val="00342CCA"/>
    <w:rsid w:val="00366F13"/>
    <w:rsid w:val="00376123"/>
    <w:rsid w:val="00390819"/>
    <w:rsid w:val="003965C7"/>
    <w:rsid w:val="003A3A34"/>
    <w:rsid w:val="003A66BC"/>
    <w:rsid w:val="0040101E"/>
    <w:rsid w:val="0044347B"/>
    <w:rsid w:val="00452AE3"/>
    <w:rsid w:val="004751BD"/>
    <w:rsid w:val="004764DE"/>
    <w:rsid w:val="004C4D1C"/>
    <w:rsid w:val="00523452"/>
    <w:rsid w:val="005936D9"/>
    <w:rsid w:val="005B1598"/>
    <w:rsid w:val="005F5BC8"/>
    <w:rsid w:val="006067D3"/>
    <w:rsid w:val="006250FB"/>
    <w:rsid w:val="00651727"/>
    <w:rsid w:val="00653235"/>
    <w:rsid w:val="00675FA0"/>
    <w:rsid w:val="0068755E"/>
    <w:rsid w:val="006B4105"/>
    <w:rsid w:val="006E17EC"/>
    <w:rsid w:val="00731E0C"/>
    <w:rsid w:val="007419BF"/>
    <w:rsid w:val="00810A3E"/>
    <w:rsid w:val="00860CC2"/>
    <w:rsid w:val="008A6D4B"/>
    <w:rsid w:val="008B6201"/>
    <w:rsid w:val="008F06C6"/>
    <w:rsid w:val="009001B6"/>
    <w:rsid w:val="00906008"/>
    <w:rsid w:val="00915F0B"/>
    <w:rsid w:val="00955A38"/>
    <w:rsid w:val="00A804EB"/>
    <w:rsid w:val="00A85549"/>
    <w:rsid w:val="00A9385B"/>
    <w:rsid w:val="00AA091A"/>
    <w:rsid w:val="00AC4188"/>
    <w:rsid w:val="00AF5C19"/>
    <w:rsid w:val="00B474D7"/>
    <w:rsid w:val="00B548EF"/>
    <w:rsid w:val="00BD266C"/>
    <w:rsid w:val="00C474FE"/>
    <w:rsid w:val="00CA6258"/>
    <w:rsid w:val="00CB1FEE"/>
    <w:rsid w:val="00D10014"/>
    <w:rsid w:val="00D2048B"/>
    <w:rsid w:val="00D31B40"/>
    <w:rsid w:val="00D43718"/>
    <w:rsid w:val="00D95AD5"/>
    <w:rsid w:val="00DA1DA5"/>
    <w:rsid w:val="00DA1FBF"/>
    <w:rsid w:val="00E25CC8"/>
    <w:rsid w:val="00E72948"/>
    <w:rsid w:val="00E74E5F"/>
    <w:rsid w:val="00ED0178"/>
    <w:rsid w:val="00EF4A30"/>
    <w:rsid w:val="00F219FD"/>
    <w:rsid w:val="00F31F32"/>
    <w:rsid w:val="00F704E6"/>
    <w:rsid w:val="00F95D16"/>
    <w:rsid w:val="04F91B87"/>
    <w:rsid w:val="0C916F5F"/>
    <w:rsid w:val="117A3266"/>
    <w:rsid w:val="12371157"/>
    <w:rsid w:val="12443874"/>
    <w:rsid w:val="12A9142B"/>
    <w:rsid w:val="18291542"/>
    <w:rsid w:val="1C6074FD"/>
    <w:rsid w:val="1CA4388D"/>
    <w:rsid w:val="1EC2624D"/>
    <w:rsid w:val="22032E04"/>
    <w:rsid w:val="225B5F5F"/>
    <w:rsid w:val="23EB1DA2"/>
    <w:rsid w:val="249C5BEB"/>
    <w:rsid w:val="284D302B"/>
    <w:rsid w:val="294A756A"/>
    <w:rsid w:val="2D0B4276"/>
    <w:rsid w:val="30F77FD8"/>
    <w:rsid w:val="323B2146"/>
    <w:rsid w:val="34F44E6F"/>
    <w:rsid w:val="36C546D4"/>
    <w:rsid w:val="37734130"/>
    <w:rsid w:val="3BA24FE4"/>
    <w:rsid w:val="3E921340"/>
    <w:rsid w:val="445C0554"/>
    <w:rsid w:val="4AC705C3"/>
    <w:rsid w:val="50FB45EB"/>
    <w:rsid w:val="56ED13B1"/>
    <w:rsid w:val="579161E1"/>
    <w:rsid w:val="6B7439F8"/>
    <w:rsid w:val="6E2C05BA"/>
    <w:rsid w:val="71AA0173"/>
    <w:rsid w:val="73A00EA4"/>
    <w:rsid w:val="75653527"/>
    <w:rsid w:val="7B5A6766"/>
    <w:rsid w:val="7BCD518A"/>
    <w:rsid w:val="7C3A6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link w:val="19"/>
    <w:autoRedefine/>
    <w:qFormat/>
    <w:uiPriority w:val="1"/>
    <w:pPr>
      <w:autoSpaceDE w:val="0"/>
      <w:autoSpaceDN w:val="0"/>
      <w:jc w:val="left"/>
    </w:pPr>
    <w:rPr>
      <w:rFonts w:ascii="Source Han Sans SC Regular" w:hAnsi="Source Han Sans SC Regular" w:eastAsia="Source Han Sans SC Regular" w:cs="Source Han Sans SC Regular"/>
      <w:kern w:val="0"/>
      <w:sz w:val="9"/>
      <w:szCs w:val="9"/>
      <w:lang w:eastAsia="en-US"/>
    </w:rPr>
  </w:style>
  <w:style w:type="paragraph" w:styleId="4">
    <w:name w:val="Balloon Text"/>
    <w:basedOn w:val="1"/>
    <w:link w:val="18"/>
    <w:autoRedefine/>
    <w:semiHidden/>
    <w:unhideWhenUsed/>
    <w:qFormat/>
    <w:uiPriority w:val="99"/>
    <w:rPr>
      <w:rFonts w:ascii="宋体" w:eastAsia="宋体"/>
      <w:sz w:val="18"/>
      <w:szCs w:val="18"/>
    </w:rPr>
  </w:style>
  <w:style w:type="paragraph" w:styleId="5">
    <w:name w:val="footer"/>
    <w:basedOn w:val="1"/>
    <w:link w:val="13"/>
    <w:autoRedefine/>
    <w:unhideWhenUsed/>
    <w:qFormat/>
    <w:uiPriority w:val="99"/>
    <w:pPr>
      <w:tabs>
        <w:tab w:val="center" w:pos="4153"/>
        <w:tab w:val="right" w:pos="8306"/>
      </w:tabs>
      <w:snapToGrid w:val="0"/>
      <w:jc w:val="left"/>
    </w:pPr>
    <w:rPr>
      <w:sz w:val="18"/>
      <w:szCs w:val="18"/>
    </w:rPr>
  </w:style>
  <w:style w:type="paragraph" w:styleId="6">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Light List Accent 3"/>
    <w:basedOn w:val="8"/>
    <w:autoRedefine/>
    <w:qFormat/>
    <w:uiPriority w:val="61"/>
    <w:rPr>
      <w:kern w:val="0"/>
      <w:sz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Hyperlink"/>
    <w:basedOn w:val="10"/>
    <w:autoRedefine/>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6"/>
    <w:autoRedefine/>
    <w:qFormat/>
    <w:uiPriority w:val="99"/>
    <w:rPr>
      <w:sz w:val="18"/>
      <w:szCs w:val="18"/>
    </w:rPr>
  </w:style>
  <w:style w:type="character" w:customStyle="1" w:styleId="13">
    <w:name w:val="页脚 字符"/>
    <w:basedOn w:val="10"/>
    <w:link w:val="5"/>
    <w:autoRedefine/>
    <w:qFormat/>
    <w:uiPriority w:val="99"/>
    <w:rPr>
      <w:sz w:val="18"/>
      <w:szCs w:val="18"/>
    </w:rPr>
  </w:style>
  <w:style w:type="paragraph" w:styleId="14">
    <w:name w:val="No Spacing"/>
    <w:link w:val="15"/>
    <w:autoRedefine/>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字符"/>
    <w:basedOn w:val="10"/>
    <w:link w:val="14"/>
    <w:autoRedefine/>
    <w:qFormat/>
    <w:uiPriority w:val="1"/>
    <w:rPr>
      <w:kern w:val="0"/>
      <w:sz w:val="22"/>
    </w:rPr>
  </w:style>
  <w:style w:type="character" w:styleId="16">
    <w:name w:val="Placeholder Text"/>
    <w:basedOn w:val="10"/>
    <w:autoRedefine/>
    <w:semiHidden/>
    <w:qFormat/>
    <w:uiPriority w:val="99"/>
    <w:rPr>
      <w:color w:val="808080"/>
    </w:rPr>
  </w:style>
  <w:style w:type="paragraph" w:styleId="17">
    <w:name w:val="List Paragraph"/>
    <w:basedOn w:val="1"/>
    <w:autoRedefine/>
    <w:qFormat/>
    <w:uiPriority w:val="1"/>
    <w:pPr>
      <w:ind w:firstLine="420" w:firstLineChars="200"/>
    </w:pPr>
  </w:style>
  <w:style w:type="character" w:customStyle="1" w:styleId="18">
    <w:name w:val="批注框文本 字符"/>
    <w:basedOn w:val="10"/>
    <w:link w:val="4"/>
    <w:autoRedefine/>
    <w:semiHidden/>
    <w:qFormat/>
    <w:uiPriority w:val="99"/>
    <w:rPr>
      <w:rFonts w:ascii="宋体" w:eastAsia="宋体"/>
      <w:sz w:val="18"/>
      <w:szCs w:val="18"/>
    </w:rPr>
  </w:style>
  <w:style w:type="character" w:customStyle="1" w:styleId="19">
    <w:name w:val="正文文本 字符"/>
    <w:basedOn w:val="10"/>
    <w:link w:val="3"/>
    <w:autoRedefine/>
    <w:qFormat/>
    <w:uiPriority w:val="1"/>
    <w:rPr>
      <w:rFonts w:ascii="Source Han Sans SC Regular" w:hAnsi="Source Han Sans SC Regular" w:eastAsia="Source Han Sans SC Regular" w:cs="Source Han Sans SC Regular"/>
      <w:kern w:val="0"/>
      <w:sz w:val="9"/>
      <w:szCs w:val="9"/>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ansu\Library\Group%20Containers\UBF8T346G9.Office\User%20Content.localized\Templates.localized\Word%20&#20013;&#25991;&#27169;&#29256;-20221114&#65288;&#20013;&#22269;&#21306;logo&#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日期：XXXX年X月X日</PublishDate>
  <Abstract/>
  <CompanyAddress>www.novogene.com</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F4BFD570-02EA-8143-A8C7-0B56CF49BF8F}">
  <ds:schemaRefs/>
</ds:datastoreItem>
</file>

<file path=docProps/app.xml><?xml version="1.0" encoding="utf-8"?>
<Properties xmlns="http://schemas.openxmlformats.org/officeDocument/2006/extended-properties" xmlns:vt="http://schemas.openxmlformats.org/officeDocument/2006/docPropsVTypes">
  <Template>Word 中文模版-20221114（中国区logo）.dotx</Template>
  <Company>北京诺禾致源科技股份有限公司</Company>
  <Pages>14</Pages>
  <Words>4281</Words>
  <Characters>11045</Characters>
  <Lines>276</Lines>
  <Paragraphs>100</Paragraphs>
  <TotalTime>0</TotalTime>
  <ScaleCrop>false</ScaleCrop>
  <LinksUpToDate>false</LinksUpToDate>
  <CharactersWithSpaces>15226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2023-08-04T06:58:00Z</dcterms:created>
  <dc:creator>yanan Su</dc:creator>
  <cp:lastModifiedBy>Y</cp:lastModifiedBy>
  <cp:lastPrinted>2019-04-11T02:44:00Z</cp:lastPrinted>
  <dcterms:modified xsi:type="dcterms:W3CDTF">2024-05-27T10:21:11Z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ECF00350B21C4E11B8F40742A8527873_13</vt:lpwstr>
  </property>
</Properties>
</file>