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黑体" w:cs="Times New Roman"/>
          <w:color w:val="5B9BD5" w:themeColor="accent1"/>
          <w14:textFill>
            <w14:solidFill>
              <w14:schemeClr w14:val="accent1"/>
            </w14:solidFill>
          </w14:textFill>
        </w:rPr>
        <w:id w:val="-1"/>
      </w:sdtPr>
      <w:sdtEndPr>
        <w:rPr>
          <w:rFonts w:hint="default" w:ascii="Times New Roman" w:hAnsi="Times New Roman" w:eastAsia="黑体" w:cs="Times New Roman"/>
          <w:color w:val="auto"/>
        </w:rPr>
      </w:sdtEndPr>
      <w:sdtContent>
        <w:p>
          <w:pPr>
            <w:widowControl/>
            <w:jc w:val="left"/>
            <w:rPr>
              <w:rFonts w:hint="default" w:ascii="Times New Roman" w:hAnsi="Times New Roman" w:eastAsia="黑体" w:cs="Times New Roman"/>
              <w:kern w:val="0"/>
              <w:sz w:val="24"/>
              <w:szCs w:val="24"/>
            </w:rPr>
          </w:pPr>
          <w:r>
            <w:rPr>
              <w:rFonts w:hint="default" w:ascii="Times New Roman" w:hAnsi="Times New Roman" w:eastAsia="黑体" w:cs="Times New Roman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softHyphen/>
          </w:r>
          <w:r>
            <w:rPr>
              <w:rFonts w:hint="default" w:ascii="Times New Roman" w:hAnsi="Times New Roman" w:eastAsia="黑体" w:cs="Times New Roman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softHyphen/>
          </w:r>
          <w:r>
            <w:rPr>
              <w:rFonts w:hint="default" w:ascii="Times New Roman" w:hAnsi="Times New Roman" w:eastAsia="黑体" w:cs="Times New Roman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softHyphen/>
          </w:r>
        </w:p>
        <w:p>
          <w:pPr>
            <w:pStyle w:val="14"/>
            <w:spacing w:before="480"/>
            <w:rPr>
              <w:rFonts w:hint="default" w:ascii="Times New Roman" w:hAnsi="Times New Roman" w:eastAsia="黑体" w:cs="Times New Roman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rFonts w:hint="default" w:ascii="Times New Roman" w:hAnsi="Times New Roman" w:eastAsia="黑体" w:cs="Times New Roman"/>
            </w:rPr>
          </w:pPr>
        </w:p>
        <w:p>
          <w:pPr>
            <w:rPr>
              <w:rFonts w:hint="default" w:ascii="Times New Roman" w:hAnsi="Times New Roman" w:eastAsia="黑体" w:cs="Times New Roman"/>
            </w:rPr>
          </w:pPr>
        </w:p>
        <w:p>
          <w:pPr>
            <w:rPr>
              <w:rFonts w:hint="default" w:ascii="Times New Roman" w:hAnsi="Times New Roman" w:eastAsia="黑体" w:cs="Times New Roman"/>
            </w:rPr>
          </w:pPr>
        </w:p>
        <w:p>
          <w:pPr>
            <w:rPr>
              <w:rFonts w:hint="default" w:ascii="Times New Roman" w:hAnsi="Times New Roman" w:eastAsia="黑体" w:cs="Times New Roman"/>
            </w:rPr>
          </w:pPr>
        </w:p>
        <w:p>
          <w:pPr>
            <w:rPr>
              <w:rFonts w:hint="default" w:ascii="Times New Roman" w:hAnsi="Times New Roman" w:eastAsia="黑体" w:cs="Times New Roman"/>
            </w:rPr>
          </w:pPr>
        </w:p>
        <w:p>
          <w:pPr>
            <w:pStyle w:val="14"/>
            <w:jc w:val="center"/>
            <w:rPr>
              <w:rFonts w:hint="default" w:ascii="Times New Roman" w:hAnsi="Times New Roman" w:eastAsia="黑体" w:cs="Times New Roman"/>
              <w:color w:val="3B3838" w:themeColor="background2" w:themeShade="40"/>
              <w:sz w:val="36"/>
            </w:rPr>
          </w:pPr>
          <w:sdt>
            <w:sdtPr>
              <w:rPr>
                <w:rFonts w:hint="default" w:ascii="Times New Roman" w:hAnsi="Times New Roman" w:eastAsia="宋体" w:cs="Times New Roman"/>
                <w:b/>
                <w:bCs/>
                <w:color w:val="3A3838"/>
                <w:sz w:val="36"/>
                <w:szCs w:val="36"/>
              </w:rPr>
              <w:alias w:val="标题"/>
              <w:id w:val="498004091"/>
              <w:placeholder>
                <w:docPart w:val="57CF3B477924964A81D3228277C72F7B"/>
              </w:placeholder>
              <w:text/>
            </w:sdtPr>
            <w:sdtEndPr>
              <w:rPr>
                <w:rFonts w:hint="default" w:ascii="Times New Roman" w:hAnsi="Times New Roman" w:eastAsia="宋体" w:cs="Times New Roman"/>
                <w:b/>
                <w:bCs/>
                <w:color w:val="3A3838"/>
                <w:sz w:val="36"/>
                <w:szCs w:val="36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  <w:color w:val="3A3838"/>
                  <w:sz w:val="36"/>
                  <w:szCs w:val="36"/>
                </w:rPr>
                <w:t>疾病 WES 中文版 method</w:t>
              </w:r>
            </w:sdtContent>
          </w:sdt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  <w:p>
          <w:pPr>
            <w:spacing w:before="100" w:beforeAutospacing="1" w:after="100" w:afterAutospacing="1"/>
            <w:jc w:val="center"/>
            <w:rPr>
              <w:rFonts w:hint="eastAsia" w:ascii="微软雅黑" w:hAnsi="微软雅黑" w:eastAsia="微软雅黑" w:cs="微软雅黑"/>
              <w:color w:val="auto"/>
              <w:sz w:val="24"/>
              <w:szCs w:val="24"/>
            </w:rPr>
          </w:pPr>
        </w:p>
        <w:p>
          <w:pPr>
            <w:spacing w:before="100" w:beforeAutospacing="1" w:after="100" w:afterAutospacing="1"/>
            <w:jc w:val="center"/>
            <w:rPr>
              <w:rFonts w:hint="eastAsia" w:ascii="微软雅黑" w:hAnsi="微软雅黑" w:eastAsia="微软雅黑" w:cs="微软雅黑"/>
              <w:color w:val="auto"/>
              <w:sz w:val="24"/>
              <w:szCs w:val="24"/>
            </w:rPr>
          </w:pPr>
        </w:p>
        <w:p>
          <w:pPr>
            <w:spacing w:before="100" w:beforeAutospacing="1" w:after="100" w:afterAutospacing="1"/>
            <w:jc w:val="center"/>
            <w:rPr>
              <w:rFonts w:hint="default" w:ascii="Times New Roman" w:hAnsi="Times New Roman" w:eastAsia="黑体" w:cs="Times New Roman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color w:val="auto"/>
              <w:sz w:val="24"/>
              <w:szCs w:val="24"/>
            </w:rPr>
            <w:t>仅供客户在文章写作时参考，分析内容和方法请以结题报告为准，请客户自行承担文章查重等相关</w:t>
          </w:r>
          <w:r>
            <w:rPr>
              <w:rFonts w:hint="eastAsia" w:ascii="微软雅黑" w:hAnsi="微软雅黑" w:eastAsia="微软雅黑" w:cs="微软雅黑"/>
              <w:color w:val="auto"/>
              <w:sz w:val="24"/>
              <w:szCs w:val="24"/>
              <w:lang w:val="en-US" w:eastAsia="zh-CN"/>
            </w:rPr>
            <w:t>风</w:t>
          </w:r>
          <w:r>
            <w:rPr>
              <w:rFonts w:hint="eastAsia" w:ascii="微软雅黑" w:hAnsi="微软雅黑" w:eastAsia="微软雅黑" w:cs="微软雅黑"/>
              <w:color w:val="auto"/>
              <w:sz w:val="24"/>
              <w:szCs w:val="24"/>
            </w:rPr>
            <w:t>险。</w:t>
          </w:r>
        </w:p>
        <w:p>
          <w:pPr>
            <w:rPr>
              <w:rFonts w:hint="default" w:ascii="Times New Roman" w:hAnsi="Times New Roman" w:eastAsia="黑体" w:cs="Times New Roman"/>
              <w:sz w:val="28"/>
              <w:szCs w:val="28"/>
            </w:rPr>
          </w:pPr>
        </w:p>
      </w:sdtContent>
    </w:sdt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实验流程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1.1样品 DNA 质量检测(DNAQualityControl)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详⻅样本检测报告。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1.2 DNA 片段化(DNA Shearing)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将基因组 DNA 经 Covaris 破碎仪随机打断成⻓度为 180-280bp 左右的片段。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1.3 末端修复反应(End Repair)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片段化后的 DNA 存在 5’或 3’端突出，向纯化后的 DNA 片段中加入末端补⻬体系，其中 T4DNA 聚合酶(T4 DNA Polymerase)的外切酶(Exonuclease)活性消化 3’端的单链突出，而聚合酶(Polymerase)活性补⻬ 5’端的突出;同时磷酸激酶(PNK)在 5’末端加上后续连接反应必需的磷酸基团，经过 Agencourt  AMPure XP 磁珠纯化，最终得到 5’端含有磷酸基团的平末端 DNA 短片段文库。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1.4 3’端加“A”尾(Adenlylate 3’ Ends)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向上述体系中加入 3’末端加“A”缓冲反应体系。在末端修饰完成的双链 DNA3’末端 加上单个腺苷酸“A”，防止 DNA 片段之间的平末端自连，还可以与下一步测序接头 5’ 末端的单个“T”突出互补配对，准确连接，有效降低文库片段之间自身的串联。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1.5 连接测序接头(Adapter Ligation)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向上述反应体系中加入连接缓冲液和双链测序接头，利用 T4DNA 连接酶将 Illumina 测序 接头连接至文库 DNA 两端。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1.6 PCR 扩增 DNA 文库(PCR Amplification)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应用高保真的聚合酶扩增原始文库，以保证足够的文库总量。此外因为只有两端都连有接 头的 DNA 片段才能够被扩增，因此该步骤还能够有效富集这部分 DNA。在保证产物足够的前提下，减少因扩增循环数过大而引入的 bias；最终使用 Qubit3.0 精确测定每个文库浓度。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1.7 文库片段筛选(Size Selection)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对于加上接头的文库，应用 Agencourt SPRIselect (Beckman Coulter, USA, Catalog # : 2358413)核酸片段筛选试剂盒在纯化文库的同时，进行片段大小筛选。采用两步法筛选(Double Size Selection)，先用 SPRI 磁珠去掉目标域左侧小片段(Left-side Size Selection)，再去掉位于⺫标片段区域右侧的大片段(Right-side Size Selection) 最终筛选出片段⻓度适中的原始文库，用于下一步的 PCR 扩增。经过纯化后的文库，去掉了体系中过量的测序接头和接头自连产物，避免 PCR 过程的无效扩增，消除对上机测序的影响。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1.8 全外显子杂交捕获(Library Hybridization with Exome Array)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使用 Agilent SureSelect Human All Exon V6 试剂盒/Agilent SureSelectXT Mouse All Exon library 试剂盒，将接头文库与含生物素标记的探针库进行液相杂交，通过核 酸碱基互补的原理，使得探针与⺫标 DNA 片段进行结合，再使用链霉亲和素磁珠与该杂交混合液混合，使链霉亲和素磁珠与含生物素的⺫标片段牢固结合，从而捕获到基因的外显子。经过进一步清洗，去除和磁珠非特异性结合的 DNA 后，文库中属于外显子区域的 DNA 得到富集。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1.9 PCR 扩增外显子 DNA 文库(PCR Amplification)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Heiti SC Medium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 50 μL 反应体系中应用高保真的聚合酶扩增原始文库，以保证足够的外显子文库总量。 PCR 扩增循环数控制在 10-12 之间。在保证产物足够的前提下，减少因扩增循环数过大而引入的 bias。扩增后的外显子文库经过磁珠纯化即成为可以上机的测序文库。</w:t>
      </w:r>
      <w:r>
        <w:rPr>
          <w:rFonts w:hint="default" w:ascii="Times New Roman" w:hAnsi="Times New Roman" w:eastAsia="Heiti SC Medium" w:cs="Times New Roman"/>
          <w:sz w:val="22"/>
          <w:szCs w:val="22"/>
        </w:rPr>
        <w:t xml:space="preserve">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1.10 文库库检(Library Quality Assessment)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文库构建完成后， Agilent 5400 system(AATI)对文库的 insert size 进行检测，insert size 符合预期后，使用 qPCR 方法对文库的有效浓度(1.5 nM)进行准确定量，以保证文库质量。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1.11 桥式 PCR(Bridge PCR)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库检合格后，根据文库的有效浓度及数据产出在 Illumina Novaseq 平台进行测序。即将 捕获后的文库种到 FlowCell 芯片上进行扩增的过程。FlowCell 通道内表面种植有两种不同的 DNA 引物，这两种引物序列与 DNA 文库中两头的接头序列相互补，且以共价键形式连接在 FlowCell 上。具体过程如下: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将 DNA 文库加入到芯片上，由于文库两头的 DNA 序列和芯片上的引物序列互补，产生互补杂交，杂交完后，加入 dNTP 和聚合酶，聚合酶从引物开始，沿着模板，合成一条 与原来 DNA 序列互补的 DNA 链;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加入 NaOH 碱溶液，使得 DNA 双链解链，冲走原来那条没有和芯片共价连接的 DNA 链，保留新合成的和芯片共价连接的 DNA 链;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再在液流磁中加入中和液，中和掉碱性溶液，此时 DNA 上的另一端和芯片上的另一个引物发生互补杂交，加入酶和 dNTP，合成一条新的 DNA 链;再次加入碱溶液，使两条 DNA 链分开，再加中和液，DNA 即和芯片上新的引物杂交，加酶和 dNTP，再次从新的引物上合成新链，连续重复这一过程，DNA 链以指数的方式增⻓。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1.12 Illumina 平台 PE150 上机测序(Sequencing)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PE150 即 Pair-end150bp，高通量测序。在构建的 DNA 小片段文库中，将每条插入片段 进行两端测序，每端各测 150bp，具体过程如下: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完成桥式 PCR 之后，将合成的双链变成可以测序的单链；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将芯片上其中一个引物的一个 特定基团切断，碱溶液冲洗芯片，使得 DNA 双链解链，且被切断根部的 DNA 链被冲掉， 留下被共价键连接的那条链;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加入中性溶液、测序引物及带荧光标记的 dNTP，四种 dNTP 由四种不同的荧光标记，其 3’末端被叠氮基堵住，再加入聚合酶，使 dNTP 合成到新的 DNA 链上，由于其 3’末端被叠氮钠基堵住，故每个循环只能延⻓一个碱基，完成一个循环后将多余的 dNTP、酶等冲掉，置于显微镜下进行激光扫描，根据发出来的荧光判 断新合成的是哪个碱基，通过互补原理可推测模板碱基;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afterAutospacing="0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在完成一个循环之后，加入化学试剂，将叠氮钠基团和荧光基团切掉，使得 3’端羟基暴露出来，加入新的 dNTP 和新 的酶，又延⻓一个碱基，新的碱基延⻓完成之后，把多余的 dNTP 和酶冲掉，再进行一轮 显微激光扫描，再读一轮此碱基，不断重复此循环，就可以读出上百个碱基。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2.生物信息分析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测序结束后对原始序列进行信息分析，通过对数据质量进行评估，判断其是否达到标准，若符合标准，则对样本进行变异检测，包括 SNP、InDel、CNV，并注释；若不合标准，则需根据实际情况加测或者重新建库。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2.1 数据质量控制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2.1.1 原始序列数据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原始测序数据通过 Illumina 测序平台得到的原始图像数据文件经碱基识别(Base Calling)分析转化为原始测序序列(Sequenced Reads)，即 Raw Data，结果以FASTQ(简称为 fq)文件格式存储，其中包含测序序列(reads)的序列信息及其对应的 测序质量信息。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2.1.2 测序数据质量评估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2.1.2.1 原始数据过滤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去除带接头(adapter)的 reads 对;去掉单端测序 read 中 N(N 表示无法确定碱基信 息)的比例大于 10%的 reads 对;当单端测序 read 中含有的低质量(低于 5)碱基数超过该条 read ⻓度比例的 50%时，去除此对 reads。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2.1.2.2 检查测序错误率分布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测序错误率是在碱基识别(Base Calling)过程中通过一种判别发生错误概率的模型计算 得到的。它与碱基质量有关，受测序仪本身、测序试剂、样品等多个因素共同影响。测序 错误率分布检查用于检测在测序⻓度范围内，有无异常的碱基位置存在高错误率，一般情 况下，每个碱基位置的测序错误率都应该低于 1%。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2.1.2.3 检查 GC 含量分布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该检查主要检测有无 AT、GC 分离现象，理论上 A 和 T 碱基及 C 和 G 碱基在每一测序循环上应该分别相等，但在实际测序过程中，会由于 DNA 模板扩增偏差、前几个碱基测序 质量较低等原因，导致每个 read 前几个碱基波动较大，属于正常情况。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2.1.2.4 测序数据质量分布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依照测序技术特点，测序片段末端碱基质量一般较前端低。测序数据的质量主要分布在 Q30≥85%以上时，才能保证后续分析正常进行。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2.1.3 测序深度及覆盖度统计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有效测序数据通过 BWA(Li et al., 2018)比对到参考基因组(GRCh37/hg19/GRCh38) ，得到 BAM 格式的最初的比对结果。然后，用 Sambamba (Tarasov et al., 2015)对比 对结果进行排序并标记重复 reads(mark duplicate reads)。最后，利用重复标记后的 比对结果进行覆盖度、深度等的统计。通常，人类样本的测序 reads 能达到 95%以上的比 对率;当一个位点的碱基覆盖深(read depth)达到 10X 以上时，该位点处检测出的 SNP 比较可信。 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2.2 变异检测结果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在最初的比对结果(BAM 文件)的基础上，利用 SAMtools(Li et al., 2009)识别 SNP 和 InDel 位点，统计基因组不同区域上 SNP 和 InDel 数目，编码区上不同类型 SNP 和 InDe 数⺫，转换和颠换的类型分布，SNP 和 InDel 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目</w:t>
      </w:r>
      <w:r>
        <w:rPr>
          <w:rFonts w:hint="default" w:ascii="Times New Roman" w:hAnsi="Times New Roman" w:eastAsia="宋体" w:cs="Times New Roman"/>
          <w:sz w:val="24"/>
          <w:szCs w:val="24"/>
        </w:rPr>
        <w:t>及基因型分布。germline SNP 和 InDel 过滤参数如下：QUAL≥20；DV≥4；MQ≥30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采用 CoNIFER(Krumm N et al., 2012)软件，通过检测样本在一个参考基因组上 reads 的深 度分布情况来检测 CNV 。</w:t>
      </w:r>
    </w:p>
    <w:p>
      <w:pPr>
        <w:pStyle w:val="7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2.3 注释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ANNOVAR(Wang et al., 2010)是一种高效的软件工具，它能利用最新的信息，对由多个 基因组检测出的基因变异进行功能注释。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利用 ANNOVAR 对先前工作中获得的 vcf(variant call format)进行注释。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(1)使用 Refseq(O'Leary et al., 2016)注释变异位点的基因结构，基因类型包括 mRNA、非编码 RNA 等;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(2)变异位点的基因组特征，对于位于基因组重复区段内的突变需谨慎对待;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(3)通过 SIFT(Ng et al., 2003)、PolyPhen (Adzhubei et al., 2013)以及 MutationTaster (Reva et al., 2011)等方法全面评估非同义突变对疾病/肿瘤的影响;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(4)提供了 dbSNP(Sherry et al., 2001)、千人基因组 SNP 数据库(Abecasis et al., 2012)、COSMIC(Tate et al., 2019)已知肿瘤体细胞突变数据库和 esp6500 变异数据库等注释，对变异结果可以进行任何组合的筛选;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(5)注释内容还包括对突变所在基因进行功能注释，使用的数据库包括 GO(Lee et al., 2004)、KEGG(Kanehisa et al., 2000)、Reactome(Jassal et al., 2020)、Biocarta、 PID(Schaefer et al., 2009)等。 </w:t>
      </w:r>
    </w:p>
    <w:p>
      <w:pPr>
        <w:pStyle w:val="7"/>
        <w:rPr>
          <w:rFonts w:hint="default" w:ascii="Times New Roman" w:hAnsi="Times New Roman" w:eastAsia="宋体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8"/>
          <w:szCs w:val="28"/>
        </w:rPr>
        <w:t xml:space="preserve">3 参考文献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Abecasis GR, Auton A, et al. An integrated map of genetic variation from 1,092 human genomes. Nature. 2012;491(7422):56-65. doi:10.1038/nature11632 (1000 Genomes)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Adzhubei I, Jordan DM, Sunyaev SR. Predicting functional effect of human missense mutations using PolyPhen-2. Curr Protoc Hum Genet. 2013;Chapter 7:Unit7.20. doi:10.1002/0471142905.hg0720s76 (PolyPhen)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Buniello A, MacArthur JAL, Cerezo M, et al. The NHGRI-EBI GWAS Catalog of published genome-wide association studies, targeted arrays and summary statistics 2019. Nucleic Acids Res. 2019;47(D1):D1005-D1012. doi:10.1093/nar/gky1120 (GWAS Catalog)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Chun S, Fay JC. Identification of deleterious mutations within three human genomes. Genome Res. 2009;19(9):1553-1561. doi:10.1101/gr.092619.109 (LRT)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Faust GG, Hall IM. SAMBLASTER: fast duplicate marking and structural variant read extraction. Bioinformatics. 2014;30(17):2503-2505. doi:10.1093/bioinformatics/btu314 (Samblaster)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Frankish A, Diekhans M, Jungreis I, et al. GENCODE 2021. Nucleic Acids Res. 2021;49(D1):D916-D923. doi:10.1093/nar/gkaa1087 (GENCODE)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Garber M, Guttman M, Clamp M, Zody MC, Friedman N, Xie X. Identifying novel constrained elements by exploiting biased substitution patterns. Bioinformatics. 2009;25(12):i54-i62. doi:10.1093/bioinformatics/btp190 (SiPhy)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Hamosh A, Scott AF, Amberger JS, Bocchini CA, McKusick VA. Online Mendelian Inheritance in Man (OMIM), a knowledgebase of human genes and genetic disorders. Nucleic Acids Res. 2005;33(Database issue):D514-D517. doi:10.1093/nar/gki033 (OMIM)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Harris MA, Clark J, Ireland A, et al. The Gene Ontology (GO) database and informatics resource. Nucleic Acids Res. 2004;32(Database issue):D258-D261. doi:10.1093/nar/gkh036 (GO)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Huber CD, Kim BY, Lohmueller KE. Population genetic models of GERP scores suggest pervasive turnover of constrained sites across mammalian evolution. PLoS Genet. 2020;16(5):e1008827. Published 2020 May 29. doi:10.1371/journal.pgen.1008827 (GERP)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Jassal B, Matthews L, Viteri G, et al. The reactome pathway knowledgebase. Nucleic Acids Res. 2020;48(D1):D498-D503. doi:10.1093/nar/gkz1031 (Reactome)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Kanehisa M, Goto S. KEGG: kyoto encyclopedia of genes and genomes. Nucleic Acids Res. 2000;28(1):27-30. doi:10.1093/nar/28.1.27 (KEGG PATHWAY)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Kent WJ, Sugnet CW, Furey TS, et al. The human genome browser at UCSC. Genome Res. 2002;12(6):996-1006. doi:10.1101/gr.229102 (UCSC)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Kobayashi Y, Yang S, Nykamp K, Garcia J, Lincoln SE, Topper SE. Pathogenic variant burden in the ExAC database: an empirical approach to evaluating population data for clinical variant interpretation. Genome Med. 2017;9(1):13. Published 2017 Feb 6. doi:10.1186/s13073-017-0403-7 (ExAc)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Krumm N, Sudmant PH, Ko A, et al. Copy number variation detection and genotyping from exome sequence data.Genome Res. 2012;22:1525-1532(CoNIFER)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Li H, Durbin R. Fast and accurate long-read alignment with Burrows-Wheeler transform. Bioinformatics. 2010;26(5):589-595. doi:10.1093/bioinformatics/btp698 (BWA_MEM)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Li H, Handsaker B, Wysoker A, et al. The Sequence Alignment/Map format and SAMtools. Bioinformatics. 2009;25(16):2078-2079. doi:10.1093/bioinformatics/btp352 (SAMtools)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Ng PC, Henikoff S. SIFT: Predicting amino acid changes that affect protein function. Nucleic Acids Res. 2003;31(13):3812-3814. doi:10.1093/nar/gkg509 (SIFT)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O'Leary NA, Wright MW, Brister JR, et al. Reference sequence (RefSeq) database at NCBI: current status, taxonomic expansion, and functional annotation. Nucleic Acids Res. 2016;44(D1):D733-D745. doi:10.1093/nar/gkv1189 (RefSeq)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Pio MG, Siffo S, Scheps KG, et al. Curating the gnomAD database: Report of novel variants in the thyrogobulin gene using in silico bioinformatics algorithms. Mol Cell Endocrinol. 2021;534:111359. doi:10.1016/j.mce.2021.111359 (gnomAD)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Pollard KS, Hubisz MJ, Rosenbloom KR, Siepel A. Detection of nonneutral substitution rates on mammalian phylogenies. Genome Res. 2010;20(1):110-121. doi:10.1101/gr.097857.109 (phyloP)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Rentzsch P, Witten D, Cooper GM, Shendure J, Kircher M. CADD: predicting the deleteriousness of variants throughout the human genome. Nucleic Acids Res. 2019;47(D1):D886-D894. doi:10.1093/nar/gky1016 (CADD)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Reva B, Antipin Y, Sander C. Predicting the functional impact of protein mutations: application to cancer genomics. Nucleic Acids Res. 2011;39(17):e118. doi:10.1093/nar/gkr407 (MutationAssessor)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Schaefer CF, Anthony K, Krupa S, et al. PID: the Pathway Interaction Database. Nucleic Acids Res. 2009;37(Database issue):D674-D679. doi:10.1093/nar/gkn653 (PID)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Sherry ST, Ward MH, Kholodov M, et al. dbSNP: the NCBI database of genetic variation. Nucleic Acids Res. 2001;29(1):308-311. doi:10.1093/nar/29.1.308 (dbSNP)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Shihab HA, Gough J, Cooper DN, et al. Predicting the functional, molecular, and phenotypic consequences of amino acid substitutions using hidden Markov models. Hum Mutat. 2013;34(1):57-65. doi:10.1002/humu.22225 (FATHMM)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Steinhaus R, Proft S, Schuelke M, Cooper DN, Schwarz JM, Seelow D. MutationTaster2021. Nucleic Acids Res. 2021;49(W1):W446-W451. doi:10.1093/nar/gkab266 (MutationTaster)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Stenson PD, Mort M, Ball EV, et al. The Human Gene Mutation Database (HGMD®): optimizing its use in a clinical diagnostic or research setting. Hum Genet. 2020;139(10):1197-1207. doi:10.1007/s00439-020-02199-3 (HGMD)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Tarasov A, Vilella AJ, Cuppen E, Nijman IJ, Prins P. Sambamba: fast processing of NGS alignment formats. Bioinformatics. 2015;31(12):2032-2034. doi:10.1093/bioinformatics/btv098 (Sambamba)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Tate JG, Bamford S, Jubb HC, et al. COSMIC: the Catalogue Of Somatic Mutations In Cancer.Nucleic Acids Res. 2019;47(D1):D941-D947. doi:10.1093/nar/gky1015 (COSMIC)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 xml:space="preserve">Wang K, Li M, Hakonarson H. ANNOVAR: functional annotation of genetic variants from high-throughput sequencing data.Nucleic Acids Res. 2010;38(16):e164. doi:10.1093/nar/gkq603 (ANNOVAR)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>Richards, Sue, et al.Standards and Guidelines for the Interpretation of Sequence Variants: A Joint Consensus Recommendation of the American College of Medical Genetics and Genomics and the Association for Molecular Pathology.2015;pp. 405–24.doi:10.1038/gim.2015.30 (ACMG)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>Smedley, Damian, et al.A Whole-Genome Analysis Framework for Effective Identification of Pathogenic Regulatory Variants in Mendelian Disease.The American Journal of Human Genetics.2016;99(3).doi.org/10.1016/j.ajhg.2016.07.005.(Genomiser)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>Magi, Alberto et al. “H3M2: detection of runs of homozygosity from whole-exome sequencing data.” Bioinformatics (Oxford, England) vol. 30,20 (2014): 2852-9. doi:10.1093/bioinformatics/btu401(H3M2)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>Piñero J, Bravo À, Queralt-Rosinach N, et al. DisGeNET: a comprehensive platform integrating information on human disease-associated genes and variants. Nucleic Acids Res. 2017;45(D1):D833-D839. doi:10.1093/nar/gkw943(DisGeNet)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1E1E1E"/>
          <w:sz w:val="22"/>
          <w:szCs w:val="22"/>
          <w:shd w:val="clear" w:color="auto" w:fill="FFFFFF"/>
        </w:rPr>
        <w:t>Warde-Farley, David et al. “The GeneMANIA prediction server: biological network integration for gene prioritization and predicting gene function.” Nucleic acids research vol. 38,Web Server issue (2010): W214-20. doi:10.1093/nar/gkq537(GeneMANIA)</w:t>
      </w:r>
    </w:p>
    <w:p>
      <w:pPr>
        <w:pStyle w:val="7"/>
        <w:rPr>
          <w:rFonts w:hint="default" w:ascii="Times New Roman" w:hAnsi="Times New Roman" w:cs="Times New Roman"/>
        </w:rPr>
      </w:pPr>
    </w:p>
    <w:p>
      <w:pPr>
        <w:pStyle w:val="7"/>
        <w:rPr>
          <w:rFonts w:hint="default" w:ascii="Times New Roman" w:hAnsi="Times New Roman" w:eastAsia="Heiti SC Medium" w:cs="Times New Roman"/>
        </w:rPr>
      </w:pPr>
    </w:p>
    <w:p>
      <w:pPr>
        <w:pStyle w:val="7"/>
        <w:rPr>
          <w:rFonts w:hint="default" w:ascii="Times New Roman" w:hAnsi="Times New Roman" w:eastAsia="Heiti SC Medium" w:cs="Times New Roman"/>
        </w:rPr>
      </w:pPr>
      <w:r>
        <w:rPr>
          <w:rFonts w:hint="default" w:ascii="Times New Roman" w:hAnsi="Times New Roman" w:eastAsia="Heiti SC Medium" w:cs="Times New Roman"/>
          <w:sz w:val="22"/>
          <w:szCs w:val="22"/>
        </w:rPr>
        <w:t xml:space="preserve"> 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964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Han Sans SC Regular">
    <w:altName w:val="Yu Gothic"/>
    <w:panose1 w:val="020B0604020202020204"/>
    <w:charset w:val="80"/>
    <w:family w:val="swiss"/>
    <w:pitch w:val="default"/>
    <w:sig w:usb0="00000000" w:usb1="00000000" w:usb2="00000016" w:usb3="00000000" w:csb0="0002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iti SC Medium">
    <w:altName w:val="Adobe 仿宋 Std R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微软雅黑" w:hAnsi="微软雅黑" w:eastAsia="微软雅黑"/>
        <w:color w:val="3B3838" w:themeColor="background2" w:themeShade="40"/>
      </w:rPr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106045</wp:posOffset>
              </wp:positionV>
              <wp:extent cx="5283200" cy="433070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3200" cy="433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0.65pt;margin-top:8.35pt;height:34.1pt;width:416pt;z-index:251659264;v-text-anchor:middle;mso-width-relative:page;mso-height-relative:page;" filled="f" stroked="f" coordsize="21600,21600" o:gfxdata="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q&#10;U1+a1gAAAAgBAAAPAAAAAAAAAAEAIAAAACIAAABkcnMvZG93bnJldi54bWxQSwECFAAUAAAACACH&#10;TuJAnLQCwF8CAACtBAAADgAAAAAAAAABACAAAAAlAQAAZHJzL2Uyb0RvYy54bWxQSwUGAAAAAAYA&#10;BgBZAQAA9g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rect>
          </w:pict>
        </mc:Fallback>
      </mc:AlternateContent>
    </w:r>
    <w:sdt>
      <w:sdtPr>
        <w:id w:val="-1442994283"/>
      </w:sdtPr>
      <w:sdtEndPr>
        <w:rPr>
          <w:rFonts w:ascii="微软雅黑" w:hAnsi="微软雅黑" w:eastAsia="微软雅黑"/>
          <w:color w:val="3B3838" w:themeColor="background2" w:themeShade="40"/>
        </w:rPr>
      </w:sdtEndPr>
      <w:sdtContent>
        <w:r>
          <w:rPr>
            <w:rFonts w:ascii="微软雅黑" w:hAnsi="微软雅黑" w:eastAsia="微软雅黑"/>
            <w:color w:val="3B3838" w:themeColor="background2" w:themeShade="40"/>
            <w:sz w:val="15"/>
          </w:rPr>
          <w:fldChar w:fldCharType="begin"/>
        </w:r>
        <w:r>
          <w:rPr>
            <w:rFonts w:ascii="微软雅黑" w:hAnsi="微软雅黑" w:eastAsia="微软雅黑"/>
            <w:color w:val="3B3838" w:themeColor="background2" w:themeShade="40"/>
            <w:sz w:val="15"/>
          </w:rPr>
          <w:instrText xml:space="preserve">PAGE   \* MERGEFORMAT</w:instrText>
        </w:r>
        <w:r>
          <w:rPr>
            <w:rFonts w:ascii="微软雅黑" w:hAnsi="微软雅黑" w:eastAsia="微软雅黑"/>
            <w:color w:val="3B3838" w:themeColor="background2" w:themeShade="40"/>
            <w:sz w:val="15"/>
          </w:rPr>
          <w:fldChar w:fldCharType="separate"/>
        </w:r>
        <w:r>
          <w:rPr>
            <w:rFonts w:ascii="微软雅黑" w:hAnsi="微软雅黑" w:eastAsia="微软雅黑"/>
            <w:color w:val="3B3838" w:themeColor="background2" w:themeShade="40"/>
            <w:sz w:val="15"/>
            <w:lang w:val="zh-CN"/>
          </w:rPr>
          <w:t>1</w:t>
        </w:r>
        <w:r>
          <w:rPr>
            <w:rFonts w:ascii="微软雅黑" w:hAnsi="微软雅黑" w:eastAsia="微软雅黑"/>
            <w:color w:val="3B3838" w:themeColor="background2" w:themeShade="40"/>
            <w:sz w:val="15"/>
          </w:rPr>
          <w:fldChar w:fldCharType="end"/>
        </w:r>
      </w:sdtContent>
    </w:sdt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ind w:firstLine="6360" w:firstLineChars="2650"/>
      <w:jc w:val="left"/>
      <w:rPr>
        <w:rFonts w:ascii="宋体" w:hAnsi="宋体" w:eastAsia="宋体" w:cs="宋体"/>
        <w:kern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rFonts w:hint="eastAsia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column">
            <wp:posOffset>952500</wp:posOffset>
          </wp:positionH>
          <wp:positionV relativeFrom="paragraph">
            <wp:posOffset>3641725</wp:posOffset>
          </wp:positionV>
          <wp:extent cx="5996305" cy="6480810"/>
          <wp:effectExtent l="0" t="0" r="4445" b="0"/>
          <wp:wrapNone/>
          <wp:docPr id="1" name="图片 1" descr="未标题-4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未标题-4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6305" cy="6480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6E1A9"/>
    <w:multiLevelType w:val="singleLevel"/>
    <w:tmpl w:val="A836E1A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E41F2359"/>
    <w:multiLevelType w:val="singleLevel"/>
    <w:tmpl w:val="E41F2359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5F5BC8"/>
    <w:rsid w:val="00005200"/>
    <w:rsid w:val="00075CB4"/>
    <w:rsid w:val="00100525"/>
    <w:rsid w:val="00132725"/>
    <w:rsid w:val="001413A0"/>
    <w:rsid w:val="0017439A"/>
    <w:rsid w:val="00200A08"/>
    <w:rsid w:val="0020102C"/>
    <w:rsid w:val="00202DA0"/>
    <w:rsid w:val="00226417"/>
    <w:rsid w:val="00282E20"/>
    <w:rsid w:val="00297353"/>
    <w:rsid w:val="002E3256"/>
    <w:rsid w:val="002E68E4"/>
    <w:rsid w:val="00342CCA"/>
    <w:rsid w:val="00366F13"/>
    <w:rsid w:val="00376123"/>
    <w:rsid w:val="00390819"/>
    <w:rsid w:val="003965C7"/>
    <w:rsid w:val="003A3A34"/>
    <w:rsid w:val="0040101E"/>
    <w:rsid w:val="0044347B"/>
    <w:rsid w:val="00452AE3"/>
    <w:rsid w:val="004751BD"/>
    <w:rsid w:val="004764DE"/>
    <w:rsid w:val="00477B83"/>
    <w:rsid w:val="004C4D1C"/>
    <w:rsid w:val="00523452"/>
    <w:rsid w:val="005936D9"/>
    <w:rsid w:val="005A274A"/>
    <w:rsid w:val="005B1598"/>
    <w:rsid w:val="005F5BC8"/>
    <w:rsid w:val="006067D3"/>
    <w:rsid w:val="006250FB"/>
    <w:rsid w:val="00651727"/>
    <w:rsid w:val="00653235"/>
    <w:rsid w:val="00675FA0"/>
    <w:rsid w:val="0068755E"/>
    <w:rsid w:val="006B4105"/>
    <w:rsid w:val="006E17EC"/>
    <w:rsid w:val="00731E0C"/>
    <w:rsid w:val="007419BF"/>
    <w:rsid w:val="00810A3E"/>
    <w:rsid w:val="00860CC2"/>
    <w:rsid w:val="008A6D4B"/>
    <w:rsid w:val="008B6201"/>
    <w:rsid w:val="008F06C6"/>
    <w:rsid w:val="00906008"/>
    <w:rsid w:val="00915F0B"/>
    <w:rsid w:val="009549A1"/>
    <w:rsid w:val="00955A38"/>
    <w:rsid w:val="00A804EB"/>
    <w:rsid w:val="00A85549"/>
    <w:rsid w:val="00A9385B"/>
    <w:rsid w:val="00AA091A"/>
    <w:rsid w:val="00AC4188"/>
    <w:rsid w:val="00B474D7"/>
    <w:rsid w:val="00B548EF"/>
    <w:rsid w:val="00C474FE"/>
    <w:rsid w:val="00CA6258"/>
    <w:rsid w:val="00CB1FEE"/>
    <w:rsid w:val="00D10014"/>
    <w:rsid w:val="00D2048B"/>
    <w:rsid w:val="00D31B40"/>
    <w:rsid w:val="00D43718"/>
    <w:rsid w:val="00D95AD5"/>
    <w:rsid w:val="00DA1DA5"/>
    <w:rsid w:val="00DA1FBF"/>
    <w:rsid w:val="00E25CC8"/>
    <w:rsid w:val="00E72948"/>
    <w:rsid w:val="00E74E5F"/>
    <w:rsid w:val="00E91B4A"/>
    <w:rsid w:val="00EB18AF"/>
    <w:rsid w:val="00ED0178"/>
    <w:rsid w:val="00EE6A4F"/>
    <w:rsid w:val="00EF4A30"/>
    <w:rsid w:val="00F219FD"/>
    <w:rsid w:val="00F31F32"/>
    <w:rsid w:val="00F554A1"/>
    <w:rsid w:val="00F704E6"/>
    <w:rsid w:val="00F856CF"/>
    <w:rsid w:val="00F95D16"/>
    <w:rsid w:val="1C9C40EC"/>
    <w:rsid w:val="23BB1A86"/>
    <w:rsid w:val="32086A25"/>
    <w:rsid w:val="5C7177FC"/>
    <w:rsid w:val="646D2206"/>
    <w:rsid w:val="6E280738"/>
    <w:rsid w:val="71C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autoRedefine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autoRedefine/>
    <w:qFormat/>
    <w:uiPriority w:val="1"/>
    <w:pPr>
      <w:autoSpaceDE w:val="0"/>
      <w:autoSpaceDN w:val="0"/>
      <w:jc w:val="left"/>
    </w:pPr>
    <w:rPr>
      <w:rFonts w:ascii="Source Han Sans SC Regular" w:hAnsi="Source Han Sans SC Regular" w:eastAsia="Source Han Sans SC Regular" w:cs="Source Han Sans SC Regular"/>
      <w:kern w:val="0"/>
      <w:sz w:val="9"/>
      <w:szCs w:val="9"/>
      <w:lang w:eastAsia="en-US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Light List Accent 3"/>
    <w:basedOn w:val="8"/>
    <w:autoRedefine/>
    <w:qFormat/>
    <w:uiPriority w:val="61"/>
    <w:rPr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Hyperlink"/>
    <w:basedOn w:val="10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14">
    <w:name w:val="No Spacing"/>
    <w:link w:val="15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字符"/>
    <w:basedOn w:val="10"/>
    <w:link w:val="14"/>
    <w:autoRedefine/>
    <w:qFormat/>
    <w:uiPriority w:val="1"/>
    <w:rPr>
      <w:kern w:val="0"/>
      <w:sz w:val="22"/>
    </w:rPr>
  </w:style>
  <w:style w:type="character" w:styleId="16">
    <w:name w:val="Placeholder Text"/>
    <w:basedOn w:val="10"/>
    <w:autoRedefine/>
    <w:semiHidden/>
    <w:qFormat/>
    <w:uiPriority w:val="99"/>
    <w:rPr>
      <w:color w:val="808080"/>
    </w:rPr>
  </w:style>
  <w:style w:type="paragraph" w:styleId="17">
    <w:name w:val="List Paragraph"/>
    <w:basedOn w:val="1"/>
    <w:autoRedefine/>
    <w:qFormat/>
    <w:uiPriority w:val="1"/>
    <w:pPr>
      <w:ind w:firstLine="420" w:firstLineChars="200"/>
    </w:p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正文文本 字符"/>
    <w:basedOn w:val="10"/>
    <w:link w:val="3"/>
    <w:autoRedefine/>
    <w:qFormat/>
    <w:uiPriority w:val="1"/>
    <w:rPr>
      <w:rFonts w:ascii="Source Han Sans SC Regular" w:hAnsi="Source Han Sans SC Regular" w:eastAsia="Source Han Sans SC Regular" w:cs="Source Han Sans SC Regular"/>
      <w:kern w:val="0"/>
      <w:sz w:val="9"/>
      <w:szCs w:val="9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nansu\Library\Group%20Containers\UBF8T346G9.Office\User%20Content.localized\Templates.localized\Word%20&#20013;&#25991;&#27169;&#29256;-20221114&#65288;&#20013;&#22269;&#21306;logo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7CF3B477924964A81D3228277C72F7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C5886-0991-F047-908A-FD09D07AFE67}"/>
      </w:docPartPr>
      <w:docPartBody>
        <w:p>
          <w:pPr>
            <w:pStyle w:val="5"/>
          </w:pPr>
          <w:r>
            <w:rPr>
              <w:rStyle w:val="4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6E"/>
    <w:rsid w:val="00102236"/>
    <w:rsid w:val="002C7268"/>
    <w:rsid w:val="005B4B34"/>
    <w:rsid w:val="005E416E"/>
    <w:rsid w:val="00637EC1"/>
    <w:rsid w:val="008A4A54"/>
    <w:rsid w:val="00C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autoRedefine/>
    <w:semiHidden/>
    <w:qFormat/>
    <w:uiPriority w:val="99"/>
    <w:rPr>
      <w:color w:val="808080"/>
    </w:rPr>
  </w:style>
  <w:style w:type="paragraph" w:customStyle="1" w:styleId="5">
    <w:name w:val="57CF3B477924964A81D3228277C72F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Word%20中文模版-20221114（中国区logo）.dotx</Template>
  <Company>北京诺禾致源科技股份有限公司</Company>
  <Pages>9</Pages>
  <Words>2206</Words>
  <Characters>12576</Characters>
  <Lines>104</Lines>
  <Paragraphs>29</Paragraphs>
  <TotalTime>3</TotalTime>
  <ScaleCrop>false</ScaleCrop>
  <LinksUpToDate>false</LinksUpToDate>
  <CharactersWithSpaces>14753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2024-03-05T06:41:00Z</dcterms:created>
  <dc:creator>yanan Su</dc:creator>
  <cp:lastModifiedBy>Y</cp:lastModifiedBy>
  <cp:lastPrinted>2019-04-12T02:44:00Z</cp:lastPrinted>
  <dcterms:modified xsi:type="dcterms:W3CDTF">2024-05-27T09:57:43Z</dcterms:modified>
  <dc:title>疾病 WES 中文版 method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0EE91A24A0004F1792A7310EC021D577_13</vt:lpwstr>
  </property>
</Properties>
</file>