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Arial" w:hAnsi="Arial" w:eastAsia="Source Han Sans CN" w:cs="Arial"/>
          <w:color w:val="5B9BD5" w:themeColor="accent1"/>
          <w14:textFill>
            <w14:solidFill>
              <w14:schemeClr w14:val="accent1"/>
            </w14:solidFill>
          </w14:textFill>
        </w:rPr>
        <w:id w:val="-1103648534"/>
        <w:docPartObj>
          <w:docPartGallery w:val="autotext"/>
        </w:docPartObj>
      </w:sdtPr>
      <w:sdtEndPr>
        <w:rPr>
          <w:rFonts w:ascii="Arial" w:hAnsi="Arial" w:eastAsia="思源黑体 Regular" w:cs="Arial"/>
          <w:color w:val="auto"/>
        </w:rPr>
      </w:sdtEndPr>
      <w:sdtContent>
        <w:p>
          <w:pPr>
            <w:widowControl/>
            <w:jc w:val="left"/>
            <w:rPr>
              <w:rFonts w:ascii="Arial" w:hAnsi="Arial" w:eastAsia="Source Han Sans CN" w:cs="Arial"/>
              <w:kern w:val="0"/>
              <w:sz w:val="24"/>
              <w:szCs w:val="24"/>
            </w:rPr>
          </w:pPr>
          <w:bookmarkStart w:id="2" w:name="_GoBack"/>
          <w:bookmarkStart w:id="0" w:name="OLE_LINK2"/>
          <w:r>
            <w:rPr>
              <w:rFonts w:ascii="Arial" w:hAnsi="Arial" w:eastAsia="Source Han Sans CN" w:cs="Arial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softHyphen/>
          </w:r>
          <w:r>
            <w:rPr>
              <w:rFonts w:ascii="Arial" w:hAnsi="Arial" w:eastAsia="Source Han Sans CN" w:cs="Arial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softHyphen/>
          </w:r>
          <w:r>
            <w:rPr>
              <w:rFonts w:ascii="Arial" w:hAnsi="Arial" w:eastAsia="Source Han Sans CN" w:cs="Arial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softHyphen/>
          </w:r>
        </w:p>
        <w:p>
          <w:pPr>
            <w:pStyle w:val="13"/>
            <w:spacing w:before="480"/>
            <w:rPr>
              <w:rFonts w:ascii="Arial" w:hAnsi="Arial" w:eastAsia="Source Han Sans CN" w:cs="Arial"/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rFonts w:ascii="Arial" w:hAnsi="Arial" w:eastAsia="Source Han Sans CN" w:cs="Arial"/>
            </w:rPr>
          </w:pPr>
        </w:p>
        <w:p>
          <w:pPr>
            <w:rPr>
              <w:rFonts w:ascii="Arial" w:hAnsi="Arial" w:eastAsia="Source Han Sans CN" w:cs="Arial"/>
            </w:rPr>
          </w:pPr>
        </w:p>
        <w:p>
          <w:pPr>
            <w:rPr>
              <w:rFonts w:ascii="Arial" w:hAnsi="Arial" w:eastAsia="Source Han Sans CN" w:cs="Arial"/>
            </w:rPr>
          </w:pPr>
        </w:p>
        <w:p>
          <w:pPr>
            <w:rPr>
              <w:rFonts w:ascii="Arial" w:hAnsi="Arial" w:eastAsia="Source Han Sans CN" w:cs="Arial"/>
            </w:rPr>
          </w:pPr>
        </w:p>
        <w:p>
          <w:pPr>
            <w:rPr>
              <w:rFonts w:ascii="Arial" w:hAnsi="Arial" w:eastAsia="Source Han Sans CN" w:cs="Arial"/>
            </w:rPr>
          </w:pPr>
        </w:p>
        <w:p>
          <w:pPr>
            <w:pStyle w:val="13"/>
            <w:jc w:val="center"/>
            <w:rPr>
              <w:rFonts w:ascii="Arial" w:hAnsi="Arial" w:eastAsia="思源黑体 Bold" w:cs="Arial"/>
              <w:color w:val="3B3838" w:themeColor="background2" w:themeShade="40"/>
              <w:sz w:val="36"/>
            </w:rPr>
          </w:pPr>
          <w:sdt>
            <w:sdtPr>
              <w:rPr>
                <w:rFonts w:hint="eastAsia" w:ascii="Arial" w:hAnsi="Arial" w:eastAsia="黑体" w:cs="Arial"/>
                <w:b/>
                <w:bCs/>
                <w:color w:val="3A3535"/>
                <w:sz w:val="36"/>
                <w:szCs w:val="36"/>
              </w:rPr>
              <w:alias w:val="标题"/>
              <w:id w:val="498004091"/>
              <w:placeholder>
                <w:docPart w:val="D41AB21F9077EB488C7AF7D36EE263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Fonts w:hint="eastAsia" w:ascii="Arial" w:hAnsi="Arial" w:eastAsia="黑体" w:cs="Arial"/>
                <w:b/>
                <w:bCs/>
                <w:color w:val="3A3535"/>
                <w:sz w:val="36"/>
                <w:szCs w:val="36"/>
              </w:rPr>
            </w:sdtEndPr>
            <w:sdtContent>
              <w:r>
                <w:rPr>
                  <w:rFonts w:hint="eastAsia" w:ascii="Arial" w:hAnsi="Arial" w:eastAsia="黑体" w:cs="Arial"/>
                  <w:b/>
                  <w:bCs/>
                  <w:color w:val="3A3535"/>
                  <w:sz w:val="36"/>
                  <w:szCs w:val="36"/>
                </w:rPr>
                <w:t>疾病 WGS 中文版 method</w:t>
              </w:r>
            </w:sdtContent>
          </w:sdt>
        </w:p>
        <w:p>
          <w:pPr>
            <w:rPr>
              <w:rFonts w:ascii="Arial" w:hAnsi="Arial" w:eastAsia="Source Han Sans CN" w:cs="Arial"/>
              <w:sz w:val="28"/>
              <w:szCs w:val="28"/>
            </w:rPr>
          </w:pPr>
        </w:p>
        <w:p>
          <w:pPr>
            <w:rPr>
              <w:rFonts w:ascii="Arial" w:hAnsi="Arial" w:eastAsia="Source Han Sans CN" w:cs="Arial"/>
              <w:sz w:val="28"/>
              <w:szCs w:val="28"/>
            </w:rPr>
          </w:pPr>
        </w:p>
        <w:p>
          <w:pPr>
            <w:rPr>
              <w:rFonts w:ascii="Arial" w:hAnsi="Arial" w:eastAsia="Source Han Sans CN" w:cs="Arial"/>
              <w:sz w:val="28"/>
              <w:szCs w:val="28"/>
            </w:rPr>
          </w:pPr>
        </w:p>
        <w:p>
          <w:pPr>
            <w:rPr>
              <w:rFonts w:ascii="Arial" w:hAnsi="Arial" w:eastAsia="Source Han Sans CN" w:cs="Arial"/>
              <w:sz w:val="28"/>
              <w:szCs w:val="28"/>
            </w:rPr>
          </w:pPr>
        </w:p>
        <w:p>
          <w:pPr>
            <w:rPr>
              <w:rFonts w:ascii="Arial" w:hAnsi="Arial" w:eastAsia="Source Han Sans CN" w:cs="Arial"/>
              <w:sz w:val="28"/>
              <w:szCs w:val="28"/>
            </w:rPr>
          </w:pPr>
        </w:p>
        <w:p>
          <w:pPr>
            <w:rPr>
              <w:rFonts w:ascii="Arial" w:hAnsi="Arial" w:eastAsia="Source Han Sans CN" w:cs="Arial"/>
              <w:sz w:val="28"/>
              <w:szCs w:val="28"/>
            </w:rPr>
          </w:pPr>
        </w:p>
        <w:p>
          <w:pPr>
            <w:rPr>
              <w:rFonts w:ascii="Arial" w:hAnsi="Arial" w:eastAsia="Source Han Sans CN" w:cs="Arial"/>
              <w:sz w:val="28"/>
              <w:szCs w:val="28"/>
            </w:rPr>
          </w:pPr>
        </w:p>
        <w:p>
          <w:pPr>
            <w:rPr>
              <w:rFonts w:ascii="Arial" w:hAnsi="Arial" w:eastAsia="Source Han Sans CN" w:cs="Arial"/>
              <w:sz w:val="28"/>
              <w:szCs w:val="28"/>
            </w:rPr>
          </w:pPr>
        </w:p>
        <w:p>
          <w:pPr>
            <w:rPr>
              <w:rFonts w:ascii="Arial" w:hAnsi="Arial" w:eastAsia="Source Han Sans CN" w:cs="Arial"/>
              <w:sz w:val="28"/>
              <w:szCs w:val="28"/>
            </w:rPr>
          </w:pPr>
        </w:p>
        <w:p>
          <w:pPr>
            <w:rPr>
              <w:rFonts w:ascii="Arial" w:hAnsi="Arial" w:eastAsia="Source Han Sans CN" w:cs="Arial"/>
              <w:sz w:val="28"/>
              <w:szCs w:val="28"/>
            </w:rPr>
          </w:pPr>
        </w:p>
        <w:p>
          <w:pPr>
            <w:rPr>
              <w:rFonts w:ascii="Arial" w:hAnsi="Arial" w:eastAsia="Source Han Sans CN" w:cs="Arial"/>
              <w:sz w:val="28"/>
              <w:szCs w:val="28"/>
            </w:rPr>
          </w:pPr>
        </w:p>
        <w:p>
          <w:pPr>
            <w:rPr>
              <w:rFonts w:ascii="Arial" w:hAnsi="Arial" w:eastAsia="Source Han Sans CN" w:cs="Arial"/>
              <w:sz w:val="28"/>
              <w:szCs w:val="28"/>
            </w:rPr>
          </w:pPr>
        </w:p>
        <w:p>
          <w:pPr>
            <w:rPr>
              <w:rFonts w:ascii="Arial" w:hAnsi="Arial" w:eastAsia="Source Han Sans CN" w:cs="Arial"/>
              <w:sz w:val="28"/>
              <w:szCs w:val="28"/>
            </w:rPr>
          </w:pPr>
        </w:p>
        <w:p>
          <w:pPr>
            <w:spacing w:before="100" w:beforeAutospacing="1" w:after="100" w:afterAutospacing="1"/>
            <w:jc w:val="center"/>
            <w:rPr>
              <w:rFonts w:hint="default" w:ascii="Times New Roman" w:hAnsi="Times New Roman" w:eastAsia="宋体" w:cs="Times New Roman"/>
            </w:rPr>
          </w:pPr>
          <w:bookmarkStart w:id="1" w:name="OLE_LINK1"/>
          <w:r>
            <w:rPr>
              <w:rFonts w:hint="eastAsia" w:ascii="微软雅黑" w:hAnsi="微软雅黑" w:eastAsia="微软雅黑" w:cs="微软雅黑"/>
              <w:color w:val="auto"/>
              <w:sz w:val="24"/>
              <w:szCs w:val="24"/>
            </w:rPr>
            <w:t>仅供客户在文章写作时参考，分析内容和方法请以结题报告为准，请客户自行承担文章查重等相关</w:t>
          </w:r>
          <w:r>
            <w:rPr>
              <w:rFonts w:hint="eastAsia" w:ascii="微软雅黑" w:hAnsi="微软雅黑" w:eastAsia="微软雅黑" w:cs="微软雅黑"/>
              <w:color w:val="auto"/>
              <w:sz w:val="24"/>
              <w:szCs w:val="24"/>
              <w:lang w:val="en-US" w:eastAsia="zh-CN"/>
            </w:rPr>
            <w:t>风</w:t>
          </w:r>
          <w:r>
            <w:rPr>
              <w:rFonts w:hint="eastAsia" w:ascii="微软雅黑" w:hAnsi="微软雅黑" w:eastAsia="微软雅黑" w:cs="微软雅黑"/>
              <w:color w:val="auto"/>
              <w:sz w:val="24"/>
              <w:szCs w:val="24"/>
            </w:rPr>
            <w:t>险。</w:t>
          </w:r>
        </w:p>
        <w:bookmarkEnd w:id="1"/>
        <w:p>
          <w:pPr>
            <w:widowControl/>
            <w:spacing w:before="100" w:beforeAutospacing="1" w:after="100" w:afterAutospacing="1"/>
            <w:jc w:val="center"/>
            <w:rPr>
              <w:rFonts w:ascii="Arial" w:hAnsi="Arial" w:eastAsia="黑体" w:cs="Arial"/>
              <w:kern w:val="0"/>
              <w:sz w:val="24"/>
              <w:szCs w:val="24"/>
            </w:rPr>
          </w:pPr>
          <w:bookmarkEnd w:id="2"/>
          <w:bookmarkEnd w:id="0"/>
        </w:p>
      </w:sdtContent>
    </w:sdt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1.实验流程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1.1样品 DNA 质量检测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(DNA Quality Control)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详⻅样本检测报告。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1.2 DNA 片段化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(DNA Shearing)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将基因组 DNA 经 Covaris 破碎仪随机打断成⻓度为 350bp 左右的片段。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1.3 末端修复反应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(End Repair)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片段化后的 DNA 存在 5’或 3’端突出，向纯化后的 DNA 片段中加入末端补⻬体系，其中 T4 DNA 聚合酶(T4 DNA Polymerase)的外切酶(Exonuclease)活性消化 3’端的单链突出，而聚合酶(Polymerase)活性补⻬ 5’端的突出；同时磷酸激酶(PNK)在 5’末端加上后续连接反应必需的磷酸基团，经过 Agencourt AMPure XP 磁珠纯化，最终得到 5’端含有磷酸基团的平末端 DNA 短片段文库。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1.4 3’端加“A”尾 (Adenlylate 3’ Ends)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向上述体系中加入 3’末端加“A”缓冲反应体系。在末端修饰完成的双链 DNA3’末端加上单个腺苷酸“A”，防止 DNA 片段之间的平末端自连，还可以与下一步测序接头 5’末端的单个“T”突出互补配对，准确连接，有效降低文库片段之间自身的串联。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1.5 连接测序接头(Adapter Ligation)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向上述反应体系中加入连接缓冲液和双链测序接头，利用 T4 DNA 连接酶将 Illumina 测序接头连接至文库 DNA 两端。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1.6 文库片段筛选(Size Selection)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对于加上接头的文库，应用 Agencourt SPRIselect (Beckman Coulter, USA, Catalog # : 2358413)核酸片段筛选试剂盒在纯化文库的同时，进行片段大小筛选。采用两步法筛选(Double Size Selection)，先用 SPRI 磁珠去掉目标域左侧小片段(Left-side Size Selection)，再去掉位于目标片段区域右侧的大片段(Right-side Size Selection) 最终筛选出片段⻓度适中的原始文库，用于下一步的 PCR 扩增。经过纯化后的文库，去掉了体系中过量的测序接头和接头自连产物，避免 PCR 过程的无效扩增，消除对上机测序的影响。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1.7 PCR 扩增 DNA 文库(PCR Amplification)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应用高保真的聚合酶扩增原始文库，以保证足够的文库总量。此外因为只有两端都连有接头的 DNA 片段才能够被扩增，因此该步骤还能够有效富集这部分 DNA。在保证产物足够的前提下，减少因扩增循环数过大而引入的 bias；最终使用 Qubit3.0 精确测定每个文库浓度。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1.8 文库库检(Library Quality Assessment)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文库构建完成后，Agilent 5400 system(AATI)对文库的 insert size 进行检测，insert size 符合预期后，使用 qPCR 方法对文库的有效浓度(1.5nM)进行准确定量，以保证文库质量。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1.9 桥式PCR(BridgePCR)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库检合格后，根据文库的有效浓度及数据产出在 Illumina Novaseq 平台进行测序。即将捕获后的文库种到 FlowCell 芯片上进行扩增的过程。FlowCell 通道内表面种植有两种不同的 DNA 引物，这两种引物序列与 DNA 文库中两头的接头序列相互补，且以共价键形式连接在 FlowCell 上。具体过程如下: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将 DNA 文库加入到芯片上，由于文库两头的 DNA 序列和芯片上的引物序列互补，产生互补杂交，杂交完后，加入 dNTP 和聚合酶，聚合酶从引物开始，沿着模板，合成一条与原来 DNA 序列互补的 DNA 链;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left="0" w:lef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加入 NaOH 碱溶液，使得 DNA 双链解链，冲走原来那条没有和芯片共价连接的 DNA 链，保留新合成的和芯片共价连接的 DNA 链;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left="0" w:lef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再在液流磁中加入中和液，中和掉碱性溶液，此时 DNA 上的另一端和芯片上的另一个引物发生互补杂交，加入酶和 dNTP，合成一条新的 DNA 链;再次加入碱溶液，使两条 DNA 链分开，再加中和液，DNA 即和芯片上新的引物杂交，加酶和 dNTP，再次从新的引物上合成新链，连续重复这一过程，DNA 链以指数的方式增⻓。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1.10 Illumina 平台 PE150 上机测序(Sequencing)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PE150 即 Pair-end150bp，高通量测序。在构建的 DNA 小片段文库中，将每条插入片段进行两端测序，每端各测 150bp，具体过程如下: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完成桥式 PCR 之后，将合成的双链变成可以测序的单链；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将芯片上其中一个引物的一个特定基团切断，碱溶液冲洗芯片，使得 DNA 双链解链，且被切断根部的 DNA 链被冲掉， 留下被共价键连接的那条链;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加入中性溶液、测序引物及带荧光标记的 dNTP，四种 dNTP 由四种不同的荧光标记，其 3’末端被叠氮基堵住，再加入聚合酶，使 dNTP 合成到 新的 DNA 链上，由于其 3’末端被叠氮钠基堵住，故每个循环只能延⻓一个碱基，完成一个循环后将多余的 dNTP、酶等冲掉，置于显微镜下进行激光扫描，根据发出来的荧光判 断新合成的是哪个碱基，通过互补原理可推测模板碱基;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在完成一个循环之后，加入化 学试剂，将叠氮钠基团和荧光基团切掉，使得 3’端羟基暴露出来，加入新的 dNTP 和新的酶，又延⻓一个碱基，新的碱基延⻓完成之后，把多余的 dNTP 和酶冲掉，再进行一轮显微激光扫描，再读一轮此碱基，不断重复此循环，就可以读出上百个碱基。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2.生物信息分析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测序结束后对原始序列进行信息分析，通过对数据质量进行评估，判断其是否达到标准， 若符合标准，则对样本进行变异检测，包括 SNP、InDel、CNV、SV，并注释;若不合标准，则需根据实际情况加测或者重新建库。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2.1 数据质量控制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2.1.1 原始序列数据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原始测序数据通过 Illumina 测序平台得到的原始图像数据文件经碱基识别(Base Calling)分析转化为原始测序序列(Sequenced Reads)，即 Raw Data，结果以 FASTQ(简称为 fq)文件格式存储，其中包含测序序列(reads)的序列信息及其对应的 测序质量信息。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2.1.2 测序数据质量评估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2.1.2.1 原始数据过滤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去除带接头(adapter)的 reads 对;去掉单端测序 read 中 N(N 表示无法确定碱基信 息)的比例大于 10%的 reads 对;当单端测序 read 中含有的低质量(低于 5)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碱基数超 过该条 read ⻓度比例的 50%时，去除此对 reads。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2.1.2.2 检查测序错误率分布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测序错误率是在碱基识别(Base Calling)过程中通过一种判别发生错误概率的模型计算 得到的。它与碱基质量有关，受测序仪本身、测序试剂、样品等多个因素共同影响。测序错误率分布检查用于检测在测序⻓度范围内，有无异常的碱基位置存在高错误率，一般情况下，每个碱基位置的测序错误率都应该低于 1%。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2.1.2.3 检查 GC 含量分布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该检查主要检测有无 AT、GC 分离现象，理论上 A 和 T 碱基及 C 和 G 碱基在每一测序循环上应该分别相等，但在实际测序过程中，会由于 DNA 模板扩增偏差、前几个碱基测序质量较低等原因，导致每个 read 前几个碱基波动较大，属于正常情况。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2.1.2.4 测序数据质量分布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依照测序技术特点，测序片段末端碱基质量一般较前端低。测序数据的质量主要分布在 Q30≥85%以上时，才能保证后续分析正常进行。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2.1.3 测序深度及覆盖度统计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有效测序数据通过 BWA (Li et al., 2018)比对到参考基因组(GRCh37/hg19/GRCh38) ，得到 BAM 格式的最初的比对结果。然后，用 Sambamba (Tarasov et al., 2015)对比 对结果进行排序并标记重复 reads(mark duplicate reads)。最后，利用重复标记后的 比对结果进行覆盖度、深度等的统计。通常，人类样本的测序 reads 能达到 95%以上的比对率;当一个位点的碱基覆盖深度(read depth)达到 10X 以上时，该位点处检测出的 SNP 比较可信。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2.2 变异检测结果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在最初的比对结果(BAM 文件)的基础上，利用 SAMtools(Li et al., 2009)识别 SNP 和 InDel 位点，统计基因组不同区域上 SNP 和 InDel 数目，编码区上不同类型 SNP 和 InDel 数目，转换和颠换的类型分布，SNP 和 InDel 数目及基因型分布。germline SNP 和 InDel 过滤参数如下:QUAL≥20;DV≥4;MQ≥30。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利用Control-FREEC(Boeva et al., 2012)检测CNV的增加和减少，统计不同类型的 CNV事件数目。利用Lumpy软件(Layer et al., 2014)检测SV，并统计不同类型的SV事件数目。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2.3 注释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ANNOVAR (Wang et al., 2010) 是一种高效的软件工具，它能利用最新的信息，对由多个基因组检测出的基因变异进行功能注释。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利用 ANNOVAR 对先前工作中获得的 vcf(variantcallformat)进行注释。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使用 Refseq(O'Leary et al., 2016)注释变异位点的基因结构，基因类型包括 mRNA、非编码 RNA 等;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变异位点的基因组特征，对于位于基因组重复区段内的突变需谨慎对待;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通过 SIFT(Ng et al., 2003)、PolyPhen (Adzhubei et al., 2013)以及 MutationTaster (Reva et al., 2011)等方法全面评估非同义突变对疾病/肿瘤的影响;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提供了 dbSNP(Sherry et al., 2001)、千人基因组 SNP 数据库(Abecasis et al., 2012)、COSMIC(Tate et al., 2019)已知肿瘤体细胞突变数据库和 esp6500 变异数据库等注释，对变异结果可以进行任何组合的筛选;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注释内容还包括对突变所在基因进行功能注释，使用的数据库包括 GO(Lee et al., 2004)、KEGG(Kanehisa et al., 2000)、Reactome(Jassal et al., 2020)、Biocarta、 PID(Schaefer et al., 2009)等。 </w:t>
      </w:r>
    </w:p>
    <w:p>
      <w:pPr>
        <w:pStyle w:val="6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 xml:space="preserve">3 参考文献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Abecasis GR, Auton A, et al. An integrated map of genetic variation from 1,092 human genomes. Nature. 2012;491(7422):56-65. doi:10.1038/nature11632 (1000 Genomes)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Adzhubei I, Jordan DM, Sunyaev SR. Predicting functional effect of human missense mutations using PolyPhen-2.Curr Protoc Hum Genet. 2013; Chapter 7: Unit7.20. doi:10.1002/0471142905.hg0720s76 (PolyPhen)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Boeva V, Popova T, Bleakley K, et al. Control-FREEC: a tool for assessing copy number and allelic content using next-generation sequencing data. Bioinformatics. 2012;28(3):423-425. doi:10.1093/bioinformatics/btr670 (Control-FREEC)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Buniello A, MacArthur JAL, Cerezo M, et al. The NHGRI-EBI GWAS Catalog of published genome-wide association studies, targeted arrays and summary statistics 2019. Nucleic Acids Res. 2019;47(D1):D1005-D1012. doi:10.1093/nar/gky1120 (GWAS Catalog)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Chun S, Fay JC. Identification of deleterious mutations within three human genomes. Genome Res. 2009;19(9):1553-1561. doi:10.1101/gr.092619.109 (LRT)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Faust GG, Hall IM. SAMBLASTER: fast duplicate marking and structural variant read extraction. Bioinformatics. 2014;30(17):2503-2505. doi:10.1093/bioinformatics/btu314 (Samblaster)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Frankish A, Diekhans M, Jungreis I, et al. GENCODE 2021.Nucleic Acids Res. 2021;49(D1):D916-D923. doi:10.1093/nar/gkaa1087 (GENCODE)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Garber M, Guttman M, Clamp M, Zody MC, Friedman N, Xie X. Identifying novel constrained elements by exploiting biased substitution patterns. Bioinformatics. 2009;25(12):i54-i62. doi:10.1093/bioinformatics/btp190 (SiPhy)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Hamosh A, Scott AF, Amberger JS, Bocchini CA, McKusick VA. Online Mendelian Inheritance in Man (OMIM), a knowledgebase of human genes and genetic disorders. Nucleic Acids Res. 2005;33(Database issue):D514-D517. doi:10.1093/nar/gki033 (OMIM)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Harris MA, Clark J, Ireland A, et al. The Gene Ontology (GO) database and informatics resource.Nucleic Acids Res. 2004;32(Database issue):D258-D261. doi:10.1093/nar/gkh036 (GO)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Huber CD, Kim BY, Lohmueller KE. Population genetic models of GERP scores suggest pervasive turnover of constrained sites across mammalian evolution. PLoS Genet. 2020;16(5):e1008827. Published 2020 May 29. doi:10.1371/journal.pgen.1008827 (GERP)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Jassal B, Matthews L, Viteri G, et al. The reactome pathway knowledgebase. Nucleic Acids Res. 2020;48(D1):D498-D503. doi:10.1093/nar/gkz1031 (Reactome)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Kanehisa M, Goto S. KEGG: kyoto encyclopedia of genes and genomes. Nucleic Acids Res. 2000;28(1):27-30. doi:10.1093/nar/28.1.27 (KEGG PATHWAY)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Kent WJ, Sugnet CW, Furey TS, et al. The human genome browser at UCSC. Genome Res. 2002;12(6):996-1006. doi:10.1101/gr.229102 (UCSC)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Kobayashi Y, Yang S, Nykamp K, Garcia J, Lincoln SE, Topper SE. Pathogenic variant burden in the ExAC database: an empirical approach to evaluating population data for clinical variant interpretation. Genome Med. 2017;9(1):13. Published 2017 Feb 6. doi:10.1186/s13073-017-0403-7 (ExAc)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Layer RM, Chiang C, Quinlan AR, Hall IM. LUMPY: a probabilistic framework for structural variant discovery. Genome Biol. 2014;15(6):R84. Published 2014 Jun 26. doi:10.1186/gb-2014-15-6-r84 (Lumpy)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Li H, Durbin R. Fast and accurate long-read alignment with Burrows-Wheeler transform.Bioinformatics. 2010;26(5):589-595. doi:10.1093/bioinformatics/btp698 (BWA_MEM)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Li H, Handsaker B, Wysoker A, et al. The Sequence Alignment/Map format and SAMtools. Bioinformatics. 2009;25(16):2078-2079. doi:10.1093/bioinformatics/btp352 (SAMtools)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Ng PC, Henikoff S. SIFT: Predicting amino acid changes that affect protein function. Nucleic Acids Res. 2003;31(13):3812-3814. doi:10.1093/nar/gkg509 (SIFT)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O'Leary NA, Wright MW, Brister JR, et al. Reference sequence (RefSeq) database at NCBI: current status, taxonomic expansion, and functional annotation.Nucleic Acids Res. 2016;44(D1):D733-D745. doi:10.1093/nar/gkv1189 (RefSeq)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Pio MG, Siffo S, Scheps KG, et al. Curating the gnomAD database: Report of novel variants in the thyrogobulin gene using in silico bioinformatics algorithms. Mol Cell Endocrinol. 2021; 534:111359. doi: 10.1016/j.mce.2021.111359 (gnomAD)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Pollard KS, Hubisz MJ, Rosenbloom KR, Siepel A. Detection of nonneutral substitution rates on mammalian phylogenies. Genome Res. 2010;20(1):110-121. doi:10.1101/gr.097857.109 (phyloP)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Rausch T, Zichner T, Schlattl A, Stütz AM, Benes V, Korbel JO. Boeva V, Popova T, Bleakley K, et al. Control-FREEC: a tool for assessing copy number and allelic content using next-generation sequencing data. Bioinformatics. 2012;28(3):423-425. doi:10.1093/bioinformatics/btr670 (Control-FREEC)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Rentzsch P, Witten D, Cooper GM, Shendure J, Kircher M. CADD: predicting the deleteriousness of variants throughout the human genome.Nucleic Acids Res. 2019;47(D1):D886-D894. doi:10.1093/nar/gky1016 (CADD)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Reva B, Antipin Y, Sander C. Predicting the functional impact of protein mutations: application to cancer genomics.Nucleic Acids Res. 2011;39(17):e118. doi:10.1093/nar/gkr407 (MutationAssessor)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Schaefer CF, Anthony K, Krupa S, et al. PID: the Pathway Interaction Database. Nucleic Acids Res. 2009;37(Database issue):D674-D679. doi:10.1093/nar/gkn653 (PID)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Sherry ST, Ward MH, Kholodov M, et al. dbSNP: the NCBI database of genetic variation. Nucleic Acids Res. 2001;29(1):308-311. doi:10.1093/nar/29.1.308 (dbSNP)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Shihab HA, Gough J, Cooper DN, et al. Predicting the functional, molecular, and phenotypic consequences of amino acid substitutions using hidden Markov models. Hum Mutat. 2013;34(1):57-65. doi:10.1002/humu.22225 (FATHMM)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Steinhaus R, Proft S, Schuelke M, Cooper DN, Schwarz JM, Seelow D. MutationTaster2021. Nucleic Acids Res. 2021;49(W1):W446-W451. doi:10.1093/nar/gkab266 (MutationTaster)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Stenson PD, Mort M, Ball EV, et al. The Human Gene Mutation Database (HGMD®): optimizing its use in a clinical diagnostic or research setting.Hum Genet. 2020;139(10):1197-1207. doi:10.1007/s00439-020-02199-3 (HGMD)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Tarasov A, Vilella AJ, Cuppen E, Nijman IJ, Prins P. Sambamba: fast processing of NGS alignment formats. Bioinformatics. 2015;31(12):2032-2034. doi:10.1093/bioinformatics/btv098 (Sambamba)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Tate JG, Bamford S, Jubb HC, et al. COSMIC: the Catalogue Of Somatic Mutations In Cancer.Nucleic Acids Res. 2019;47(D1):D941-D947. doi:10.1093/nar/gky1015 (COSMIC)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Wang K, Li M, Hakonarson H. ANNOVAR: functional annotation of genetic variants from high-throughput sequencing data.Nucleic Acids Res. 2010;38(16):e164. doi:10.1093/nar/gkq603 (ANNOVAR)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0" w:footer="964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Han Sans SC Regular">
    <w:altName w:val="Yu Gothic"/>
    <w:panose1 w:val="020B0604020202020204"/>
    <w:charset w:val="80"/>
    <w:family w:val="swiss"/>
    <w:pitch w:val="default"/>
    <w:sig w:usb0="00000000" w:usb1="00000000" w:usb2="00000016" w:usb3="00000000" w:csb0="00020000" w:csb1="00000000"/>
  </w:font>
  <w:font w:name="Source Han Sans CN">
    <w:altName w:val="Yu Gothic"/>
    <w:panose1 w:val="020B0604020202020204"/>
    <w:charset w:val="80"/>
    <w:family w:val="swiss"/>
    <w:pitch w:val="default"/>
    <w:sig w:usb0="00000000" w:usb1="00000000" w:usb2="00000016" w:usb3="00000000" w:csb0="00060107" w:csb1="00000000"/>
  </w:font>
  <w:font w:name="思源黑体 Bold">
    <w:altName w:val="Yu Gothic"/>
    <w:panose1 w:val="020B0604020202020204"/>
    <w:charset w:val="80"/>
    <w:family w:val="swiss"/>
    <w:pitch w:val="default"/>
    <w:sig w:usb0="00000000" w:usb1="00000000" w:usb2="00000016" w:usb3="00000000" w:csb0="002E0107" w:csb1="0000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思源黑体 Regular">
    <w:altName w:val="Yu Gothic"/>
    <w:panose1 w:val="020B0604020202020204"/>
    <w:charset w:val="80"/>
    <w:family w:val="swiss"/>
    <w:pitch w:val="default"/>
    <w:sig w:usb0="00000000" w:usb1="00000000" w:usb2="00000016" w:usb3="00000000" w:csb0="002E01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微软雅黑" w:hAnsi="微软雅黑" w:eastAsia="微软雅黑"/>
        <w:color w:val="3B3838" w:themeColor="background2" w:themeShade="40"/>
      </w:rPr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106045</wp:posOffset>
              </wp:positionV>
              <wp:extent cx="5283200" cy="433070"/>
              <wp:effectExtent l="0" t="0" r="0" b="0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3200" cy="433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0.65pt;margin-top:8.35pt;height:34.1pt;width:416pt;z-index:251659264;v-text-anchor:middle;mso-width-relative:page;mso-height-relative:page;" filled="f" stroked="f" coordsize="21600,21600" o:gfxdata="UEsDBAoAAAAAAIdO4kAAAAAAAAAAAAAAAAAEAAAAZHJzL1BLAwQUAAAACACHTuJAalNfmtYAAAAI&#10;AQAADwAAAGRycy9kb3ducmV2LnhtbE2PQU/DMAyF70j8h8hI3LakDI1Smk4CCSG0A2LAPU28tqJx&#10;qiZtt3+POcHt2e/p+XO5O/lezDjGLpCGbK1AINngOmo0fH48r3IQMRlypg+EGs4YYVddXpSmcGGh&#10;d5wPqRFcQrEwGtqUhkLKaFv0Jq7DgMTeMYzeJB7HRrrRLFzue3mj1FZ60xFfaM2ATy3a78PkNXyF&#10;4+PibU2v8/mtm172o7X5Xuvrq0w9gEh4Sn9h+MVndKiYqQ4TuSh6Datsw0neb+9AsJ9vFIuaxe09&#10;yKqU/x+ofgBQSwMEFAAAAAgAh07iQJy0AsBfAgAArQQAAA4AAABkcnMvZTJvRG9jLnhtbK1UzW4T&#10;MRC+I/EOlu9081daom6qqFERUkUrFcTZ8dpZS/7DdrIpL4PEjYfo4yBeg8/ebRsVDj2Qw+6MZ/Yb&#10;zzff5Ox8bzTZiRCVszUdH40oEZa7RtlNTT9/unxzSklMzDZMOytqeiciPV+8fnXW+bmYuNbpRgQC&#10;EBvnna9pm5KfV1XkrTAsHjkvLILSBcMS3LCpmsA6oBtdTUajt1XnQuOD4yJGnK76IB0Qw0sAnZSK&#10;i5XjWyNs6lGD0CyhpdgqH+mi3FZKwdO1lFEkomuKTlN5ogjsdX5WizM23wTmW8WHK7CXXOFZT4Yp&#10;i6KPUCuWGNkG9ReUUTy46GQ64s5UfSOFEXQxHj3j5rZlXpReQHX0j6TH/wfLP+5uAlFNTaeUWGYw&#10;8N/ff/66/0GmmZvOxzlSbv1NGLwIMze6l8HkN1og+8Ln3SOfYp8Ix+Hx5HSKkVPCEZtNp6OTQnj1&#10;9LUPMb0XzpBs1DRgXoVGtruKCRWR+pCSi1l3qbQuM9OWdJDv5KTgMwhRQgAoZTyaiXZDCdMbKJyn&#10;UCAPvs2QKxZbsmOQRXRaNb0QjErQtlampqej/MvHuIO2eGUu+u6zlfbr/UDJ2jV3IDG4Xl3R80uF&#10;ClcsphsWICcwgIVL13hI7XBtN1iUtC58+9d5zseUEaWkgzxxza9bFgQl+oPF/N+NZ7Os5+LMjk8m&#10;cMJhZH0YsVtz4dDqGKvteTFzftIPpgzOfMFeLnNVhJjlqN2TNzgXqV8bbDYXy2VJg4Y9S1f21vMM&#10;3o9ouU1OqjK9TFTPzsAfVFwIHTYur8mhX7Ke/mU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q&#10;U1+a1gAAAAgBAAAPAAAAAAAAAAEAIAAAACIAAABkcnMvZG93bnJldi54bWxQSwECFAAUAAAACACH&#10;TuJAnLQCwF8CAACtBAAADgAAAAAAAAABACAAAAAlAQAAZHJzL2Uyb0RvYy54bWxQSwUGAAAAAAYA&#10;BgBZAQAA9gUAAAAA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/>
                </w:txbxContent>
              </v:textbox>
            </v:rect>
          </w:pict>
        </mc:Fallback>
      </mc:AlternateContent>
    </w:r>
    <w:sdt>
      <w:sdtPr>
        <w:id w:val="-1569486440"/>
        <w:docPartObj>
          <w:docPartGallery w:val="autotext"/>
        </w:docPartObj>
      </w:sdtPr>
      <w:sdtEndPr>
        <w:rPr>
          <w:rFonts w:ascii="微软雅黑" w:hAnsi="微软雅黑" w:eastAsia="微软雅黑"/>
          <w:color w:val="3B3838" w:themeColor="background2" w:themeShade="40"/>
        </w:rPr>
      </w:sdtEndPr>
      <w:sdtContent>
        <w:r>
          <w:rPr>
            <w:rFonts w:ascii="微软雅黑" w:hAnsi="微软雅黑" w:eastAsia="微软雅黑"/>
            <w:color w:val="3B3838" w:themeColor="background2" w:themeShade="40"/>
            <w:sz w:val="15"/>
          </w:rPr>
          <w:fldChar w:fldCharType="begin"/>
        </w:r>
        <w:r>
          <w:rPr>
            <w:rFonts w:ascii="微软雅黑" w:hAnsi="微软雅黑" w:eastAsia="微软雅黑"/>
            <w:color w:val="3B3838" w:themeColor="background2" w:themeShade="40"/>
            <w:sz w:val="15"/>
          </w:rPr>
          <w:instrText xml:space="preserve">PAGE   \* MERGEFORMAT</w:instrText>
        </w:r>
        <w:r>
          <w:rPr>
            <w:rFonts w:ascii="微软雅黑" w:hAnsi="微软雅黑" w:eastAsia="微软雅黑"/>
            <w:color w:val="3B3838" w:themeColor="background2" w:themeShade="40"/>
            <w:sz w:val="15"/>
          </w:rPr>
          <w:fldChar w:fldCharType="separate"/>
        </w:r>
        <w:r>
          <w:rPr>
            <w:rFonts w:ascii="微软雅黑" w:hAnsi="微软雅黑" w:eastAsia="微软雅黑"/>
            <w:color w:val="3B3838" w:themeColor="background2" w:themeShade="40"/>
            <w:sz w:val="15"/>
            <w:lang w:val="zh-CN"/>
          </w:rPr>
          <w:t>1</w:t>
        </w:r>
        <w:r>
          <w:rPr>
            <w:rFonts w:ascii="微软雅黑" w:hAnsi="微软雅黑" w:eastAsia="微软雅黑"/>
            <w:color w:val="3B3838" w:themeColor="background2" w:themeShade="40"/>
            <w:sz w:val="15"/>
          </w:rPr>
          <w:fldChar w:fldCharType="end"/>
        </w:r>
      </w:sdtContent>
    </w:sdt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ind w:firstLine="6360" w:firstLineChars="2650"/>
      <w:jc w:val="left"/>
      <w:rPr>
        <w:rFonts w:ascii="宋体" w:hAnsi="宋体" w:eastAsia="宋体" w:cs="宋体"/>
        <w:kern w:val="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63EE3"/>
    <w:multiLevelType w:val="singleLevel"/>
    <w:tmpl w:val="B7B63EE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2D31CE9"/>
    <w:multiLevelType w:val="singleLevel"/>
    <w:tmpl w:val="C2D31CE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9AC6986"/>
    <w:multiLevelType w:val="singleLevel"/>
    <w:tmpl w:val="59AC698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123426"/>
    <w:rsid w:val="00005200"/>
    <w:rsid w:val="00100525"/>
    <w:rsid w:val="0011722A"/>
    <w:rsid w:val="00123426"/>
    <w:rsid w:val="001413A0"/>
    <w:rsid w:val="0017439A"/>
    <w:rsid w:val="00226417"/>
    <w:rsid w:val="00297353"/>
    <w:rsid w:val="002E3256"/>
    <w:rsid w:val="002E68E4"/>
    <w:rsid w:val="00366F13"/>
    <w:rsid w:val="00390819"/>
    <w:rsid w:val="003965C7"/>
    <w:rsid w:val="003A3A34"/>
    <w:rsid w:val="0040101E"/>
    <w:rsid w:val="004751BD"/>
    <w:rsid w:val="004764DE"/>
    <w:rsid w:val="00523452"/>
    <w:rsid w:val="00551F84"/>
    <w:rsid w:val="005936D9"/>
    <w:rsid w:val="005B1598"/>
    <w:rsid w:val="006067D3"/>
    <w:rsid w:val="006250FB"/>
    <w:rsid w:val="006318C0"/>
    <w:rsid w:val="00651727"/>
    <w:rsid w:val="00675FA0"/>
    <w:rsid w:val="0068755E"/>
    <w:rsid w:val="006B4105"/>
    <w:rsid w:val="00731E0C"/>
    <w:rsid w:val="00877B3E"/>
    <w:rsid w:val="008A6D4B"/>
    <w:rsid w:val="008B6201"/>
    <w:rsid w:val="00906008"/>
    <w:rsid w:val="00915F0B"/>
    <w:rsid w:val="00955A38"/>
    <w:rsid w:val="009B3AD9"/>
    <w:rsid w:val="00A118CC"/>
    <w:rsid w:val="00A33CC1"/>
    <w:rsid w:val="00A85549"/>
    <w:rsid w:val="00A9385B"/>
    <w:rsid w:val="00AA091A"/>
    <w:rsid w:val="00B474D7"/>
    <w:rsid w:val="00B548EF"/>
    <w:rsid w:val="00B72DA7"/>
    <w:rsid w:val="00C474FE"/>
    <w:rsid w:val="00CB1FEE"/>
    <w:rsid w:val="00D10014"/>
    <w:rsid w:val="00D31B40"/>
    <w:rsid w:val="00D43718"/>
    <w:rsid w:val="00D6798B"/>
    <w:rsid w:val="00D95AD5"/>
    <w:rsid w:val="00DA1DA5"/>
    <w:rsid w:val="00E25CC8"/>
    <w:rsid w:val="00E72948"/>
    <w:rsid w:val="00E74E5F"/>
    <w:rsid w:val="00ED0178"/>
    <w:rsid w:val="00F219FD"/>
    <w:rsid w:val="00F704E6"/>
    <w:rsid w:val="00F95D16"/>
    <w:rsid w:val="00FA675A"/>
    <w:rsid w:val="00FB27ED"/>
    <w:rsid w:val="0DF92556"/>
    <w:rsid w:val="19A277FE"/>
    <w:rsid w:val="3A625555"/>
    <w:rsid w:val="4138778D"/>
    <w:rsid w:val="4B73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autoRedefine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8"/>
    <w:qFormat/>
    <w:uiPriority w:val="1"/>
    <w:pPr>
      <w:autoSpaceDE w:val="0"/>
      <w:autoSpaceDN w:val="0"/>
      <w:jc w:val="left"/>
    </w:pPr>
    <w:rPr>
      <w:rFonts w:ascii="Source Han Sans SC Regular" w:hAnsi="Source Han Sans SC Regular" w:eastAsia="Source Han Sans SC Regular" w:cs="Source Han Sans SC Regular"/>
      <w:kern w:val="0"/>
      <w:sz w:val="9"/>
      <w:szCs w:val="9"/>
      <w:lang w:eastAsia="en-US"/>
    </w:rPr>
  </w:style>
  <w:style w:type="paragraph" w:styleId="3">
    <w:name w:val="Balloon Text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Light List Accent 3"/>
    <w:basedOn w:val="7"/>
    <w:autoRedefine/>
    <w:qFormat/>
    <w:uiPriority w:val="61"/>
    <w:rPr>
      <w:kern w:val="0"/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0">
    <w:name w:val="Hyperlink"/>
    <w:basedOn w:val="9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autoRedefine/>
    <w:uiPriority w:val="99"/>
    <w:rPr>
      <w:sz w:val="18"/>
      <w:szCs w:val="18"/>
    </w:rPr>
  </w:style>
  <w:style w:type="paragraph" w:styleId="13">
    <w:name w:val="No Spacing"/>
    <w:link w:val="14"/>
    <w:autoRedefine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字符"/>
    <w:basedOn w:val="9"/>
    <w:link w:val="13"/>
    <w:autoRedefine/>
    <w:qFormat/>
    <w:uiPriority w:val="1"/>
    <w:rPr>
      <w:kern w:val="0"/>
      <w:sz w:val="22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1"/>
    <w:pPr>
      <w:ind w:firstLine="420" w:firstLineChars="200"/>
    </w:pPr>
  </w:style>
  <w:style w:type="character" w:customStyle="1" w:styleId="17">
    <w:name w:val="批注框文本 字符"/>
    <w:basedOn w:val="9"/>
    <w:link w:val="3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正文文本 字符"/>
    <w:basedOn w:val="9"/>
    <w:link w:val="2"/>
    <w:autoRedefine/>
    <w:qFormat/>
    <w:uiPriority w:val="1"/>
    <w:rPr>
      <w:rFonts w:ascii="Source Han Sans SC Regular" w:hAnsi="Source Han Sans SC Regular" w:eastAsia="Source Han Sans SC Regular" w:cs="Source Han Sans SC Regular"/>
      <w:kern w:val="0"/>
      <w:sz w:val="9"/>
      <w:szCs w:val="9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anansu\Library\Group%20Containers\UBF8T346G9.Office\User%20Content.localized\Templates.localized\&#35834;&#31166;&#33268;&#28304;word&#27169;&#26495;-&#20013;&#25991;&#26495;-2021&#24180;6&#26376;&#26356;&#2603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41AB21F9077EB488C7AF7D36EE2632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9CD280-4348-F443-9B13-A84148C7151A}"/>
      </w:docPartPr>
      <w:docPartBody>
        <w:p>
          <w:pPr>
            <w:pStyle w:val="5"/>
          </w:pPr>
          <w:r>
            <w:rPr>
              <w:rStyle w:val="4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9C"/>
    <w:rsid w:val="001A659C"/>
    <w:rsid w:val="0046237C"/>
    <w:rsid w:val="0051646D"/>
    <w:rsid w:val="0095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autoRedefine/>
    <w:semiHidden/>
    <w:qFormat/>
    <w:uiPriority w:val="99"/>
    <w:rPr>
      <w:color w:val="808080"/>
    </w:rPr>
  </w:style>
  <w:style w:type="paragraph" w:customStyle="1" w:styleId="5">
    <w:name w:val="D41AB21F9077EB488C7AF7D36EE2632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日期：XXXX年X月X日</PublishDate>
  <Abstract/>
  <CompanyAddress>www.novogene.com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44C6C9-45BD-C740-96E6-0194EED1D8F5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诺禾致源word模板-中文板-2021年6月更新.dotx</Template>
  <Company>北京诺禾致源科技股份有限公司</Company>
  <Pages>9</Pages>
  <Words>2125</Words>
  <Characters>12119</Characters>
  <Lines>100</Lines>
  <Paragraphs>28</Paragraphs>
  <TotalTime>19</TotalTime>
  <ScaleCrop>false</ScaleCrop>
  <LinksUpToDate>false</LinksUpToDate>
  <CharactersWithSpaces>14216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2023-05-24T15:26:00Z</dcterms:created>
  <dc:creator>yanan Su</dc:creator>
  <cp:lastModifiedBy>Y</cp:lastModifiedBy>
  <cp:lastPrinted>2019-04-11T02:44:00Z</cp:lastPrinted>
  <dcterms:modified xsi:type="dcterms:W3CDTF">2024-05-27T10:24:21Z</dcterms:modified>
  <dc:title>疾病 WGS 中文版 method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A2DE2FFBB48B4BE0BCD3FB39553EEF71_13</vt:lpwstr>
  </property>
</Properties>
</file>