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As a new user visiting the site for the first time, I authenticate with either my Twitter or Facebook account to proceed with the site.</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rtl w:val="0"/>
        </w:rPr>
        <w:t xml:space="preserve">This user story describes the authentication process - which will be our primary and only method of logging in. This is because having one of the mentioned social media accounts is necessary for this application. If a user does not have any social media or posts on their social media, there is little reason to use this application.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As an already logged-in user, I want to create a wordcloud based on the posts that I have created on my social media. I will be able to choose which social media platforms, i.e. Twitter, Instagram, and/or Facebook, I want to add to my cloud.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This user story describes what the user will encounter after he or she logs in. They are given an option (even though it’s the only option) to generate a word cloud - the frontend of the webpage will change to accommodate this after they have logged in.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When I have created my wordcloud generated from my social media posts, I will be prompted with the option to create a randomly generated post or paragraph using the words obtained from social media.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This user story describes how the user may proceed with additional features once they complete their primary objective, which is to generate a word cloud. This is so that we present the user with a step-by-step process rather than presenting them all the information at once.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 may also have the option to share this back on Facebook or Twitter (or any other social media we may implement).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This user story describes how we may give the user a method to redirect back to the social media that they are using/logged into in order to share the information that they obtained using this application.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 user with no Facebook posts or Twitter posts attempts to create a wordcloud. However, since there is no data to be obtained, it will return an error message for the user saying that there are no posts to be found.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This user story demonstrates the generic errors that any user may encounter and how we, as the project team, will account for any such errors that may exist. We aim to minimize errors or at least make them look presentable to the user if they are unavoidable.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