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432" w:after="0" w:line="240"/>
        <w:ind w:right="0" w:left="0" w:firstLine="0"/>
        <w:jc w:val="left"/>
        <w:rPr>
          <w:rFonts w:ascii="Times New Roman" w:hAnsi="Times New Roman" w:cs="Times New Roman" w:eastAsia="Times New Roman"/>
          <w:color w:val="auto"/>
          <w:spacing w:val="-2"/>
          <w:position w:val="0"/>
          <w:sz w:val="34"/>
          <w:shd w:fill="auto" w:val="clear"/>
        </w:rPr>
      </w:pPr>
    </w:p>
    <w:p>
      <w:pPr>
        <w:spacing w:before="432" w:after="0" w:line="240"/>
        <w:ind w:right="0" w:left="0" w:firstLine="0"/>
        <w:jc w:val="center"/>
        <w:rPr>
          <w:rFonts w:ascii="Times New Roman" w:hAnsi="Times New Roman" w:cs="Times New Roman" w:eastAsia="Times New Roman"/>
          <w:b/>
          <w:color w:val="auto"/>
          <w:spacing w:val="-2"/>
          <w:position w:val="0"/>
          <w:sz w:val="44"/>
          <w:shd w:fill="auto" w:val="clear"/>
        </w:rPr>
      </w:pPr>
      <w:r>
        <w:rPr>
          <w:rFonts w:ascii="Times New Roman" w:hAnsi="Times New Roman" w:cs="Times New Roman" w:eastAsia="Times New Roman"/>
          <w:b/>
          <w:color w:val="auto"/>
          <w:spacing w:val="-2"/>
          <w:position w:val="0"/>
          <w:sz w:val="44"/>
          <w:shd w:fill="auto" w:val="clear"/>
        </w:rPr>
        <w:t xml:space="preserve">EXTRAS </w:t>
      </w:r>
      <w:r>
        <w:rPr>
          <w:rFonts w:ascii="Times New Roman" w:hAnsi="Times New Roman" w:cs="Times New Roman" w:eastAsia="Times New Roman"/>
          <w:b/>
          <w:color w:val="auto"/>
          <w:spacing w:val="-2"/>
          <w:position w:val="0"/>
          <w:sz w:val="44"/>
          <w:shd w:fill="auto" w:val="clear"/>
        </w:rPr>
        <w:t xml:space="preserve">–</w:t>
      </w:r>
      <w:r>
        <w:rPr>
          <w:rFonts w:ascii="Times New Roman" w:hAnsi="Times New Roman" w:cs="Times New Roman" w:eastAsia="Times New Roman"/>
          <w:b/>
          <w:color w:val="auto"/>
          <w:spacing w:val="-2"/>
          <w:position w:val="0"/>
          <w:sz w:val="44"/>
          <w:shd w:fill="auto" w:val="clear"/>
        </w:rPr>
        <w:t xml:space="preserve"> MODEL CARD</w:t>
      </w:r>
    </w:p>
    <w:p>
      <w:pPr>
        <w:spacing w:before="432" w:after="0" w:line="240"/>
        <w:ind w:right="0" w:left="0" w:firstLine="0"/>
        <w:jc w:val="left"/>
        <w:rPr>
          <w:rFonts w:ascii="Times New Roman" w:hAnsi="Times New Roman" w:cs="Times New Roman" w:eastAsia="Times New Roman"/>
          <w:b/>
          <w:color w:val="auto"/>
          <w:spacing w:val="-2"/>
          <w:position w:val="0"/>
          <w:sz w:val="34"/>
          <w:shd w:fill="auto" w:val="clear"/>
        </w:rPr>
      </w:pPr>
      <w:r>
        <w:rPr>
          <w:rFonts w:ascii="Times New Roman" w:hAnsi="Times New Roman" w:cs="Times New Roman" w:eastAsia="Times New Roman"/>
          <w:b/>
          <w:color w:val="auto"/>
          <w:spacing w:val="-2"/>
          <w:position w:val="0"/>
          <w:sz w:val="34"/>
          <w:shd w:fill="auto" w:val="clear"/>
        </w:rPr>
        <w:t xml:space="preserve">Objective</w:t>
      </w:r>
    </w:p>
    <w:p>
      <w:pPr>
        <w:spacing w:before="432" w:after="0" w:line="240"/>
        <w:ind w:right="0" w:left="0" w:firstLine="0"/>
        <w:jc w:val="left"/>
        <w:rPr>
          <w:rFonts w:ascii="Times New Roman" w:hAnsi="Times New Roman" w:cs="Times New Roman" w:eastAsia="Times New Roman"/>
          <w:color w:val="auto"/>
          <w:spacing w:val="-2"/>
          <w:position w:val="0"/>
          <w:sz w:val="34"/>
          <w:shd w:fill="auto" w:val="clear"/>
        </w:rPr>
      </w:pPr>
      <w:r>
        <w:rPr>
          <w:rFonts w:ascii="Times New Roman" w:hAnsi="Times New Roman" w:cs="Times New Roman" w:eastAsia="Times New Roman"/>
          <w:color w:val="auto"/>
          <w:spacing w:val="-2"/>
          <w:position w:val="0"/>
          <w:sz w:val="24"/>
          <w:shd w:fill="auto" w:val="clear"/>
        </w:rPr>
        <w:t xml:space="preserve">Disney+ is a subscription-based streaming service owned and operated by The Walt Disney Company. Launched in November 2019, Disney+ offers a vast library of movies, TV shows, and original content from Disney's extensive collection. This includes beloved classics, new releases, and exclusive original programming from Disney, Pixar, Marvel, Star Wars, and National Geographic.</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Disney + is a type of O2 Extras that  you can choose whether you’re new customer to the company or upgrading, you can get up to 6 months of Disney+ Standard plan.</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This model was developed to support campaigns like</w:t>
      </w:r>
    </w:p>
    <w:p>
      <w:pPr>
        <w:spacing w:before="326" w:after="0" w:line="240"/>
        <w:ind w:right="0" w:left="0" w:firstLine="0"/>
        <w:jc w:val="left"/>
        <w:rPr>
          <w:rFonts w:ascii="Times New Roman" w:hAnsi="Times New Roman" w:cs="Times New Roman" w:eastAsia="Times New Roman"/>
          <w:b/>
          <w:color w:val="auto"/>
          <w:spacing w:val="-1"/>
          <w:position w:val="0"/>
          <w:sz w:val="24"/>
          <w:shd w:fill="auto" w:val="clear"/>
        </w:rPr>
      </w:pPr>
      <w:r>
        <w:rPr>
          <w:rFonts w:ascii="Times New Roman" w:hAnsi="Times New Roman" w:cs="Times New Roman" w:eastAsia="Times New Roman"/>
          <w:b/>
          <w:color w:val="auto"/>
          <w:spacing w:val="-1"/>
          <w:position w:val="0"/>
          <w:sz w:val="24"/>
          <w:shd w:fill="auto" w:val="clear"/>
        </w:rPr>
        <w:t xml:space="preserve">Thank you campaign</w:t>
      </w:r>
    </w:p>
    <w:p>
      <w:pPr>
        <w:numPr>
          <w:ilvl w:val="0"/>
          <w:numId w:val="6"/>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Will allow us to test the model to see if we can drive the same uptake with a smaller audience, to prevent over-contacting customers who are unlikely to take up the offer.</w:t>
      </w:r>
    </w:p>
    <w:p>
      <w:pPr>
        <w:numPr>
          <w:ilvl w:val="0"/>
          <w:numId w:val="6"/>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It will also allow low propensity customers to be picked up in other more relevant campaigns.</w:t>
      </w:r>
    </w:p>
    <w:p>
      <w:pPr>
        <w:spacing w:before="400" w:after="0" w:line="240"/>
        <w:ind w:right="0" w:left="0" w:firstLine="0"/>
        <w:jc w:val="left"/>
        <w:rPr>
          <w:rFonts w:ascii="Times New Roman" w:hAnsi="Times New Roman" w:cs="Times New Roman" w:eastAsia="Times New Roman"/>
          <w:b/>
          <w:color w:val="auto"/>
          <w:spacing w:val="0"/>
          <w:position w:val="0"/>
          <w:sz w:val="21"/>
          <w:shd w:fill="auto" w:val="clear"/>
        </w:rPr>
      </w:pPr>
      <w:r>
        <w:rPr>
          <w:rFonts w:ascii="Times New Roman" w:hAnsi="Times New Roman" w:cs="Times New Roman" w:eastAsia="Times New Roman"/>
          <w:b/>
          <w:color w:val="auto"/>
          <w:spacing w:val="0"/>
          <w:position w:val="0"/>
          <w:sz w:val="24"/>
          <w:shd w:fill="auto" w:val="clear"/>
        </w:rPr>
        <w:t xml:space="preserve">BAU (i.e NWR)</w:t>
      </w:r>
    </w:p>
    <w:p>
      <w:pPr>
        <w:numPr>
          <w:ilvl w:val="0"/>
          <w:numId w:val="8"/>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NWR (New World Retention) is going through redevelopment at the moment. We have asked to include the Disney+ model to allow us to present different modules within comms to customers. We will need to do some testing, for example, understand if we should be presenting Disney content to high propensity customers, OR if there is an incremental benefit to promoting to those who score lower on the model.</w:t>
      </w:r>
    </w:p>
    <w:p>
      <w:pPr>
        <w:spacing w:before="400" w:after="0" w:line="240"/>
        <w:ind w:right="0" w:left="0" w:firstLine="0"/>
        <w:jc w:val="left"/>
        <w:rPr>
          <w:rFonts w:ascii="Times New Roman" w:hAnsi="Times New Roman" w:cs="Times New Roman" w:eastAsia="Times New Roman"/>
          <w:b/>
          <w:color w:val="auto"/>
          <w:spacing w:val="0"/>
          <w:position w:val="0"/>
          <w:sz w:val="21"/>
          <w:shd w:fill="auto" w:val="clear"/>
        </w:rPr>
      </w:pPr>
      <w:r>
        <w:rPr>
          <w:rFonts w:ascii="Times New Roman" w:hAnsi="Times New Roman" w:cs="Times New Roman" w:eastAsia="Times New Roman"/>
          <w:b/>
          <w:color w:val="auto"/>
          <w:spacing w:val="0"/>
          <w:position w:val="0"/>
          <w:sz w:val="24"/>
          <w:shd w:fill="auto" w:val="clear"/>
        </w:rPr>
        <w:t xml:space="preserve">What’s the problem we’re solving? </w:t>
      </w:r>
    </w:p>
    <w:p>
      <w:pPr>
        <w:numPr>
          <w:ilvl w:val="0"/>
          <w:numId w:val="10"/>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Optimising Extras business opportunities and applying a Machine learning model design can drive the subscribers’ growth, improve our campaign targeting, indirectly reduce churn and bring more profits to the business.</w:t>
      </w:r>
    </w:p>
    <w:p>
      <w:pPr>
        <w:numPr>
          <w:ilvl w:val="0"/>
          <w:numId w:val="10"/>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Increasing conversion of O2 Extras to AUTO ENROL represents a commercial opportunity to drive conversion rates up and offer customers more value for money, increasing customer satisfaction and NPS scores. </w:t>
      </w:r>
    </w:p>
    <w:p>
      <w:pPr>
        <w:spacing w:before="432" w:after="0" w:line="240"/>
        <w:ind w:right="0" w:left="0" w:firstLine="0"/>
        <w:jc w:val="left"/>
        <w:rPr>
          <w:rFonts w:ascii="Times New Roman" w:hAnsi="Times New Roman" w:cs="Times New Roman" w:eastAsia="Times New Roman"/>
          <w:color w:val="auto"/>
          <w:spacing w:val="-2"/>
          <w:position w:val="0"/>
          <w:sz w:val="34"/>
          <w:shd w:fill="auto" w:val="clear"/>
        </w:rPr>
      </w:pPr>
      <w:r>
        <w:rPr>
          <w:rFonts w:ascii="Times New Roman" w:hAnsi="Times New Roman" w:cs="Times New Roman" w:eastAsia="Times New Roman"/>
          <w:b/>
          <w:color w:val="auto"/>
          <w:spacing w:val="-2"/>
          <w:position w:val="0"/>
          <w:sz w:val="34"/>
          <w:shd w:fill="auto" w:val="clear"/>
        </w:rPr>
        <w:t xml:space="preserve">1. Introduction</w:t>
      </w:r>
    </w:p>
    <w:p>
      <w:pPr>
        <w:numPr>
          <w:ilvl w:val="0"/>
          <w:numId w:val="12"/>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We are predicting customers with a propensity to lapse onto a paid version and keep paying for at least 2 months starting with Auto Enroll.</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 </w:t>
      </w:r>
      <w:r>
        <w:object w:dxaOrig="8208" w:dyaOrig="1667">
          <v:rect xmlns:o="urn:schemas-microsoft-com:office:office" xmlns:v="urn:schemas-microsoft-com:vml" id="rectole0000000000" style="width:410.400000pt;height:83.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14"/>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Training was done on CDM tables for 360 customers.</w:t>
      </w:r>
    </w:p>
    <w:p>
      <w:pPr>
        <w:numPr>
          <w:ilvl w:val="0"/>
          <w:numId w:val="14"/>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All the “usual” features (i.e. O2 product holding, contract_type, usage, behaviour, demographic, age, gender).  </w:t>
      </w:r>
    </w:p>
    <w:p>
      <w:pPr>
        <w:spacing w:before="326" w:after="0" w:line="240"/>
        <w:ind w:right="0" w:left="0" w:firstLine="0"/>
        <w:jc w:val="left"/>
        <w:rPr>
          <w:rFonts w:ascii="Times New Roman" w:hAnsi="Times New Roman" w:cs="Times New Roman" w:eastAsia="Times New Roman"/>
          <w:b/>
          <w:color w:val="auto"/>
          <w:spacing w:val="-1"/>
          <w:position w:val="0"/>
          <w:sz w:val="24"/>
          <w:shd w:fill="auto" w:val="clear"/>
        </w:rPr>
      </w:pPr>
      <w:r>
        <w:rPr>
          <w:rFonts w:ascii="Times New Roman" w:hAnsi="Times New Roman" w:cs="Times New Roman" w:eastAsia="Times New Roman"/>
          <w:b/>
          <w:color w:val="auto"/>
          <w:spacing w:val="-1"/>
          <w:position w:val="0"/>
          <w:sz w:val="24"/>
          <w:shd w:fill="auto" w:val="clear"/>
        </w:rPr>
        <w:t xml:space="preserve">Model Timeline for Data Collection</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We take three snapshots to train the data and an additional snapshot for final evaluation of the model as described below:</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object w:dxaOrig="11559" w:dyaOrig="8460">
          <v:rect xmlns:o="urn:schemas-microsoft-com:office:office" xmlns:v="urn:schemas-microsoft-com:vml" id="rectole0000000001" style="width:577.950000pt;height:42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30"/>
        <w:ind w:right="0" w:left="0" w:firstLine="0"/>
        <w:jc w:val="left"/>
        <w:rPr>
          <w:rFonts w:ascii="Segoe UI" w:hAnsi="Segoe UI" w:cs="Segoe UI" w:eastAsia="Segoe UI"/>
          <w:color w:val="auto"/>
          <w:spacing w:val="0"/>
          <w:position w:val="0"/>
          <w:sz w:val="21"/>
          <w:shd w:fill="auto" w:val="clear"/>
        </w:rPr>
      </w:pPr>
    </w:p>
    <w:p>
      <w:pPr>
        <w:spacing w:before="432" w:after="0" w:line="240"/>
        <w:ind w:right="0" w:left="0" w:firstLine="0"/>
        <w:jc w:val="left"/>
        <w:rPr>
          <w:rFonts w:ascii="Times New Roman" w:hAnsi="Times New Roman" w:cs="Times New Roman" w:eastAsia="Times New Roman"/>
          <w:color w:val="auto"/>
          <w:spacing w:val="-2"/>
          <w:position w:val="0"/>
          <w:sz w:val="34"/>
          <w:shd w:fill="auto" w:val="clear"/>
        </w:rPr>
      </w:pPr>
      <w:r>
        <w:rPr>
          <w:rFonts w:ascii="Times New Roman" w:hAnsi="Times New Roman" w:cs="Times New Roman" w:eastAsia="Times New Roman"/>
          <w:b/>
          <w:color w:val="auto"/>
          <w:spacing w:val="-2"/>
          <w:position w:val="0"/>
          <w:sz w:val="34"/>
          <w:shd w:fill="auto" w:val="clear"/>
        </w:rPr>
        <w:t xml:space="preserve">2. Target variable </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Through the purchase process (new or upgrade), we will be given  to customers the option to choose an Extra if you are eligible. Customer can either: </w:t>
      </w:r>
    </w:p>
    <w:p>
      <w:pPr>
        <w:numPr>
          <w:ilvl w:val="0"/>
          <w:numId w:val="20"/>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Choose an Extra right there. In this case their allocate Disney will start right away and there will be no Choose Later bolt on at all.</w:t>
      </w:r>
    </w:p>
    <w:p>
      <w:pPr>
        <w:numPr>
          <w:ilvl w:val="0"/>
          <w:numId w:val="20"/>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Or they can say they don’t want to choose anything. In this case they will be allocated a choose later BO that is valid for 28 days, i.e. customer has 28 days to choose something. If they don’t, they Choose later BO will expire after 28 days and customer lost the opportunity to choose anything</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The customers who have the allocated Disney product, they still have to go and redeem it with the partner. At that point the product goes from an Allocated one to a Redeemed one.</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Then at the end of the FOC period the product goes into an Auto Enrol one (unless the customer opts out of this).</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The target variable is an indicator of whether or not a given customer has gone through the process above and paid as Auto Enrol for at least 2 months, in summary target takes 10 months to be evaluated.</w:t>
      </w:r>
    </w:p>
    <w:p>
      <w:pPr>
        <w:spacing w:before="432" w:after="0" w:line="240"/>
        <w:ind w:right="0" w:left="0" w:firstLine="0"/>
        <w:jc w:val="left"/>
        <w:rPr>
          <w:rFonts w:ascii="Times New Roman" w:hAnsi="Times New Roman" w:cs="Times New Roman" w:eastAsia="Times New Roman"/>
          <w:color w:val="auto"/>
          <w:spacing w:val="-2"/>
          <w:position w:val="0"/>
          <w:sz w:val="34"/>
          <w:shd w:fill="auto" w:val="clear"/>
        </w:rPr>
      </w:pPr>
      <w:r>
        <w:rPr>
          <w:rFonts w:ascii="Times New Roman" w:hAnsi="Times New Roman" w:cs="Times New Roman" w:eastAsia="Times New Roman"/>
          <w:b/>
          <w:color w:val="auto"/>
          <w:spacing w:val="-2"/>
          <w:position w:val="0"/>
          <w:sz w:val="34"/>
          <w:shd w:fill="auto" w:val="clear"/>
        </w:rPr>
        <w:t xml:space="preserve">3. Modelling data set</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We have considered around 250 features to start the process of building the model , the data collection followed the structure above as showed in Timeline.</w:t>
      </w:r>
    </w:p>
    <w:p>
      <w:pPr>
        <w:spacing w:before="432" w:after="0" w:line="240"/>
        <w:ind w:right="0" w:left="0" w:firstLine="0"/>
        <w:jc w:val="left"/>
        <w:rPr>
          <w:rFonts w:ascii="Times New Roman" w:hAnsi="Times New Roman" w:cs="Times New Roman" w:eastAsia="Times New Roman"/>
          <w:color w:val="auto"/>
          <w:spacing w:val="-2"/>
          <w:position w:val="0"/>
          <w:sz w:val="34"/>
          <w:shd w:fill="auto" w:val="clear"/>
        </w:rPr>
      </w:pPr>
      <w:r>
        <w:rPr>
          <w:rFonts w:ascii="Times New Roman" w:hAnsi="Times New Roman" w:cs="Times New Roman" w:eastAsia="Times New Roman"/>
          <w:b/>
          <w:color w:val="auto"/>
          <w:spacing w:val="-2"/>
          <w:position w:val="0"/>
          <w:sz w:val="34"/>
          <w:shd w:fill="auto" w:val="clear"/>
        </w:rPr>
        <w:t xml:space="preserve"> 4. Modelling</w:t>
      </w:r>
      <w:r>
        <w:rPr>
          <w:rFonts w:ascii="Times New Roman" w:hAnsi="Times New Roman" w:cs="Times New Roman" w:eastAsia="Times New Roman"/>
          <w:color w:val="auto"/>
          <w:spacing w:val="-2"/>
          <w:position w:val="0"/>
          <w:sz w:val="34"/>
          <w:shd w:fill="auto" w:val="clear"/>
        </w:rPr>
        <w:t xml:space="preserve"> </w:t>
      </w:r>
      <w:r>
        <w:rPr>
          <w:rFonts w:ascii="Times New Roman" w:hAnsi="Times New Roman" w:cs="Times New Roman" w:eastAsia="Times New Roman"/>
          <w:b/>
          <w:color w:val="auto"/>
          <w:spacing w:val="-2"/>
          <w:position w:val="0"/>
          <w:sz w:val="34"/>
          <w:shd w:fill="auto" w:val="clear"/>
        </w:rPr>
        <w:t xml:space="preserve">Architeture</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 We use Catboost with LossFunctionChange in recursive feature elimination with cross-validation to select the best features.</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After this process, 12 comes out as the clear optimal set so we finalise the selection using them to build our model . Final features set are :</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Subs, final_data_allowance, days_from_ced, no_of_comms_3m, in_bundle_data_usage_1mth, device_fanboy_group, plan_cca_ind, billed_revenue, age_id_2, cycle, data_util, tenure_months.</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For the hyperparameter tuning, we considered a set of optimising metrics for this problem, like precision, recall, accuracy, f1 and AUC.  The first candidate was the model with the highest  AUC.</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For Model Comparison we also test a logistic regression and a decision tree however they didn’t perform so good as Catboost as metrics described in the notebooks attached.</w:t>
      </w:r>
    </w:p>
    <w:p>
      <w:pPr>
        <w:spacing w:before="480" w:after="0" w:line="240"/>
        <w:ind w:right="0" w:left="0" w:firstLine="0"/>
        <w:jc w:val="left"/>
        <w:rPr>
          <w:rFonts w:ascii="Times New Roman" w:hAnsi="Times New Roman" w:cs="Times New Roman" w:eastAsia="Times New Roman"/>
          <w:b/>
          <w:color w:val="auto"/>
          <w:spacing w:val="-1"/>
          <w:position w:val="0"/>
          <w:sz w:val="27"/>
          <w:shd w:fill="auto" w:val="clear"/>
        </w:rPr>
      </w:pPr>
      <w:r>
        <w:rPr>
          <w:rFonts w:ascii="Times New Roman" w:hAnsi="Times New Roman" w:cs="Times New Roman" w:eastAsia="Times New Roman"/>
          <w:b/>
          <w:color w:val="auto"/>
          <w:spacing w:val="-1"/>
          <w:position w:val="0"/>
          <w:sz w:val="27"/>
          <w:shd w:fill="auto" w:val="clear"/>
        </w:rPr>
        <w:t xml:space="preserve">4.1. Modelling Evaluation Perfomance</w:t>
      </w:r>
    </w:p>
    <w:p>
      <w:pPr>
        <w:numPr>
          <w:ilvl w:val="0"/>
          <w:numId w:val="27"/>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We used data from March 2023 for validation which was not used to build the model.</w:t>
      </w:r>
    </w:p>
    <w:p>
      <w:pPr>
        <w:numPr>
          <w:ilvl w:val="0"/>
          <w:numId w:val="27"/>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Left panel: O2ExtrasDisney rate in decile 1 is 33% compared to the overall rate of 7%. Decile groups are based on the predicted propensity to take Disney_extras in descending order.</w:t>
      </w:r>
    </w:p>
    <w:p>
      <w:pPr>
        <w:numPr>
          <w:ilvl w:val="0"/>
          <w:numId w:val="27"/>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Middle panel: The cumulative Lift chart. The cumulative Lift  for the top decile is 5.2</w:t>
      </w:r>
    </w:p>
    <w:p>
      <w:pPr>
        <w:numPr>
          <w:ilvl w:val="0"/>
          <w:numId w:val="27"/>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Right panel: Cumulative Gains Chart. We can identify and target 52% of customers who are likely to take  by targeting 10% of the customers</w:t>
      </w:r>
    </w:p>
    <w:p>
      <w:pPr>
        <w:numPr>
          <w:ilvl w:val="0"/>
          <w:numId w:val="27"/>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We can identify and target  52% of customers who are likely to take O2Extras_Disney by targeting 10% of the customers</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 </w:t>
      </w:r>
    </w:p>
    <w:p>
      <w:pPr>
        <w:spacing w:before="0" w:after="0" w:line="330"/>
        <w:ind w:right="0" w:left="0" w:firstLine="0"/>
        <w:jc w:val="left"/>
        <w:rPr>
          <w:rFonts w:ascii="Segoe UI" w:hAnsi="Segoe UI" w:cs="Segoe UI" w:eastAsia="Segoe UI"/>
          <w:color w:val="auto"/>
          <w:spacing w:val="0"/>
          <w:position w:val="0"/>
          <w:sz w:val="21"/>
          <w:shd w:fill="auto" w:val="clear"/>
        </w:rPr>
      </w:pPr>
      <w:r>
        <w:object w:dxaOrig="9743" w:dyaOrig="3035">
          <v:rect xmlns:o="urn:schemas-microsoft-com:office:office" xmlns:v="urn:schemas-microsoft-com:vml" id="rectole0000000002" style="width:487.150000pt;height:151.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 </w:t>
      </w:r>
      <w:r>
        <w:object w:dxaOrig="9743" w:dyaOrig="8219">
          <v:rect xmlns:o="urn:schemas-microsoft-com:office:office" xmlns:v="urn:schemas-microsoft-com:vml" id="rectole0000000003" style="width:487.150000pt;height:410.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30"/>
        <w:ind w:right="0" w:left="0" w:firstLine="0"/>
        <w:jc w:val="left"/>
        <w:rPr>
          <w:rFonts w:ascii="Segoe UI" w:hAnsi="Segoe UI" w:cs="Segoe UI" w:eastAsia="Segoe UI"/>
          <w:color w:val="auto"/>
          <w:spacing w:val="0"/>
          <w:position w:val="0"/>
          <w:sz w:val="21"/>
          <w:shd w:fill="auto" w:val="clear"/>
        </w:rPr>
      </w:pP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b/>
          <w:color w:val="auto"/>
          <w:spacing w:val="-1"/>
          <w:position w:val="0"/>
          <w:sz w:val="24"/>
          <w:u w:val="single"/>
          <w:shd w:fill="auto" w:val="clear"/>
        </w:rPr>
        <w:t xml:space="preserve">Metrics Report</w:t>
      </w:r>
    </w:p>
    <w:p>
      <w:pPr>
        <w:numPr>
          <w:ilvl w:val="0"/>
          <w:numId w:val="33"/>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prec_score: 0.3781</w:t>
      </w:r>
    </w:p>
    <w:p>
      <w:pPr>
        <w:numPr>
          <w:ilvl w:val="0"/>
          <w:numId w:val="33"/>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rec_score: 0.4866,</w:t>
      </w:r>
    </w:p>
    <w:p>
      <w:pPr>
        <w:numPr>
          <w:ilvl w:val="0"/>
          <w:numId w:val="33"/>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F1_score: 0.4255,</w:t>
      </w:r>
    </w:p>
    <w:p>
      <w:pPr>
        <w:numPr>
          <w:ilvl w:val="0"/>
          <w:numId w:val="33"/>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roc_auc: 0.8412,</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p>
    <w:p>
      <w:pPr>
        <w:spacing w:before="0" w:after="0" w:line="330"/>
        <w:ind w:right="0" w:left="0" w:firstLine="0"/>
        <w:jc w:val="left"/>
        <w:rPr>
          <w:rFonts w:ascii="Segoe UI" w:hAnsi="Segoe UI" w:cs="Segoe UI" w:eastAsia="Segoe UI"/>
          <w:color w:val="auto"/>
          <w:spacing w:val="0"/>
          <w:position w:val="0"/>
          <w:sz w:val="21"/>
          <w:shd w:fill="auto" w:val="clear"/>
        </w:rPr>
      </w:pPr>
    </w:p>
    <w:tbl>
      <w:tblPr/>
      <w:tblGrid>
        <w:gridCol w:w="892"/>
        <w:gridCol w:w="4016"/>
        <w:gridCol w:w="511"/>
        <w:gridCol w:w="5981"/>
      </w:tblGrid>
      <w:tr>
        <w:trPr>
          <w:trHeight w:val="1123" w:hRule="auto"/>
          <w:jc w:val="left"/>
        </w:trPr>
        <w:tc>
          <w:tcPr>
            <w:tcW w:w="892"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Decile</w:t>
            </w:r>
          </w:p>
        </w:tc>
        <w:tc>
          <w:tcPr>
            <w:tcW w:w="401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O2 Extras Disney + Rate (%)</w:t>
            </w:r>
          </w:p>
        </w:tc>
        <w:tc>
          <w:tcPr>
            <w:tcW w:w="51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Lift</w:t>
            </w:r>
          </w:p>
        </w:tc>
        <w:tc>
          <w:tcPr>
            <w:tcW w:w="5981"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Cumulative % ofO2 Extras Disney + Taken</w:t>
            </w:r>
          </w:p>
        </w:tc>
      </w:tr>
      <w:tr>
        <w:trPr>
          <w:trHeight w:val="1" w:hRule="atLeast"/>
          <w:jc w:val="left"/>
        </w:trPr>
        <w:tc>
          <w:tcPr>
            <w:tcW w:w="892"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w:t>
            </w:r>
          </w:p>
        </w:tc>
        <w:tc>
          <w:tcPr>
            <w:tcW w:w="4016"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33%</w:t>
            </w:r>
          </w:p>
        </w:tc>
        <w:tc>
          <w:tcPr>
            <w:tcW w:w="51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5.2</w:t>
            </w:r>
          </w:p>
        </w:tc>
        <w:tc>
          <w:tcPr>
            <w:tcW w:w="598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52.2%</w:t>
            </w:r>
          </w:p>
        </w:tc>
      </w:tr>
      <w:tr>
        <w:trPr>
          <w:trHeight w:val="1" w:hRule="atLeast"/>
          <w:jc w:val="left"/>
        </w:trPr>
        <w:tc>
          <w:tcPr>
            <w:tcW w:w="892"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2</w:t>
            </w:r>
          </w:p>
        </w:tc>
        <w:tc>
          <w:tcPr>
            <w:tcW w:w="4016"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10%</w:t>
            </w:r>
          </w:p>
        </w:tc>
        <w:tc>
          <w:tcPr>
            <w:tcW w:w="51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3.4</w:t>
            </w:r>
          </w:p>
        </w:tc>
        <w:tc>
          <w:tcPr>
            <w:tcW w:w="598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67.8%</w:t>
            </w:r>
          </w:p>
        </w:tc>
      </w:tr>
      <w:tr>
        <w:trPr>
          <w:trHeight w:val="1" w:hRule="atLeast"/>
          <w:jc w:val="left"/>
        </w:trPr>
        <w:tc>
          <w:tcPr>
            <w:tcW w:w="892"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3</w:t>
            </w:r>
          </w:p>
        </w:tc>
        <w:tc>
          <w:tcPr>
            <w:tcW w:w="4016"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6%</w:t>
            </w:r>
          </w:p>
        </w:tc>
        <w:tc>
          <w:tcPr>
            <w:tcW w:w="51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2.6</w:t>
            </w:r>
          </w:p>
        </w:tc>
        <w:tc>
          <w:tcPr>
            <w:tcW w:w="598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77.5%</w:t>
            </w:r>
          </w:p>
        </w:tc>
      </w:tr>
      <w:tr>
        <w:trPr>
          <w:trHeight w:val="1" w:hRule="atLeast"/>
          <w:jc w:val="left"/>
        </w:trPr>
        <w:tc>
          <w:tcPr>
            <w:tcW w:w="892"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4</w:t>
            </w:r>
          </w:p>
        </w:tc>
        <w:tc>
          <w:tcPr>
            <w:tcW w:w="4016"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4%</w:t>
            </w:r>
          </w:p>
        </w:tc>
        <w:tc>
          <w:tcPr>
            <w:tcW w:w="51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2.1</w:t>
            </w:r>
          </w:p>
        </w:tc>
        <w:tc>
          <w:tcPr>
            <w:tcW w:w="598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84.5%</w:t>
            </w:r>
          </w:p>
        </w:tc>
      </w:tr>
      <w:tr>
        <w:trPr>
          <w:trHeight w:val="1" w:hRule="atLeast"/>
          <w:jc w:val="left"/>
        </w:trPr>
        <w:tc>
          <w:tcPr>
            <w:tcW w:w="892"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5</w:t>
            </w:r>
          </w:p>
        </w:tc>
        <w:tc>
          <w:tcPr>
            <w:tcW w:w="4016"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4%</w:t>
            </w:r>
          </w:p>
        </w:tc>
        <w:tc>
          <w:tcPr>
            <w:tcW w:w="51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1.8</w:t>
            </w:r>
          </w:p>
        </w:tc>
        <w:tc>
          <w:tcPr>
            <w:tcW w:w="598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90.4%</w:t>
            </w:r>
          </w:p>
        </w:tc>
      </w:tr>
      <w:tr>
        <w:trPr>
          <w:trHeight w:val="1" w:hRule="atLeast"/>
          <w:jc w:val="left"/>
        </w:trPr>
        <w:tc>
          <w:tcPr>
            <w:tcW w:w="892"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6</w:t>
            </w:r>
          </w:p>
        </w:tc>
        <w:tc>
          <w:tcPr>
            <w:tcW w:w="4016"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2%</w:t>
            </w:r>
          </w:p>
        </w:tc>
        <w:tc>
          <w:tcPr>
            <w:tcW w:w="51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1.6</w:t>
            </w:r>
          </w:p>
        </w:tc>
        <w:tc>
          <w:tcPr>
            <w:tcW w:w="598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93.4%</w:t>
            </w:r>
          </w:p>
        </w:tc>
      </w:tr>
      <w:tr>
        <w:trPr>
          <w:trHeight w:val="1" w:hRule="atLeast"/>
          <w:jc w:val="left"/>
        </w:trPr>
        <w:tc>
          <w:tcPr>
            <w:tcW w:w="892"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7</w:t>
            </w:r>
          </w:p>
        </w:tc>
        <w:tc>
          <w:tcPr>
            <w:tcW w:w="4016"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2%</w:t>
            </w:r>
          </w:p>
        </w:tc>
        <w:tc>
          <w:tcPr>
            <w:tcW w:w="51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1.4</w:t>
            </w:r>
          </w:p>
        </w:tc>
        <w:tc>
          <w:tcPr>
            <w:tcW w:w="598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96.8%</w:t>
            </w:r>
          </w:p>
        </w:tc>
      </w:tr>
      <w:tr>
        <w:trPr>
          <w:trHeight w:val="1" w:hRule="atLeast"/>
          <w:jc w:val="left"/>
        </w:trPr>
        <w:tc>
          <w:tcPr>
            <w:tcW w:w="892"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8</w:t>
            </w:r>
          </w:p>
        </w:tc>
        <w:tc>
          <w:tcPr>
            <w:tcW w:w="4016"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w:t>
            </w:r>
          </w:p>
        </w:tc>
        <w:tc>
          <w:tcPr>
            <w:tcW w:w="51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1.2</w:t>
            </w:r>
          </w:p>
        </w:tc>
        <w:tc>
          <w:tcPr>
            <w:tcW w:w="598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98.7%</w:t>
            </w:r>
          </w:p>
        </w:tc>
      </w:tr>
      <w:tr>
        <w:trPr>
          <w:trHeight w:val="1" w:hRule="atLeast"/>
          <w:jc w:val="left"/>
        </w:trPr>
        <w:tc>
          <w:tcPr>
            <w:tcW w:w="892"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9</w:t>
            </w:r>
          </w:p>
        </w:tc>
        <w:tc>
          <w:tcPr>
            <w:tcW w:w="4016"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w:t>
            </w:r>
          </w:p>
        </w:tc>
        <w:tc>
          <w:tcPr>
            <w:tcW w:w="51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1.1</w:t>
            </w:r>
          </w:p>
        </w:tc>
        <w:tc>
          <w:tcPr>
            <w:tcW w:w="598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99.6%</w:t>
            </w:r>
          </w:p>
        </w:tc>
      </w:tr>
      <w:tr>
        <w:trPr>
          <w:trHeight w:val="1" w:hRule="atLeast"/>
          <w:jc w:val="left"/>
        </w:trPr>
        <w:tc>
          <w:tcPr>
            <w:tcW w:w="892"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10</w:t>
            </w:r>
          </w:p>
        </w:tc>
        <w:tc>
          <w:tcPr>
            <w:tcW w:w="4016"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0%</w:t>
            </w:r>
          </w:p>
        </w:tc>
        <w:tc>
          <w:tcPr>
            <w:tcW w:w="51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w:t>
            </w:r>
          </w:p>
        </w:tc>
        <w:tc>
          <w:tcPr>
            <w:tcW w:w="5981"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100.0%</w:t>
            </w:r>
          </w:p>
        </w:tc>
      </w:tr>
    </w:tbl>
    <w:p>
      <w:pPr>
        <w:spacing w:before="432" w:after="0" w:line="240"/>
        <w:ind w:right="0" w:left="0" w:firstLine="0"/>
        <w:jc w:val="left"/>
        <w:rPr>
          <w:rFonts w:ascii="Times New Roman" w:hAnsi="Times New Roman" w:cs="Times New Roman" w:eastAsia="Times New Roman"/>
          <w:color w:val="auto"/>
          <w:spacing w:val="-2"/>
          <w:position w:val="0"/>
          <w:sz w:val="34"/>
          <w:shd w:fill="auto" w:val="clear"/>
        </w:rPr>
      </w:pPr>
      <w:r>
        <w:rPr>
          <w:rFonts w:ascii="Times New Roman" w:hAnsi="Times New Roman" w:cs="Times New Roman" w:eastAsia="Times New Roman"/>
          <w:b/>
          <w:color w:val="auto"/>
          <w:spacing w:val="-2"/>
          <w:position w:val="0"/>
          <w:sz w:val="34"/>
          <w:shd w:fill="auto" w:val="clear"/>
        </w:rPr>
        <w:t xml:space="preserve"> 5. Model Interpretation</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color w:val="auto"/>
          <w:spacing w:val="-1"/>
          <w:position w:val="0"/>
          <w:sz w:val="24"/>
          <w:shd w:fill="auto" w:val="clear"/>
        </w:rPr>
        <w:t xml:space="preserve">We've used SHAP, shap values are calculated per object, so each object has a set of Shap values and there is a baseline value that is the same for all the objects and then there are importance of all features. All these importance they sum to the prediction of the object and your features importance some to prediction.. For classification models, the base value is equal to the prevalence of the positive class SHAP values reveal interesting insights into how the input variables are impacting the predictions of the machine learning model, both at the level of individual instances and across the population as a whole.</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object w:dxaOrig="10031" w:dyaOrig="9959">
          <v:rect xmlns:o="urn:schemas-microsoft-com:office:office" xmlns:v="urn:schemas-microsoft-com:vml" id="rectole0000000004" style="width:501.550000pt;height:497.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Times New Roman" w:hAnsi="Times New Roman" w:cs="Times New Roman" w:eastAsia="Times New Roman"/>
          <w:color w:val="auto"/>
          <w:spacing w:val="-1"/>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b/>
          <w:color w:val="auto"/>
          <w:spacing w:val="-1"/>
          <w:position w:val="0"/>
          <w:sz w:val="24"/>
          <w:shd w:fill="auto" w:val="clear"/>
        </w:rPr>
      </w:pPr>
      <w:r>
        <w:object w:dxaOrig="8052" w:dyaOrig="7992">
          <v:rect xmlns:o="urn:schemas-microsoft-com:office:office" xmlns:v="urn:schemas-microsoft-com:vml" id="rectole0000000005" style="width:402.600000pt;height:399.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left"/>
        <w:rPr>
          <w:rFonts w:ascii="Times New Roman" w:hAnsi="Times New Roman" w:cs="Times New Roman" w:eastAsia="Times New Roman"/>
          <w:b/>
          <w:color w:val="auto"/>
          <w:spacing w:val="-1"/>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1"/>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b/>
          <w:color w:val="auto"/>
          <w:spacing w:val="-1"/>
          <w:position w:val="0"/>
          <w:sz w:val="24"/>
          <w:shd w:fill="auto" w:val="clear"/>
        </w:rPr>
        <w:t xml:space="preserve">The top 5 features are:</w:t>
      </w:r>
    </w:p>
    <w:p>
      <w:pPr>
        <w:numPr>
          <w:ilvl w:val="0"/>
          <w:numId w:val="62"/>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subs </w:t>
      </w:r>
      <w:r>
        <w:rPr>
          <w:rFonts w:ascii="Times New Roman" w:hAnsi="Times New Roman" w:cs="Times New Roman" w:eastAsia="Times New Roman"/>
          <w:color w:val="auto"/>
          <w:spacing w:val="-1"/>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customers with higher subs are more likely to lapse onto a paid version and keep paying for at least 2 months as Auto Enroll</w:t>
      </w:r>
    </w:p>
    <w:p>
      <w:pPr>
        <w:spacing w:before="0" w:after="0" w:line="330"/>
        <w:ind w:right="0" w:left="360" w:firstLine="0"/>
        <w:jc w:val="left"/>
        <w:rPr>
          <w:rFonts w:ascii="Segoe UI" w:hAnsi="Segoe UI" w:cs="Segoe UI" w:eastAsia="Segoe UI"/>
          <w:color w:val="auto"/>
          <w:spacing w:val="0"/>
          <w:position w:val="0"/>
          <w:sz w:val="21"/>
          <w:shd w:fill="auto" w:val="clear"/>
        </w:rPr>
      </w:pPr>
    </w:p>
    <w:p>
      <w:pPr>
        <w:numPr>
          <w:ilvl w:val="0"/>
          <w:numId w:val="64"/>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final data allowance - more likely to be as Auto Enrol if higher data allowance ( a caveat here, when the model was trained we had a huge amount of Simo customers so this can blur the interpretation)</w:t>
      </w:r>
    </w:p>
    <w:p>
      <w:pPr>
        <w:spacing w:before="0" w:after="0" w:line="240"/>
        <w:ind w:right="0" w:left="0" w:firstLine="0"/>
        <w:jc w:val="left"/>
        <w:rPr>
          <w:rFonts w:ascii="Times New Roman" w:hAnsi="Times New Roman" w:cs="Times New Roman" w:eastAsia="Times New Roman"/>
          <w:color w:val="auto"/>
          <w:spacing w:val="-1"/>
          <w:position w:val="0"/>
          <w:sz w:val="24"/>
          <w:shd w:fill="auto" w:val="clear"/>
        </w:rPr>
      </w:pPr>
    </w:p>
    <w:p>
      <w:pPr>
        <w:numPr>
          <w:ilvl w:val="0"/>
          <w:numId w:val="66"/>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age_id_2 </w:t>
      </w:r>
      <w:r>
        <w:rPr>
          <w:rFonts w:ascii="Times New Roman" w:hAnsi="Times New Roman" w:cs="Times New Roman" w:eastAsia="Times New Roman"/>
          <w:color w:val="auto"/>
          <w:spacing w:val="-1"/>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younger customers are more likely to be as Auto Enrol, this is related to family groups around 30-40 where kids have a strong influence.</w:t>
      </w:r>
    </w:p>
    <w:p>
      <w:pPr>
        <w:spacing w:before="0" w:after="0" w:line="330"/>
        <w:ind w:right="0" w:left="0" w:firstLine="0"/>
        <w:jc w:val="left"/>
        <w:rPr>
          <w:rFonts w:ascii="Segoe UI" w:hAnsi="Segoe UI" w:cs="Segoe UI" w:eastAsia="Segoe UI"/>
          <w:color w:val="auto"/>
          <w:spacing w:val="0"/>
          <w:position w:val="0"/>
          <w:sz w:val="21"/>
          <w:shd w:fill="auto" w:val="clear"/>
        </w:rPr>
      </w:pPr>
    </w:p>
    <w:p>
      <w:pPr>
        <w:numPr>
          <w:ilvl w:val="0"/>
          <w:numId w:val="68"/>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data_util - more likely to keep paying extras as auto Enrol  if use more data</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30"/>
        <w:ind w:right="0" w:left="0" w:firstLine="0"/>
        <w:jc w:val="left"/>
        <w:rPr>
          <w:rFonts w:ascii="Segoe UI" w:hAnsi="Segoe UI" w:cs="Segoe UI" w:eastAsia="Segoe UI"/>
          <w:color w:val="auto"/>
          <w:spacing w:val="0"/>
          <w:position w:val="0"/>
          <w:sz w:val="21"/>
          <w:shd w:fill="auto" w:val="clear"/>
        </w:rPr>
      </w:pPr>
    </w:p>
    <w:p>
      <w:pPr>
        <w:numPr>
          <w:ilvl w:val="0"/>
          <w:numId w:val="71"/>
        </w:numPr>
        <w:tabs>
          <w:tab w:val="left" w:pos="720" w:leader="none"/>
        </w:tabs>
        <w:spacing w:before="0" w:after="0" w:line="240"/>
        <w:ind w:right="0" w:left="720" w:hanging="36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The cost in £ of the customer's Airtime Tariff</w:t>
      </w:r>
    </w:p>
    <w:p>
      <w:pPr>
        <w:spacing w:before="0" w:after="0" w:line="330"/>
        <w:ind w:right="0" w:left="0" w:firstLine="0"/>
        <w:jc w:val="left"/>
        <w:rPr>
          <w:rFonts w:ascii="Segoe UI" w:hAnsi="Segoe UI" w:cs="Segoe UI" w:eastAsia="Segoe UI"/>
          <w:color w:val="auto"/>
          <w:spacing w:val="0"/>
          <w:position w:val="0"/>
          <w:sz w:val="21"/>
          <w:shd w:fill="auto" w:val="clear"/>
        </w:rPr>
      </w:pPr>
    </w:p>
    <w:p>
      <w:pPr>
        <w:tabs>
          <w:tab w:val="left" w:pos="720" w:leader="none"/>
        </w:tabs>
        <w:spacing w:before="0" w:after="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b/>
          <w:color w:val="auto"/>
          <w:spacing w:val="-1"/>
          <w:position w:val="0"/>
          <w:sz w:val="24"/>
          <w:u w:val="single"/>
          <w:shd w:fill="auto" w:val="clear"/>
        </w:rPr>
        <w:t xml:space="preserve">Model Dictionary</w:t>
      </w:r>
    </w:p>
    <w:p>
      <w:pPr>
        <w:spacing w:before="0" w:after="0" w:line="240"/>
        <w:ind w:right="0" w:left="0" w:firstLine="0"/>
        <w:jc w:val="left"/>
        <w:rPr>
          <w:rFonts w:ascii="Times New Roman" w:hAnsi="Times New Roman" w:cs="Times New Roman" w:eastAsia="Times New Roman"/>
          <w:color w:val="auto"/>
          <w:spacing w:val="-1"/>
          <w:position w:val="0"/>
          <w:sz w:val="24"/>
          <w:shd w:fill="auto" w:val="clear"/>
        </w:rPr>
      </w:pPr>
    </w:p>
    <w:tbl>
      <w:tblPr/>
      <w:tblGrid>
        <w:gridCol w:w="2380"/>
        <w:gridCol w:w="8475"/>
        <w:gridCol w:w="545"/>
      </w:tblGrid>
      <w:tr>
        <w:trPr>
          <w:trHeight w:val="200" w:hRule="auto"/>
          <w:jc w:val="left"/>
        </w:trPr>
        <w:tc>
          <w:tcPr>
            <w:tcW w:w="238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84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4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11" w:hRule="auto"/>
          <w:jc w:val="left"/>
        </w:trPr>
        <w:tc>
          <w:tcPr>
            <w:tcW w:w="238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b/>
                <w:color w:val="auto"/>
                <w:spacing w:val="-1"/>
                <w:position w:val="0"/>
                <w:sz w:val="24"/>
                <w:shd w:fill="auto" w:val="clear"/>
              </w:rPr>
              <w:t xml:space="preserve">Feature Name</w:t>
            </w:r>
          </w:p>
        </w:tc>
        <w:tc>
          <w:tcPr>
            <w:tcW w:w="847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b/>
                <w:color w:val="auto"/>
                <w:spacing w:val="-1"/>
                <w:position w:val="0"/>
                <w:sz w:val="24"/>
                <w:shd w:fill="auto" w:val="clear"/>
              </w:rPr>
              <w:t xml:space="preserve">Description</w:t>
            </w:r>
          </w:p>
        </w:tc>
        <w:tc>
          <w:tcPr>
            <w:tcW w:w="545"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subs</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The cost in £ of the customer's Airtime Tariff</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final_data_allowance</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The  allowance domestic data in MB in the last month</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days_from_ced</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Time from contract end date in days. Negative for customers 'in life' and positive for customers out of contract</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no_of_comms_3m</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Number of comms received within the last 3 months </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in_bundle_data_usage_1mth</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The amount of data used in the last  months, where usage is within the customers data allowance</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device_fanboy_group</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Handset loyalty categorisation (e.g. Consistently Apple)</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br/>
            </w:r>
          </w:p>
        </w:tc>
      </w:tr>
      <w:tr>
        <w:trPr>
          <w:trHeight w:val="1" w:hRule="atLeast"/>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plan_cca_ind</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Flag to indicate if it is handset plan which allows customers to purchase handset and spread the cost of it over the time by fix monthly instalments</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billed_revenue</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The total billed ,everything the customer is billed on their invoice .</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age_id_2</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The age of the account holder,  in years</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cycle</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Number of contracts held (in sequence) with O2, if is this their 1st / 2nd / 3rd etc. contract</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85" w:hRule="auto"/>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data_util</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The amount of data allowance utlilisation  the subscriber fall under.</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40" w:hRule="auto"/>
          <w:jc w:val="left"/>
        </w:trPr>
        <w:tc>
          <w:tcPr>
            <w:tcW w:w="2380"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 tenure_months</w:t>
            </w:r>
          </w:p>
        </w:tc>
        <w:tc>
          <w:tcPr>
            <w:tcW w:w="847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The number of months since the customer first joined O2 on Pay-monthly</w:t>
            </w:r>
          </w:p>
        </w:tc>
        <w:tc>
          <w:tcPr>
            <w:tcW w:w="545" w:type="dxa"/>
            <w:tcBorders>
              <w:top w:val="single" w:color="000000" w:sz="0"/>
              <w:left w:val="single" w:color="000000" w:sz="0"/>
              <w:bottom w:val="single" w:color="000000" w:sz="0"/>
              <w:right w:val="single" w:color="000000" w:sz="0"/>
            </w:tcBorders>
            <w:shd w:color="000000" w:fill="ffffff" w:val="clear"/>
            <w:tcMar>
              <w:left w:w="14" w:type="dxa"/>
              <w:right w:w="14"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1"/>
                <w:position w:val="0"/>
                <w:sz w:val="24"/>
                <w:shd w:fill="auto" w:val="clear"/>
              </w:rPr>
              <w:t xml:space="preserve">_date</w:t>
            </w:r>
          </w:p>
        </w:tc>
      </w:tr>
    </w:tbl>
    <w:p>
      <w:pPr>
        <w:spacing w:before="0" w:after="0" w:line="240"/>
        <w:ind w:right="0" w:left="0" w:firstLine="0"/>
        <w:jc w:val="left"/>
        <w:rPr>
          <w:rFonts w:ascii="Times New Roman" w:hAnsi="Times New Roman" w:cs="Times New Roman" w:eastAsia="Times New Roman"/>
          <w:color w:val="auto"/>
          <w:spacing w:val="-1"/>
          <w:position w:val="0"/>
          <w:sz w:val="24"/>
          <w:shd w:fill="auto" w:val="clear"/>
        </w:rPr>
      </w:pPr>
      <w:r>
        <w:rPr>
          <w:rFonts w:ascii="Times New Roman" w:hAnsi="Times New Roman" w:cs="Times New Roman" w:eastAsia="Times New Roman"/>
          <w:color w:val="auto"/>
          <w:spacing w:val="-1"/>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2"/>
          <w:position w:val="0"/>
          <w:sz w:val="32"/>
          <w:shd w:fill="auto" w:val="clear"/>
        </w:rPr>
      </w:pPr>
      <w:r>
        <w:rPr>
          <w:rFonts w:ascii="Times New Roman" w:hAnsi="Times New Roman" w:cs="Times New Roman" w:eastAsia="Times New Roman"/>
          <w:b/>
          <w:color w:val="auto"/>
          <w:spacing w:val="-1"/>
          <w:position w:val="0"/>
          <w:sz w:val="32"/>
          <w:shd w:fill="auto" w:val="clear"/>
        </w:rPr>
        <w:t xml:space="preserve">6</w:t>
      </w:r>
      <w:r>
        <w:rPr>
          <w:rFonts w:ascii="Times New Roman" w:hAnsi="Times New Roman" w:cs="Times New Roman" w:eastAsia="Times New Roman"/>
          <w:b/>
          <w:color w:val="auto"/>
          <w:spacing w:val="-2"/>
          <w:position w:val="0"/>
          <w:sz w:val="32"/>
          <w:shd w:fill="auto" w:val="clear"/>
        </w:rPr>
        <w:t xml:space="preserve">. Limitation</w:t>
      </w:r>
    </w:p>
    <w:p>
      <w:pPr>
        <w:spacing w:before="0" w:after="0" w:line="240"/>
        <w:ind w:right="0" w:left="0" w:firstLine="0"/>
        <w:jc w:val="left"/>
        <w:rPr>
          <w:rFonts w:ascii="Times New Roman" w:hAnsi="Times New Roman" w:cs="Times New Roman" w:eastAsia="Times New Roman"/>
          <w:b/>
          <w:color w:val="auto"/>
          <w:spacing w:val="-2"/>
          <w:position w:val="0"/>
          <w:sz w:val="3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model does have certain caveats and limitations. The volume of available data was limited since we only had access to data from 2022 onwards due to a recent transition to a new data structure. Furthermore, the product typically involves a lengthy customer journey, with a trial period ranging from 3 to 6 months. Ideally, it would be beneficial to also consider a minimum of 6 months of payment data, as this period represents a profitable window. However, we did not have sufficient data to achieve this.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2"/>
          <w:position w:val="0"/>
          <w:sz w:val="32"/>
          <w:shd w:fill="auto" w:val="clear"/>
        </w:rPr>
      </w:pPr>
      <w:r>
        <w:rPr>
          <w:rFonts w:ascii="Times New Roman" w:hAnsi="Times New Roman" w:cs="Times New Roman" w:eastAsia="Times New Roman"/>
          <w:b/>
          <w:color w:val="auto"/>
          <w:spacing w:val="-1"/>
          <w:position w:val="0"/>
          <w:sz w:val="32"/>
          <w:shd w:fill="auto" w:val="clear"/>
        </w:rPr>
        <w:t xml:space="preserve">7</w:t>
      </w:r>
      <w:r>
        <w:rPr>
          <w:rFonts w:ascii="Times New Roman" w:hAnsi="Times New Roman" w:cs="Times New Roman" w:eastAsia="Times New Roman"/>
          <w:b/>
          <w:color w:val="auto"/>
          <w:spacing w:val="-2"/>
          <w:position w:val="0"/>
          <w:sz w:val="32"/>
          <w:shd w:fill="auto" w:val="clear"/>
        </w:rPr>
        <w:t xml:space="preserve">. Trade -Offs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Volume Limitations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model's performance is constrained by the limited volume of available data. Since the data only spans from 2022 onwards , the model may not capture longer-term trends and behaviors that could be crucial for accurate predictions.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Journey Complexity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product's customer journey involves a free trial period ranging from 3 to 6 months. This extended trial period means that the model must account for various customer behaviors and interactions before conversion to a paid subscription. The limited data available may not sufficiently represent the diverse range of customer experiences during the trial period, potentially affecting the model's accuracy.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Profitability Window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Ideally, the model would incorporate at least 6 months of payment data to capture a profitable window accurately. This extended period would allow the model to identify patterns and trends associated with long-term subscriber retention and profitability. However, the current dataset does not provide enough information to include this critical timeframe, which may limit the model's effectiveness in predicting continued payments.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trade-offs highlight the importance of ongoing data collection and model refinement. As more data becomes available over time, particularly regarding long-term subscriber behavior and post-trial conversion, the model's accuracy and reliability are expected to improve.</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6">
    <w:abstractNumId w:val="72"/>
  </w:num>
  <w:num w:numId="8">
    <w:abstractNumId w:val="66"/>
  </w:num>
  <w:num w:numId="10">
    <w:abstractNumId w:val="60"/>
  </w:num>
  <w:num w:numId="12">
    <w:abstractNumId w:val="54"/>
  </w:num>
  <w:num w:numId="14">
    <w:abstractNumId w:val="48"/>
  </w:num>
  <w:num w:numId="20">
    <w:abstractNumId w:val="42"/>
  </w:num>
  <w:num w:numId="27">
    <w:abstractNumId w:val="36"/>
  </w:num>
  <w:num w:numId="33">
    <w:abstractNumId w:val="30"/>
  </w:num>
  <w:num w:numId="62">
    <w:abstractNumId w:val="24"/>
  </w:num>
  <w:num w:numId="64">
    <w:abstractNumId w:val="18"/>
  </w:num>
  <w:num w:numId="66">
    <w:abstractNumId w:val="12"/>
  </w:num>
  <w:num w:numId="68">
    <w:abstractNumId w:val="6"/>
  </w:num>
  <w:num w:numId="7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3" Type="http://schemas.openxmlformats.org/officeDocument/2006/relationships/styles"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numbering.xml" Id="docRId12"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s>
</file>