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前置用户行为：用户选购商品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后置数据处理：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：按照时间管理、按照店铺分类、如何计算金额、优惠信息（满减、优惠可否重复、是否使用优惠券、满减优惠如何计算）、支付选择、物流发货（在同一个商家处买的商品，拆分成多个包裹发货，需要收多次运费吗）、多件商品享受满减优惠，将其中一件退货如何处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其他：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购物车：判断数量是否大于库存；用户是否登录；如何防止重复提交；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表结构关系设计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商家和商品如何关联？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如我们之前讨论，要给每个商家自由编写属性的机会，以供商家选择，但是，这些属性不同商家是编写在同一个表中？还是每个商家一个表？如果是写在同一个表中，则模式的多少是个问题，而且肯定会有大量空值；如果写在不同表中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96A00"/>
    <w:multiLevelType w:val="singleLevel"/>
    <w:tmpl w:val="C3496A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F5DB2"/>
    <w:rsid w:val="3DB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2020-06-02T09:30:00Z</dcterms:created>
  <dc:creator>希望能飞</dc:creator>
  <cp:lastModifiedBy>希望能飞</cp:lastModifiedBy>
  <dcterms:modified xsi:type="dcterms:W3CDTF">2020-06-02T09:33:08Z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