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CA04C8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>BUSCACARGA</w:t>
      </w: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3E7389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  <w:vAlign w:val="center"/>
          </w:tcPr>
          <w:p w:rsidR="00817D99" w:rsidRPr="003E7389" w:rsidRDefault="00817D99" w:rsidP="0076721B">
            <w:pPr>
              <w:spacing w:line="276" w:lineRule="auto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76721B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817D99" w:rsidRPr="003E7389" w:rsidRDefault="0076721B" w:rsidP="0076721B">
            <w:pPr>
              <w:spacing w:line="276" w:lineRule="auto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USHIP Company</w:t>
            </w:r>
          </w:p>
        </w:tc>
      </w:tr>
      <w:tr w:rsidR="003E7389" w:rsidRPr="003E7389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  <w:vAlign w:val="center"/>
          </w:tcPr>
          <w:p w:rsidR="003E7389" w:rsidRPr="003E7389" w:rsidRDefault="0076721B" w:rsidP="0076721B">
            <w:pPr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76721B">
              <w:rPr>
                <w:rFonts w:asciiTheme="majorHAnsi" w:eastAsia="Libre Baskerville" w:hAnsiTheme="majorHAnsi" w:cstheme="majorHAnsi"/>
                <w:sz w:val="24"/>
                <w:szCs w:val="24"/>
              </w:rPr>
              <w:t>https://about.uship.com/</w:t>
            </w:r>
          </w:p>
        </w:tc>
      </w:tr>
      <w:tr w:rsidR="003E7389" w:rsidRPr="003E7389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  <w:vAlign w:val="center"/>
          </w:tcPr>
          <w:p w:rsidR="003E7389" w:rsidRPr="003E7389" w:rsidRDefault="00430435" w:rsidP="0076721B">
            <w:pPr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Transporte.</w:t>
            </w:r>
          </w:p>
        </w:tc>
      </w:tr>
      <w:tr w:rsidR="00817D99" w:rsidRPr="003E7389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  <w:vAlign w:val="center"/>
          </w:tcPr>
          <w:p w:rsidR="00817D99" w:rsidRPr="003E7389" w:rsidRDefault="00430435" w:rsidP="0076721B">
            <w:pPr>
              <w:spacing w:line="276" w:lineRule="auto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817D99" w:rsidRPr="003E7389" w:rsidTr="00007C63">
        <w:trPr>
          <w:trHeight w:val="87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  <w:vAlign w:val="center"/>
          </w:tcPr>
          <w:p w:rsidR="00817D99" w:rsidRPr="003E7389" w:rsidRDefault="0076721B" w:rsidP="0076721B">
            <w:pPr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 de carga en Colombia</w:t>
            </w:r>
          </w:p>
        </w:tc>
      </w:tr>
      <w:tr w:rsidR="003E7389" w:rsidRPr="00130155" w:rsidTr="00007C63">
        <w:trPr>
          <w:trHeight w:val="1073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EF4B3E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  <w:vAlign w:val="bottom"/>
          </w:tcPr>
          <w:p w:rsidR="003E7389" w:rsidRDefault="00430435" w:rsidP="0076721B">
            <w:pP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</w:t>
            </w: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  <w:lang w:val="es-419"/>
              </w:rPr>
              <w:t xml:space="preserve"> transportador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</w:t>
            </w: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  <w:lang w:val="es-419"/>
              </w:rPr>
              <w:t xml:space="preserve"> remitente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carga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flete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camioneros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flete</w:t>
            </w:r>
            <w:proofErr w:type="spellEnd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reservas</w:t>
            </w:r>
            <w:proofErr w:type="spellEnd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envios</w:t>
            </w:r>
            <w:proofErr w:type="spellEnd"/>
            <w:r w:rsidR="007672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76721B" w:rsidRPr="00D93F10" w:rsidRDefault="0076721B" w:rsidP="0076721B">
            <w:pP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007C63">
        <w:trPr>
          <w:trHeight w:val="71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  <w:vAlign w:val="center"/>
          </w:tcPr>
          <w:p w:rsidR="00817D99" w:rsidRDefault="00430435" w:rsidP="00007C63">
            <w:pP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Cristian J.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Ropero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(SENA)</w:t>
            </w:r>
          </w:p>
          <w:p w:rsidR="00430435" w:rsidRPr="00006CB0" w:rsidRDefault="00430435" w:rsidP="00007C63">
            <w:pPr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Pedro Rojas (SENA)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76721B" w:rsidRDefault="0076721B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:rsidR="00007C63" w:rsidRPr="007C406D" w:rsidRDefault="00007C63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En Colombia el panorama el sector de transporte ha enfrentado tiempos de incertidumbre, principalmente por la </w:t>
            </w:r>
            <w:r w:rsidR="007C406D"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situación</w:t>
            </w:r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politico-economíca</w:t>
            </w:r>
            <w:proofErr w:type="spellEnd"/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de Venezuela, </w:t>
            </w:r>
            <w:r w:rsidR="007C406D"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además</w:t>
            </w:r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de otros factores que han afectado la </w:t>
            </w:r>
            <w:r w:rsidR="007C406D"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economía</w:t>
            </w:r>
            <w:r w:rsidRP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 general en el país. </w:t>
            </w:r>
          </w:p>
          <w:p w:rsidR="00817D99" w:rsidRPr="001F224F" w:rsidRDefault="00007C63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En cuanto al futuro según los empresarios </w:t>
            </w:r>
            <w:r w:rsidR="00CA04C8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en el sector de transporte </w:t>
            </w: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de las </w:t>
            </w:r>
            <w:r w:rsidR="00EF4B3E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compañías más</w:t>
            </w:r>
            <w:r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importantes del país </w:t>
            </w:r>
            <w:r w:rsidR="00CA04C8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se muestran optimistas, gracias al pequeño repunte que tuvo el sector de </w:t>
            </w:r>
            <w:r w:rsidR="00EF4B3E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importación</w:t>
            </w:r>
            <w:r w:rsidR="00CA04C8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 </w:t>
            </w:r>
            <w:r w:rsidR="00EF4B3E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vehículos</w:t>
            </w:r>
            <w:r w:rsidR="00CA04C8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nuevos para ensamblaje, </w:t>
            </w:r>
            <w:r w:rsidR="00EF4B3E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más</w:t>
            </w:r>
            <w:r w:rsidR="00CA04C8" w:rsidRP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sin embargo la reforma tributaria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3E7389" w:rsidRDefault="00CA04C8" w:rsidP="0000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Esta investigación se lleva acabo con el objetivo de identificar e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l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 contexto 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en 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el 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que 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problema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 se encuentra en la actualidad del país, el cual nos permitirá identificar múltiples factores </w:t>
            </w:r>
            <w:r w:rsidR="007C406D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como oportunidades de negocio 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que </w:t>
            </w:r>
            <w:r w:rsidR="007C406D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influirían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7C406D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en </w:t>
            </w:r>
            <w:r w:rsidR="00EF4B3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el desarrollo de la solución propuesta.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INSTRUMENTOS UTILIZADOS</w:t>
            </w:r>
          </w:p>
        </w:tc>
        <w:tc>
          <w:tcPr>
            <w:tcW w:w="6804" w:type="dxa"/>
          </w:tcPr>
          <w:p w:rsidR="00817D99" w:rsidRPr="003E7389" w:rsidRDefault="00EF4B3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Consulta entrevistas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3E7389" w:rsidRDefault="00F62F22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Redacción de un documento </w:t>
            </w:r>
            <w:r w:rsidR="00C96837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sobre </w:t>
            </w:r>
            <w:r w:rsid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transporte en la actualidad y a futuro en Colombia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partiendo de </w:t>
            </w:r>
            <w:r w:rsidR="00A968CC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las generalidades </w:t>
            </w:r>
            <w:r w:rsidR="00EF4B3E">
              <w:rPr>
                <w:rFonts w:asciiTheme="majorHAnsi" w:eastAsia="Libre Baskerville" w:hAnsiTheme="majorHAnsi" w:cstheme="majorHAnsi"/>
                <w:sz w:val="24"/>
                <w:szCs w:val="24"/>
              </w:rPr>
              <w:t>en cuanto a la visión de los empresarios más relevantes del sector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</w:t>
            </w:r>
            <w:r w:rsidR="00C96837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y finalizar con la ejemplificación de un caso empresarial 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con similitudes a la solución a desarrollar</w:t>
            </w:r>
            <w:r w:rsidR="00C96837">
              <w:rPr>
                <w:rFonts w:asciiTheme="majorHAnsi" w:eastAsia="Libre Baskerville" w:hAnsiTheme="majorHAnsi" w:cstheme="majorHAnsi"/>
                <w:sz w:val="24"/>
                <w:szCs w:val="24"/>
              </w:rPr>
              <w:t>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17D99" w:rsidRPr="003E7389" w:rsidRDefault="00130155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Personas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 Colombia del común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interesadas en 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el envío de cualquier carga, transportadores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y 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empresarios del sector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abarca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ndo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principalmente la perspectiva financiera 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actual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y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a futuro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. Genera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ndo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un contexto informativo sobre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él transporte en el país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, considerando sus principales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falencias y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</w:t>
            </w:r>
            <w:r w:rsidR="007C406D">
              <w:rPr>
                <w:rFonts w:asciiTheme="majorHAnsi" w:eastAsia="Libre Baskerville" w:hAnsiTheme="majorHAnsi" w:cstheme="majorHAnsi"/>
                <w:sz w:val="24"/>
                <w:szCs w:val="24"/>
              </w:rPr>
              <w:t>puntos fuertes.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17D99" w:rsidRPr="001A6A2A" w:rsidRDefault="007C406D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Se concluye que el futuro de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20521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Negocios mercantiles: empresas tecnológicas o con sistemas de implementación tecnológica que busquen un procedimiento de negociación nuevo: </w:t>
            </w:r>
            <w:r w:rsidR="00E53F94">
              <w:rPr>
                <w:rFonts w:asciiTheme="majorHAnsi" w:eastAsia="Libre Baskerville" w:hAnsiTheme="majorHAnsi" w:cstheme="majorHAnsi"/>
                <w:sz w:val="24"/>
                <w:szCs w:val="24"/>
              </w:rPr>
              <w:t>personas interesadas en el área tecnológica, principalmente con software, redes y programación.</w:t>
            </w:r>
          </w:p>
        </w:tc>
      </w:tr>
      <w:tr w:rsidR="00817D99" w:rsidRPr="007C406D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817D99" w:rsidRPr="00006CB0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Borenstein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Joram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 “A Risk- Based View of Why Banks Are Experimenting with Bitcoin and the Blockchain.” Spotlight on Risk Technology.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N.p.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 18 Sept. 2015. Web. 03 May 2016.</w:t>
            </w:r>
          </w:p>
          <w:p w:rsidR="00A0714B" w:rsidRPr="00006CB0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“Why NASDAQ Private Mar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 xml:space="preserve">ket.” Nasdaq Private Market |.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N.p.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 n.d. Web. 03 May 2016.</w:t>
            </w:r>
          </w:p>
          <w:p w:rsidR="00A0714B" w:rsidRPr="00006CB0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Lee, Timothy B. “Bitcoin’s Value Is Surging. Here Are 5 Charts on the Growing Bitcoin Economy.” Vox.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N.p.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03 Nov. 2015. Web. 03 May 2016. </w:t>
            </w:r>
          </w:p>
          <w:p w:rsidR="00A0714B" w:rsidRPr="00A0714B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Rivera, Janessa. “Gartner’s 2015 Hype Cycle for Emerging Tech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>nologies Identifies the Computing Innovations That Organizations Should Monitor.” Gartner’s 2015 Hype Cycle for Emerging Tech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 xml:space="preserve">nologies Identifies the Computing Innovations That Organizations Should Monitor. </w:t>
            </w:r>
            <w:proofErr w:type="spellStart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N.p</w:t>
            </w:r>
            <w:proofErr w:type="spellEnd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., 18 </w:t>
            </w:r>
            <w:proofErr w:type="spellStart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Aug</w:t>
            </w:r>
            <w:proofErr w:type="spellEnd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. 2015. Web. 03 May 2016.</w:t>
            </w:r>
            <w:bookmarkStart w:id="0" w:name="_GoBack"/>
            <w:bookmarkEnd w:id="0"/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3E7389" w:rsidRDefault="00FF771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Información detallada y completa sobre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Blockchain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considerada desde un punto de vista diferente al haber sido escrita con enfoque científico, pero de fácil comprensión: </w:t>
            </w:r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desarrollo del tema que facilita el entendimiento de </w:t>
            </w:r>
            <w:proofErr w:type="spellStart"/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>Blockchain</w:t>
            </w:r>
            <w:proofErr w:type="spellEnd"/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por medio de términos concretos.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99"/>
    <w:rsid w:val="00006CB0"/>
    <w:rsid w:val="00007C63"/>
    <w:rsid w:val="0009197F"/>
    <w:rsid w:val="00130155"/>
    <w:rsid w:val="001A6A2A"/>
    <w:rsid w:val="001E1FF5"/>
    <w:rsid w:val="001F224F"/>
    <w:rsid w:val="00205217"/>
    <w:rsid w:val="003E7389"/>
    <w:rsid w:val="00430435"/>
    <w:rsid w:val="0054457A"/>
    <w:rsid w:val="0076721B"/>
    <w:rsid w:val="007C406D"/>
    <w:rsid w:val="00817D99"/>
    <w:rsid w:val="00A01B4B"/>
    <w:rsid w:val="00A0714B"/>
    <w:rsid w:val="00A968CC"/>
    <w:rsid w:val="00C96837"/>
    <w:rsid w:val="00CA04C8"/>
    <w:rsid w:val="00D21847"/>
    <w:rsid w:val="00D93F10"/>
    <w:rsid w:val="00DB38F8"/>
    <w:rsid w:val="00E53F94"/>
    <w:rsid w:val="00EB0969"/>
    <w:rsid w:val="00EF4B3E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786B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5D0D60-28C4-45E0-BF3F-E886D261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2</cp:revision>
  <dcterms:created xsi:type="dcterms:W3CDTF">2019-05-23T01:26:00Z</dcterms:created>
  <dcterms:modified xsi:type="dcterms:W3CDTF">2019-05-23T01:26:00Z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