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D99" w:rsidRPr="008805BF" w:rsidRDefault="00817D99">
      <w:pPr>
        <w:jc w:val="both"/>
        <w:rPr>
          <w:rFonts w:ascii="Arial" w:eastAsia="Libre Baskerville" w:hAnsi="Arial" w:cs="Arial"/>
          <w:sz w:val="24"/>
          <w:szCs w:val="24"/>
        </w:rPr>
      </w:pPr>
    </w:p>
    <w:p w:rsidR="00817D99" w:rsidRPr="008805BF" w:rsidRDefault="00CA04C8" w:rsidP="003E7389">
      <w:pPr>
        <w:jc w:val="center"/>
        <w:rPr>
          <w:rFonts w:ascii="Arial" w:eastAsia="Libre Baskerville" w:hAnsi="Arial" w:cs="Arial"/>
          <w:b/>
          <w:sz w:val="24"/>
          <w:szCs w:val="24"/>
          <w:u w:val="single"/>
        </w:rPr>
      </w:pPr>
      <w:r w:rsidRPr="008805BF">
        <w:rPr>
          <w:rFonts w:ascii="Arial" w:eastAsia="Libre Baskerville" w:hAnsi="Arial" w:cs="Arial"/>
          <w:b/>
          <w:sz w:val="24"/>
          <w:szCs w:val="24"/>
        </w:rPr>
        <w:t>BUSCACARGA</w:t>
      </w:r>
    </w:p>
    <w:p w:rsidR="00817D99" w:rsidRPr="008805BF" w:rsidRDefault="003E7389" w:rsidP="003E7389">
      <w:pPr>
        <w:jc w:val="center"/>
        <w:rPr>
          <w:rFonts w:ascii="Arial" w:eastAsia="Libre Baskerville" w:hAnsi="Arial" w:cs="Arial"/>
          <w:b/>
          <w:sz w:val="24"/>
          <w:szCs w:val="24"/>
        </w:rPr>
      </w:pPr>
      <w:r w:rsidRPr="008805BF">
        <w:rPr>
          <w:rFonts w:ascii="Arial" w:eastAsia="Libre Baskerville" w:hAnsi="Arial" w:cs="Arial"/>
          <w:b/>
          <w:sz w:val="24"/>
          <w:szCs w:val="24"/>
        </w:rPr>
        <w:t>RAI. Resumen Analítico de Investigación.</w:t>
      </w:r>
    </w:p>
    <w:tbl>
      <w:tblPr>
        <w:tblStyle w:val="a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89"/>
        <w:gridCol w:w="6804"/>
      </w:tblGrid>
      <w:tr w:rsidR="00817D99" w:rsidRPr="008805BF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FICHA TÉCNICA</w:t>
            </w:r>
          </w:p>
        </w:tc>
        <w:tc>
          <w:tcPr>
            <w:tcW w:w="6804" w:type="dxa"/>
            <w:vAlign w:val="center"/>
          </w:tcPr>
          <w:p w:rsidR="00817D99" w:rsidRPr="008805BF" w:rsidRDefault="00817D99" w:rsidP="0076721B">
            <w:pPr>
              <w:spacing w:line="276" w:lineRule="auto"/>
              <w:rPr>
                <w:rFonts w:ascii="Arial" w:eastAsia="Libre Baskerville" w:hAnsi="Arial" w:cs="Arial"/>
                <w:sz w:val="24"/>
                <w:szCs w:val="24"/>
              </w:rPr>
            </w:pPr>
          </w:p>
        </w:tc>
      </w:tr>
      <w:tr w:rsidR="00817D99" w:rsidRPr="008805BF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76721B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 xml:space="preserve">NOMBRE DE LA INSTITUCIÓN </w:t>
            </w:r>
          </w:p>
        </w:tc>
        <w:tc>
          <w:tcPr>
            <w:tcW w:w="6804" w:type="dxa"/>
            <w:vAlign w:val="center"/>
          </w:tcPr>
          <w:p w:rsidR="00817D99" w:rsidRPr="008805BF" w:rsidRDefault="008805BF" w:rsidP="0076721B">
            <w:pPr>
              <w:spacing w:line="276" w:lineRule="auto"/>
              <w:rPr>
                <w:rFonts w:ascii="Arial" w:eastAsia="Libre Baskerville" w:hAnsi="Arial" w:cs="Arial"/>
                <w:sz w:val="24"/>
                <w:szCs w:val="24"/>
              </w:rPr>
            </w:pPr>
            <w:r>
              <w:rPr>
                <w:rFonts w:ascii="Arial" w:eastAsia="Libre Baskerville" w:hAnsi="Arial" w:cs="Arial"/>
                <w:sz w:val="24"/>
                <w:szCs w:val="24"/>
              </w:rPr>
              <w:t xml:space="preserve">Revista Dinero &amp; </w:t>
            </w:r>
            <w:r w:rsidR="0076721B" w:rsidRPr="008805BF">
              <w:rPr>
                <w:rFonts w:ascii="Arial" w:eastAsia="Libre Baskerville" w:hAnsi="Arial" w:cs="Arial"/>
                <w:sz w:val="24"/>
                <w:szCs w:val="24"/>
              </w:rPr>
              <w:t>USHIP Company</w:t>
            </w:r>
            <w:r>
              <w:rPr>
                <w:rFonts w:ascii="Arial" w:eastAsia="Libre Baskerville" w:hAnsi="Arial" w:cs="Arial"/>
                <w:sz w:val="24"/>
                <w:szCs w:val="24"/>
              </w:rPr>
              <w:t>.</w:t>
            </w:r>
          </w:p>
        </w:tc>
      </w:tr>
      <w:tr w:rsidR="003E7389" w:rsidRPr="008805BF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8805BF" w:rsidRDefault="003E7389" w:rsidP="003E7389">
            <w:pPr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ENLACE DE LA BÚSQUEDA</w:t>
            </w:r>
          </w:p>
        </w:tc>
        <w:tc>
          <w:tcPr>
            <w:tcW w:w="6804" w:type="dxa"/>
            <w:vAlign w:val="center"/>
          </w:tcPr>
          <w:p w:rsidR="008805BF" w:rsidRDefault="008805BF" w:rsidP="0076721B">
            <w:pPr>
              <w:rPr>
                <w:rFonts w:ascii="Arial" w:eastAsia="Libre Baskerville" w:hAnsi="Arial" w:cs="Arial"/>
                <w:b/>
                <w:i/>
                <w:sz w:val="24"/>
                <w:szCs w:val="24"/>
              </w:rPr>
            </w:pPr>
          </w:p>
          <w:p w:rsidR="008805BF" w:rsidRPr="008805BF" w:rsidRDefault="008805BF" w:rsidP="0076721B">
            <w:pPr>
              <w:rPr>
                <w:rFonts w:ascii="Arial" w:eastAsia="Libre Baskerville" w:hAnsi="Arial" w:cs="Arial"/>
                <w:i/>
                <w:sz w:val="24"/>
                <w:szCs w:val="24"/>
              </w:rPr>
            </w:pPr>
            <w:hyperlink r:id="rId6" w:history="1">
              <w:r w:rsidRPr="008805BF">
                <w:rPr>
                  <w:rStyle w:val="Hipervnculo"/>
                  <w:rFonts w:ascii="Arial" w:eastAsia="Libre Baskerville" w:hAnsi="Arial" w:cs="Arial"/>
                  <w:i/>
                  <w:sz w:val="24"/>
                  <w:szCs w:val="24"/>
                </w:rPr>
                <w:t>https://www.dinero.com/empresas/articulo/futuro-del-transporte-de-carga-por-carretera-en-colombia-2019/264786</w:t>
              </w:r>
            </w:hyperlink>
          </w:p>
          <w:p w:rsidR="008805BF" w:rsidRPr="008805BF" w:rsidRDefault="008805BF" w:rsidP="0076721B">
            <w:pPr>
              <w:rPr>
                <w:rFonts w:ascii="Arial" w:eastAsia="Libre Baskerville" w:hAnsi="Arial" w:cs="Arial"/>
                <w:i/>
                <w:sz w:val="24"/>
                <w:szCs w:val="24"/>
              </w:rPr>
            </w:pPr>
          </w:p>
          <w:p w:rsidR="008805BF" w:rsidRPr="008805BF" w:rsidRDefault="008805BF" w:rsidP="008805BF">
            <w:pPr>
              <w:rPr>
                <w:rFonts w:ascii="Arial" w:eastAsia="Libre Baskerville" w:hAnsi="Arial" w:cs="Arial"/>
                <w:sz w:val="24"/>
                <w:szCs w:val="24"/>
                <w:u w:val="single"/>
              </w:rPr>
            </w:pPr>
            <w:hyperlink r:id="rId7" w:history="1">
              <w:r w:rsidRPr="008805BF">
                <w:rPr>
                  <w:rStyle w:val="Hipervnculo"/>
                  <w:rFonts w:ascii="Arial" w:eastAsia="Libre Baskerville" w:hAnsi="Arial" w:cs="Arial"/>
                  <w:i/>
                  <w:sz w:val="24"/>
                  <w:szCs w:val="24"/>
                </w:rPr>
                <w:t>https://about.uship.com/</w:t>
              </w:r>
            </w:hyperlink>
          </w:p>
          <w:p w:rsidR="008805BF" w:rsidRPr="008805BF" w:rsidRDefault="008805BF" w:rsidP="008805BF">
            <w:pPr>
              <w:rPr>
                <w:rFonts w:ascii="Arial" w:eastAsia="Libre Baskerville" w:hAnsi="Arial" w:cs="Arial"/>
                <w:sz w:val="24"/>
                <w:szCs w:val="24"/>
              </w:rPr>
            </w:pPr>
          </w:p>
        </w:tc>
      </w:tr>
      <w:tr w:rsidR="003E7389" w:rsidRPr="008805BF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8805BF" w:rsidRDefault="003E7389" w:rsidP="003E7389">
            <w:pPr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PALABRAS CLAVE DE LA BÚSQUEDA</w:t>
            </w:r>
          </w:p>
        </w:tc>
        <w:tc>
          <w:tcPr>
            <w:tcW w:w="6804" w:type="dxa"/>
            <w:vAlign w:val="center"/>
          </w:tcPr>
          <w:p w:rsidR="003E7389" w:rsidRPr="008805BF" w:rsidRDefault="00430435" w:rsidP="0076721B">
            <w:pPr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Transporte.</w:t>
            </w:r>
          </w:p>
        </w:tc>
      </w:tr>
      <w:tr w:rsidR="00817D99" w:rsidRPr="008805BF" w:rsidTr="0076721B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AÑO DE LA INVESTIGACIÓN</w:t>
            </w:r>
          </w:p>
        </w:tc>
        <w:tc>
          <w:tcPr>
            <w:tcW w:w="6804" w:type="dxa"/>
            <w:vAlign w:val="center"/>
          </w:tcPr>
          <w:p w:rsidR="00817D99" w:rsidRPr="008805BF" w:rsidRDefault="00430435" w:rsidP="0076721B">
            <w:pPr>
              <w:spacing w:line="276" w:lineRule="auto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2019</w:t>
            </w:r>
          </w:p>
        </w:tc>
      </w:tr>
      <w:tr w:rsidR="00817D99" w:rsidRPr="008805BF" w:rsidTr="00007C63">
        <w:trPr>
          <w:trHeight w:val="87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TÍTULO DE LA INVESTIGACIÓN</w:t>
            </w:r>
          </w:p>
        </w:tc>
        <w:tc>
          <w:tcPr>
            <w:tcW w:w="6804" w:type="dxa"/>
            <w:vAlign w:val="center"/>
          </w:tcPr>
          <w:p w:rsidR="00817D99" w:rsidRPr="008805BF" w:rsidRDefault="0076721B" w:rsidP="0076721B">
            <w:pPr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Transporte de carga en Colombia</w:t>
            </w:r>
            <w:r w:rsidR="008805BF">
              <w:rPr>
                <w:rFonts w:ascii="Arial" w:eastAsia="Libre Baskerville" w:hAnsi="Arial" w:cs="Arial"/>
                <w:sz w:val="24"/>
                <w:szCs w:val="24"/>
              </w:rPr>
              <w:t xml:space="preserve"> y herramientas asociadas.</w:t>
            </w:r>
          </w:p>
        </w:tc>
      </w:tr>
      <w:tr w:rsidR="003E7389" w:rsidRPr="008805BF" w:rsidTr="00007C63">
        <w:trPr>
          <w:trHeight w:val="1073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3E7389" w:rsidRPr="008805BF" w:rsidRDefault="003E7389" w:rsidP="003E7389">
            <w:pPr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PALABRAS CLAVE</w:t>
            </w:r>
          </w:p>
        </w:tc>
        <w:tc>
          <w:tcPr>
            <w:tcW w:w="6804" w:type="dxa"/>
            <w:vAlign w:val="bottom"/>
          </w:tcPr>
          <w:p w:rsidR="003E7389" w:rsidRPr="008805BF" w:rsidRDefault="00430435" w:rsidP="0076721B">
            <w:pPr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Transporte, transportador, remitente, carga, flete, camioneros, </w:t>
            </w:r>
            <w:r w:rsidR="0076721B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flete, reservas, </w:t>
            </w:r>
            <w:r w:rsidR="008805BF" w:rsidRPr="008805BF">
              <w:rPr>
                <w:rFonts w:ascii="Arial" w:eastAsia="Libre Baskerville" w:hAnsi="Arial" w:cs="Arial"/>
                <w:sz w:val="24"/>
                <w:szCs w:val="24"/>
              </w:rPr>
              <w:t>envíos</w:t>
            </w:r>
            <w:r w:rsidR="0076721B" w:rsidRPr="008805BF">
              <w:rPr>
                <w:rFonts w:ascii="Arial" w:eastAsia="Libre Baskerville" w:hAnsi="Arial" w:cs="Arial"/>
                <w:sz w:val="24"/>
                <w:szCs w:val="24"/>
              </w:rPr>
              <w:t>.</w:t>
            </w:r>
          </w:p>
          <w:p w:rsidR="0076721B" w:rsidRPr="008805BF" w:rsidRDefault="0076721B" w:rsidP="0076721B">
            <w:pPr>
              <w:rPr>
                <w:rFonts w:ascii="Arial" w:eastAsia="Libre Baskerville" w:hAnsi="Arial" w:cs="Arial"/>
                <w:sz w:val="24"/>
                <w:szCs w:val="24"/>
              </w:rPr>
            </w:pPr>
          </w:p>
        </w:tc>
      </w:tr>
      <w:tr w:rsidR="00817D99" w:rsidRPr="008805BF" w:rsidTr="00007C63">
        <w:trPr>
          <w:trHeight w:val="715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6804" w:type="dxa"/>
            <w:vAlign w:val="center"/>
          </w:tcPr>
          <w:p w:rsidR="00430435" w:rsidRPr="008805BF" w:rsidRDefault="00430435" w:rsidP="008805BF">
            <w:pPr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Cristian J</w:t>
            </w:r>
            <w:r w:rsidR="008805BF">
              <w:rPr>
                <w:rFonts w:ascii="Arial" w:eastAsia="Libre Baskerville" w:hAnsi="Arial" w:cs="Arial"/>
                <w:sz w:val="24"/>
                <w:szCs w:val="24"/>
              </w:rPr>
              <w:t>avier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Ropero (SENA)</w:t>
            </w:r>
            <w:r w:rsidR="008805BF">
              <w:rPr>
                <w:rFonts w:ascii="Arial" w:eastAsia="Libre Baskerville" w:hAnsi="Arial" w:cs="Arial"/>
                <w:sz w:val="24"/>
                <w:szCs w:val="24"/>
              </w:rPr>
              <w:t xml:space="preserve"> @cjropero.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RESUMEN DE LA INVESTIGACIÓN</w:t>
            </w:r>
          </w:p>
        </w:tc>
        <w:tc>
          <w:tcPr>
            <w:tcW w:w="6804" w:type="dxa"/>
          </w:tcPr>
          <w:p w:rsidR="0076721B" w:rsidRPr="008805BF" w:rsidRDefault="0076721B" w:rsidP="001F224F">
            <w:pPr>
              <w:jc w:val="both"/>
              <w:rPr>
                <w:rFonts w:ascii="Arial" w:eastAsia="Libre Baskerville" w:hAnsi="Arial" w:cs="Arial"/>
                <w:color w:val="000000"/>
                <w:sz w:val="24"/>
                <w:szCs w:val="24"/>
              </w:rPr>
            </w:pPr>
          </w:p>
          <w:p w:rsidR="00007C63" w:rsidRPr="008805BF" w:rsidRDefault="00007C63" w:rsidP="001F224F">
            <w:pPr>
              <w:spacing w:after="200"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En Colombia el panorama el sector de transporte ha enfrentado tiempos de incertidumbre, principalmente por la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situación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politico-economíca de Venezuela,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además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de otros factores que han afectado la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economía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en general en el país. </w:t>
            </w:r>
          </w:p>
          <w:p w:rsidR="00817D99" w:rsidRPr="008805BF" w:rsidRDefault="00007C63" w:rsidP="001F224F">
            <w:pPr>
              <w:spacing w:after="200"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En cuanto al futuro según los empresarios </w:t>
            </w:r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en el sector de transporte 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de las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compañías más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importantes del país </w:t>
            </w:r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se muestran optimistas, gracias al pequeño repunte que tuvo el sector de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importación</w:t>
            </w:r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en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vehículos</w:t>
            </w:r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nue</w:t>
            </w:r>
            <w:bookmarkStart w:id="0" w:name="_GoBack"/>
            <w:bookmarkEnd w:id="0"/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vos para ensamblaje,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más</w:t>
            </w:r>
            <w:r w:rsidR="00CA04C8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sin embargo la reforma tributaria</w:t>
            </w:r>
          </w:p>
        </w:tc>
      </w:tr>
      <w:tr w:rsidR="00817D99" w:rsidRPr="008805BF" w:rsidTr="008805BF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6804" w:type="dxa"/>
            <w:vAlign w:val="center"/>
          </w:tcPr>
          <w:p w:rsidR="00817D99" w:rsidRPr="008805BF" w:rsidRDefault="00CA04C8" w:rsidP="008805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Libre Baskerville" w:hAnsi="Arial" w:cs="Arial"/>
                <w:color w:val="000000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>Esta investigación se lleva acabo con el objetivo de identificar e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>l</w:t>
            </w:r>
            <w:r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 contexto 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en </w:t>
            </w:r>
            <w:r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el 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que </w:t>
            </w:r>
            <w:r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>problema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 se encuentra en la actualidad del país, el cual nos permitirá identificar múltiples factores </w:t>
            </w:r>
            <w:r w:rsidR="007C406D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lastRenderedPageBreak/>
              <w:t xml:space="preserve">como oportunidades de negocio 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que </w:t>
            </w:r>
            <w:r w:rsidR="007C406D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>influirían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 </w:t>
            </w:r>
            <w:r w:rsidR="007C406D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 xml:space="preserve">en </w:t>
            </w:r>
            <w:r w:rsidR="00EF4B3E" w:rsidRPr="008805BF">
              <w:rPr>
                <w:rFonts w:ascii="Arial" w:eastAsia="Libre Baskerville" w:hAnsi="Arial" w:cs="Arial"/>
                <w:color w:val="000000"/>
                <w:sz w:val="24"/>
                <w:szCs w:val="24"/>
              </w:rPr>
              <w:t>el desarrollo de la solución propuesta.</w:t>
            </w:r>
          </w:p>
        </w:tc>
      </w:tr>
      <w:tr w:rsidR="00817D99" w:rsidRPr="008805BF" w:rsidTr="008805BF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lastRenderedPageBreak/>
              <w:t>INSTRUMENTOS UTILIZADOS</w:t>
            </w:r>
          </w:p>
        </w:tc>
        <w:tc>
          <w:tcPr>
            <w:tcW w:w="6804" w:type="dxa"/>
            <w:vAlign w:val="center"/>
          </w:tcPr>
          <w:p w:rsidR="00817D99" w:rsidRPr="008805BF" w:rsidRDefault="00EF4B3E" w:rsidP="008805BF">
            <w:pPr>
              <w:spacing w:line="276" w:lineRule="auto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Consulta entrevistas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METODOLOGÍA EMPLEADA</w:t>
            </w:r>
          </w:p>
        </w:tc>
        <w:tc>
          <w:tcPr>
            <w:tcW w:w="6804" w:type="dxa"/>
          </w:tcPr>
          <w:p w:rsidR="00817D99" w:rsidRPr="008805BF" w:rsidRDefault="00F62F22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Redacción de un documento </w:t>
            </w:r>
            <w:r w:rsidR="00C96837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sobre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transporte en la actualidad y a futuro en Colombia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, partiendo de </w:t>
            </w:r>
            <w:r w:rsidR="00A968CC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las generalidades </w:t>
            </w:r>
            <w:r w:rsidR="00EF4B3E" w:rsidRPr="008805BF">
              <w:rPr>
                <w:rFonts w:ascii="Arial" w:eastAsia="Libre Baskerville" w:hAnsi="Arial" w:cs="Arial"/>
                <w:sz w:val="24"/>
                <w:szCs w:val="24"/>
              </w:rPr>
              <w:t>en cuanto a la visión de los empresarios más relevantes del sector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, </w:t>
            </w:r>
            <w:r w:rsidR="00C96837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y finalizar con la ejemplificación de un caso empresarial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con similitudes a la solución a desarrollar</w:t>
            </w:r>
            <w:r w:rsidR="00C96837" w:rsidRPr="008805BF">
              <w:rPr>
                <w:rFonts w:ascii="Arial" w:eastAsia="Libre Baskerville" w:hAnsi="Arial" w:cs="Arial"/>
                <w:sz w:val="24"/>
                <w:szCs w:val="24"/>
              </w:rPr>
              <w:t>.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POBLACIÓN OBJETO DE ESTUDIO</w:t>
            </w:r>
          </w:p>
        </w:tc>
        <w:tc>
          <w:tcPr>
            <w:tcW w:w="6804" w:type="dxa"/>
          </w:tcPr>
          <w:p w:rsidR="00817D99" w:rsidRPr="008805BF" w:rsidRDefault="00130155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Personas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en Colombia del común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interesadas en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el envío de cualquier carga, transportadores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y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empresarios del sector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abarca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ndo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principalmente la perspectiva financiera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actual 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y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a futuro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. Genera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ndo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un contexto informativo sobre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él transporte en el país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, considerando sus principales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falencias y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r w:rsidR="007C406D" w:rsidRPr="008805BF">
              <w:rPr>
                <w:rFonts w:ascii="Arial" w:eastAsia="Libre Baskerville" w:hAnsi="Arial" w:cs="Arial"/>
                <w:sz w:val="24"/>
                <w:szCs w:val="24"/>
              </w:rPr>
              <w:t>puntos fuertes.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CONCLUSIONES</w:t>
            </w:r>
          </w:p>
        </w:tc>
        <w:tc>
          <w:tcPr>
            <w:tcW w:w="6804" w:type="dxa"/>
          </w:tcPr>
          <w:p w:rsidR="00817D99" w:rsidRPr="008805BF" w:rsidRDefault="007C406D" w:rsidP="001A6A2A">
            <w:pPr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Se concluye que el futuro de 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APLICACIONES DE LA INVESTIGACIÓN</w:t>
            </w:r>
          </w:p>
        </w:tc>
        <w:tc>
          <w:tcPr>
            <w:tcW w:w="6804" w:type="dxa"/>
          </w:tcPr>
          <w:p w:rsidR="00817D99" w:rsidRPr="008805BF" w:rsidRDefault="00205217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Negocios mercantiles: empresas tecnológicas o con sistemas de implementación tecnológica que busquen un procedimiento de negociación nuevo: </w:t>
            </w:r>
            <w:r w:rsidR="00E53F94" w:rsidRPr="008805BF">
              <w:rPr>
                <w:rFonts w:ascii="Arial" w:eastAsia="Libre Baskerville" w:hAnsi="Arial" w:cs="Arial"/>
                <w:sz w:val="24"/>
                <w:szCs w:val="24"/>
              </w:rPr>
              <w:t>personas interesadas en el área tecnológica, principalmente con software, redes y programación.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REFERENTES TEÓRICOS USADOS PARA ABORDAR EL CONCEPTO</w:t>
            </w:r>
          </w:p>
        </w:tc>
        <w:tc>
          <w:tcPr>
            <w:tcW w:w="6804" w:type="dxa"/>
          </w:tcPr>
          <w:p w:rsidR="00817D99" w:rsidRPr="008805BF" w:rsidRDefault="00A0714B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Borenstein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, Joram. “A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Risk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-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Based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View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of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Why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Banks Are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Experimenting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with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Bitcoin and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Blockchain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.”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Spotlight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on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Risk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Technology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N.p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., 18 Sept. 2015. Web. 03 May 2016.</w:t>
            </w:r>
          </w:p>
          <w:p w:rsidR="00A0714B" w:rsidRPr="008805BF" w:rsidRDefault="00A0714B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“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Why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NASDAQ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Private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Mar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softHyphen/>
              <w:t>ket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.” Nasdaq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Private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Market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|.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N.p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.,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n.d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. Web. 03 May 2016.</w:t>
            </w:r>
          </w:p>
          <w:p w:rsidR="00A0714B" w:rsidRPr="008805BF" w:rsidRDefault="00A0714B" w:rsidP="00A0714B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Lee, Timothy B. “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Bitcoin’s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Value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Is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Surging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 Here Are 5 Charts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on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Growing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Bitcoin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Economy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.” Vox.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N.p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., 03 </w:t>
            </w:r>
            <w:proofErr w:type="gram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Nov.</w:t>
            </w:r>
            <w:proofErr w:type="gram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2015. Web. 03 May 2016. </w:t>
            </w:r>
          </w:p>
          <w:p w:rsidR="00A0714B" w:rsidRPr="008805BF" w:rsidRDefault="00A0714B" w:rsidP="00A0714B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Rivera,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Janessa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. “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Gartner’s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2015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Hype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Cycle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for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Emerging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Tech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softHyphen/>
              <w:t xml:space="preserve">nologies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Identifies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Computing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Innovations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That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Organizations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Should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Monitor.”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Gartner’s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2015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Hype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Cycle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for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Emerging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Tech</w:t>
            </w: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softHyphen/>
              <w:t xml:space="preserve">nologies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Identifies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the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Computing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Innovations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That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Organizations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Should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Monitor.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N.p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., 18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Aug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. 2015. Web. 03 May 2016.</w:t>
            </w:r>
          </w:p>
        </w:tc>
      </w:tr>
      <w:tr w:rsidR="00817D99" w:rsidRPr="008805BF" w:rsidTr="00DB38F8">
        <w:tc>
          <w:tcPr>
            <w:tcW w:w="2689" w:type="dxa"/>
            <w:shd w:val="clear" w:color="auto" w:fill="D9D9D9" w:themeFill="background1" w:themeFillShade="D9"/>
            <w:vAlign w:val="center"/>
          </w:tcPr>
          <w:p w:rsidR="00817D99" w:rsidRPr="008805BF" w:rsidRDefault="003E7389" w:rsidP="003E7389">
            <w:pPr>
              <w:spacing w:line="276" w:lineRule="auto"/>
              <w:jc w:val="center"/>
              <w:rPr>
                <w:rFonts w:ascii="Arial" w:eastAsia="Libre Baskerville" w:hAnsi="Arial" w:cs="Arial"/>
                <w:b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b/>
                <w:sz w:val="24"/>
                <w:szCs w:val="24"/>
              </w:rPr>
              <w:t>APORTES A LA INVESTIGACIÓN</w:t>
            </w:r>
          </w:p>
        </w:tc>
        <w:tc>
          <w:tcPr>
            <w:tcW w:w="6804" w:type="dxa"/>
          </w:tcPr>
          <w:p w:rsidR="00817D99" w:rsidRPr="008805BF" w:rsidRDefault="00FF7714">
            <w:pPr>
              <w:spacing w:line="276" w:lineRule="auto"/>
              <w:jc w:val="both"/>
              <w:rPr>
                <w:rFonts w:ascii="Arial" w:eastAsia="Libre Baskerville" w:hAnsi="Arial" w:cs="Arial"/>
                <w:sz w:val="24"/>
                <w:szCs w:val="24"/>
              </w:rPr>
            </w:pPr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Información detallada y completa sobre </w:t>
            </w:r>
            <w:proofErr w:type="spellStart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>Blockchain</w:t>
            </w:r>
            <w:proofErr w:type="spellEnd"/>
            <w:r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, considerada desde un punto de vista diferente al haber sido escrita con enfoque científico, pero de fácil comprensión: </w:t>
            </w:r>
            <w:r w:rsidR="001E1FF5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desarrollo del tema que facilita el entendimiento de </w:t>
            </w:r>
            <w:proofErr w:type="spellStart"/>
            <w:r w:rsidR="001E1FF5" w:rsidRPr="008805BF">
              <w:rPr>
                <w:rFonts w:ascii="Arial" w:eastAsia="Libre Baskerville" w:hAnsi="Arial" w:cs="Arial"/>
                <w:sz w:val="24"/>
                <w:szCs w:val="24"/>
              </w:rPr>
              <w:t>Blockchain</w:t>
            </w:r>
            <w:proofErr w:type="spellEnd"/>
            <w:r w:rsidR="001E1FF5" w:rsidRPr="008805BF">
              <w:rPr>
                <w:rFonts w:ascii="Arial" w:eastAsia="Libre Baskerville" w:hAnsi="Arial" w:cs="Arial"/>
                <w:sz w:val="24"/>
                <w:szCs w:val="24"/>
              </w:rPr>
              <w:t xml:space="preserve"> por medio de términos concretos.</w:t>
            </w:r>
          </w:p>
        </w:tc>
      </w:tr>
    </w:tbl>
    <w:p w:rsidR="00817D99" w:rsidRDefault="00817D99">
      <w:pPr>
        <w:jc w:val="both"/>
        <w:rPr>
          <w:rFonts w:ascii="Libre Baskerville" w:eastAsia="Libre Baskerville" w:hAnsi="Libre Baskerville" w:cs="Libre Baskerville"/>
          <w:sz w:val="24"/>
          <w:szCs w:val="24"/>
        </w:rPr>
      </w:pPr>
    </w:p>
    <w:p w:rsidR="00817D99" w:rsidRDefault="00817D99">
      <w:pPr>
        <w:jc w:val="both"/>
        <w:rPr>
          <w:rFonts w:ascii="Libre Baskerville" w:eastAsia="Libre Baskerville" w:hAnsi="Libre Baskerville" w:cs="Libre Baskerville"/>
        </w:rPr>
      </w:pPr>
    </w:p>
    <w:sectPr w:rsidR="00817D99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55854"/>
    <w:multiLevelType w:val="multilevel"/>
    <w:tmpl w:val="CCC8A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4DA86F46"/>
    <w:multiLevelType w:val="multilevel"/>
    <w:tmpl w:val="55E4A0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D99"/>
    <w:rsid w:val="00006CB0"/>
    <w:rsid w:val="00007C63"/>
    <w:rsid w:val="0009197F"/>
    <w:rsid w:val="00130155"/>
    <w:rsid w:val="001A6A2A"/>
    <w:rsid w:val="001E1FF5"/>
    <w:rsid w:val="001F224F"/>
    <w:rsid w:val="00205217"/>
    <w:rsid w:val="003E7389"/>
    <w:rsid w:val="00430435"/>
    <w:rsid w:val="0054457A"/>
    <w:rsid w:val="0076721B"/>
    <w:rsid w:val="007C406D"/>
    <w:rsid w:val="00817D99"/>
    <w:rsid w:val="008805BF"/>
    <w:rsid w:val="00A01B4B"/>
    <w:rsid w:val="00A0714B"/>
    <w:rsid w:val="00A968CC"/>
    <w:rsid w:val="00C96837"/>
    <w:rsid w:val="00CA04C8"/>
    <w:rsid w:val="00D21847"/>
    <w:rsid w:val="00D93F10"/>
    <w:rsid w:val="00DB38F8"/>
    <w:rsid w:val="00E53F94"/>
    <w:rsid w:val="00EB0969"/>
    <w:rsid w:val="00EF4B3E"/>
    <w:rsid w:val="00F62F22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72BDF"/>
  <w15:docId w15:val="{AAF50025-3E1D-40F7-B9E9-83D30ECE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Pa2">
    <w:name w:val="Pa2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1F224F"/>
    <w:pPr>
      <w:autoSpaceDE w:val="0"/>
      <w:autoSpaceDN w:val="0"/>
      <w:adjustRightInd w:val="0"/>
      <w:spacing w:after="0" w:line="241" w:lineRule="atLeast"/>
    </w:pPr>
    <w:rPr>
      <w:rFonts w:ascii="Baskerville Old Face" w:hAnsi="Baskerville Old Face" w:cs="Times New Roman"/>
      <w:sz w:val="24"/>
      <w:szCs w:val="24"/>
    </w:rPr>
  </w:style>
  <w:style w:type="character" w:customStyle="1" w:styleId="A7">
    <w:name w:val="A7"/>
    <w:uiPriority w:val="99"/>
    <w:rsid w:val="001F224F"/>
    <w:rPr>
      <w:rFonts w:cs="Baskerville Old Face"/>
      <w:color w:val="000000"/>
      <w:sz w:val="14"/>
      <w:szCs w:val="14"/>
    </w:rPr>
  </w:style>
  <w:style w:type="character" w:styleId="Hipervnculo">
    <w:name w:val="Hyperlink"/>
    <w:basedOn w:val="Fuentedeprrafopredeter"/>
    <w:uiPriority w:val="99"/>
    <w:unhideWhenUsed/>
    <w:rsid w:val="008805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bout.ushi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nero.com/empresas/articulo/futuro-del-transporte-de-carga-por-carretera-en-colombia-2019/2647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6F8C5EA-626E-4760-AEB9-C290EF90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Vargas</dc:creator>
  <cp:lastModifiedBy>APRENDIZ</cp:lastModifiedBy>
  <cp:revision>3</cp:revision>
  <dcterms:created xsi:type="dcterms:W3CDTF">2019-05-23T01:26:00Z</dcterms:created>
  <dcterms:modified xsi:type="dcterms:W3CDTF">2019-05-25T17:23:00Z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8fec8851-00e1-3d94-873c-e1a3bb6fedaa</vt:lpwstr>
  </property>
</Properties>
</file>