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1A58BFE" w:rsidR="00231A1B" w:rsidRDefault="00000000">
      <w:pPr>
        <w:jc w:val="center"/>
        <w:rPr>
          <w:rFonts w:ascii="標楷體" w:eastAsia="標楷體" w:hAnsi="標楷體" w:cs="標楷體"/>
        </w:rPr>
      </w:pPr>
      <w:r>
        <w:rPr>
          <w:rFonts w:ascii="標楷體" w:eastAsia="標楷體" w:hAnsi="標楷體" w:cs="標楷體"/>
        </w:rPr>
        <w:t>科技法規總論技術與募資</w:t>
      </w:r>
      <w:r w:rsidR="00250D77">
        <w:rPr>
          <w:rFonts w:ascii="標楷體" w:eastAsia="標楷體" w:hAnsi="標楷體" w:cs="標楷體" w:hint="eastAsia"/>
        </w:rPr>
        <w:t>報告</w:t>
      </w:r>
    </w:p>
    <w:p w14:paraId="00000002" w14:textId="77777777" w:rsidR="00231A1B" w:rsidRDefault="00000000">
      <w:pPr>
        <w:rPr>
          <w:rFonts w:ascii="標楷體" w:eastAsia="標楷體" w:hAnsi="標楷體" w:cs="標楷體"/>
        </w:rPr>
      </w:pPr>
      <w:r>
        <w:rPr>
          <w:rFonts w:ascii="標楷體" w:eastAsia="標楷體" w:hAnsi="標楷體" w:cs="標楷體"/>
        </w:rPr>
        <w:t>學號：M11509902</w:t>
      </w:r>
    </w:p>
    <w:p w14:paraId="00000003" w14:textId="77777777" w:rsidR="00231A1B" w:rsidRDefault="00000000">
      <w:pPr>
        <w:rPr>
          <w:rFonts w:ascii="標楷體" w:eastAsia="標楷體" w:hAnsi="標楷體" w:cs="標楷體"/>
        </w:rPr>
      </w:pPr>
      <w:r>
        <w:rPr>
          <w:rFonts w:ascii="標楷體" w:eastAsia="標楷體" w:hAnsi="標楷體" w:cs="標楷體"/>
        </w:rPr>
        <w:t>姓名：陳立鐘</w:t>
      </w:r>
    </w:p>
    <w:p w14:paraId="00000004" w14:textId="02D54CC6" w:rsidR="00231A1B" w:rsidRDefault="00000000">
      <w:pPr>
        <w:rPr>
          <w:rFonts w:ascii="標楷體" w:eastAsia="標楷體" w:hAnsi="標楷體" w:cs="標楷體"/>
        </w:rPr>
      </w:pPr>
      <w:r>
        <w:rPr>
          <w:rFonts w:ascii="標楷體" w:eastAsia="標楷體" w:hAnsi="標楷體" w:cs="標楷體"/>
        </w:rPr>
        <w:t>主題：</w:t>
      </w:r>
      <w:r w:rsidR="00A1139A">
        <w:rPr>
          <w:rFonts w:ascii="標楷體" w:eastAsia="標楷體" w:hAnsi="標楷體" w:cs="標楷體" w:hint="eastAsia"/>
        </w:rPr>
        <w:t>目前</w:t>
      </w:r>
      <w:r>
        <w:rPr>
          <w:rFonts w:ascii="標楷體" w:eastAsia="標楷體" w:hAnsi="標楷體" w:cs="標楷體"/>
        </w:rPr>
        <w:t xml:space="preserve">公司現金增資經歷  </w:t>
      </w:r>
    </w:p>
    <w:p w14:paraId="00000005" w14:textId="77777777" w:rsidR="00231A1B" w:rsidRPr="00A1139A" w:rsidRDefault="00231A1B">
      <w:pPr>
        <w:rPr>
          <w:rFonts w:ascii="標楷體" w:eastAsia="標楷體" w:hAnsi="標楷體" w:cs="標楷體"/>
        </w:rPr>
      </w:pPr>
    </w:p>
    <w:p w14:paraId="00000006" w14:textId="5845BD7B" w:rsidR="00231A1B" w:rsidRDefault="00000000">
      <w:pPr>
        <w:rPr>
          <w:rFonts w:ascii="標楷體" w:eastAsia="標楷體" w:hAnsi="標楷體" w:cs="標楷體"/>
        </w:rPr>
      </w:pPr>
      <w:r>
        <w:rPr>
          <w:rFonts w:ascii="標楷體" w:eastAsia="標楷體" w:hAnsi="標楷體" w:cs="標楷體"/>
        </w:rPr>
        <w:t>募資部</w:t>
      </w:r>
      <w:r w:rsidR="00A1139A">
        <w:rPr>
          <w:rFonts w:ascii="標楷體" w:eastAsia="標楷體" w:hAnsi="標楷體" w:cs="標楷體" w:hint="eastAsia"/>
        </w:rPr>
        <w:t>份</w:t>
      </w:r>
      <w:r>
        <w:rPr>
          <w:rFonts w:ascii="標楷體" w:eastAsia="標楷體" w:hAnsi="標楷體" w:cs="標楷體"/>
        </w:rPr>
        <w:t>，</w:t>
      </w:r>
      <w:r w:rsidR="00A1139A">
        <w:rPr>
          <w:rFonts w:ascii="標楷體" w:eastAsia="標楷體" w:hAnsi="標楷體" w:cs="標楷體" w:hint="eastAsia"/>
        </w:rPr>
        <w:t>我只想到目前公司曾經在疫情過後的增資，所以</w:t>
      </w:r>
      <w:r>
        <w:rPr>
          <w:rFonts w:ascii="標楷體" w:eastAsia="標楷體" w:hAnsi="標楷體" w:cs="標楷體"/>
        </w:rPr>
        <w:t>我詢問</w:t>
      </w:r>
      <w:r w:rsidR="00A1139A">
        <w:rPr>
          <w:rFonts w:ascii="標楷體" w:eastAsia="標楷體" w:hAnsi="標楷體" w:cs="標楷體" w:hint="eastAsia"/>
        </w:rPr>
        <w:t>目前</w:t>
      </w:r>
      <w:r>
        <w:rPr>
          <w:rFonts w:ascii="標楷體" w:eastAsia="標楷體" w:hAnsi="標楷體" w:cs="標楷體"/>
        </w:rPr>
        <w:t>公司(五福旅行社股份有限公司)財務單位</w:t>
      </w:r>
      <w:r w:rsidR="00A1139A">
        <w:rPr>
          <w:rFonts w:ascii="標楷體" w:eastAsia="標楷體" w:hAnsi="標楷體" w:cs="標楷體" w:hint="eastAsia"/>
        </w:rPr>
        <w:t>，當時的過程</w:t>
      </w:r>
      <w:r>
        <w:rPr>
          <w:rFonts w:ascii="標楷體" w:eastAsia="標楷體" w:hAnsi="標楷體" w:cs="標楷體"/>
        </w:rPr>
        <w:t>，在109 年初新冠疫情爆發後，跨國邊境封鎖長達近三年，旅遊產業營運停擺、現金流受到嚴重侵蝕。</w:t>
      </w:r>
    </w:p>
    <w:p w14:paraId="00000007" w14:textId="79C1713C" w:rsidR="00231A1B" w:rsidRDefault="00000000">
      <w:pPr>
        <w:rPr>
          <w:rFonts w:ascii="標楷體" w:eastAsia="標楷體" w:hAnsi="標楷體" w:cs="標楷體"/>
        </w:rPr>
      </w:pPr>
      <w:r>
        <w:rPr>
          <w:rFonts w:ascii="標楷體" w:eastAsia="標楷體" w:hAnsi="標楷體" w:cs="標楷體"/>
        </w:rPr>
        <w:t>直到 111 年 10 月，各國與台灣陸續宣布國境解除管制，市場瞬間湧現強烈的「報復性旅遊」需求。然而，在</w:t>
      </w:r>
      <w:r w:rsidR="00A1139A">
        <w:rPr>
          <w:rFonts w:ascii="標楷體" w:eastAsia="標楷體" w:hAnsi="標楷體" w:cs="標楷體" w:hint="eastAsia"/>
        </w:rPr>
        <w:t>旅遊</w:t>
      </w:r>
      <w:r>
        <w:rPr>
          <w:rFonts w:ascii="標楷體" w:eastAsia="標楷體" w:hAnsi="標楷體" w:cs="標楷體"/>
        </w:rPr>
        <w:t>業務全面重啟的同時，公司財務立即面臨前所未有的現金流壓力：</w:t>
      </w:r>
    </w:p>
    <w:p w14:paraId="00000008" w14:textId="74D6957D" w:rsidR="00231A1B" w:rsidRDefault="00000000">
      <w:pPr>
        <w:widowControl/>
        <w:numPr>
          <w:ilvl w:val="0"/>
          <w:numId w:val="1"/>
        </w:numPr>
        <w:spacing w:before="280"/>
      </w:pPr>
      <w:r>
        <w:rPr>
          <w:rFonts w:ascii="標楷體" w:eastAsia="標楷體" w:hAnsi="標楷體" w:cs="標楷體"/>
          <w:b/>
          <w:bCs/>
        </w:rPr>
        <w:t>每週高達五千萬的硬性支出</w:t>
      </w:r>
      <w:r>
        <w:rPr>
          <w:rFonts w:ascii="標楷體" w:eastAsia="標楷體" w:hAnsi="標楷體" w:cs="標楷體"/>
        </w:rPr>
        <w:t>：新冠疫情結束後旅客大量訂購機票，公司光是</w:t>
      </w:r>
      <w:r>
        <w:rPr>
          <w:rFonts w:ascii="標楷體" w:eastAsia="標楷體" w:hAnsi="標楷體" w:cs="標楷體"/>
          <w:b/>
          <w:bCs/>
        </w:rPr>
        <w:t xml:space="preserve">每週必須按期支付給國際航空運輸協會（IATA）的機票款就高達新台幣 </w:t>
      </w:r>
      <w:r w:rsidR="00A1139A">
        <w:rPr>
          <w:rFonts w:ascii="標楷體" w:eastAsia="標楷體" w:hAnsi="標楷體" w:cs="標楷體" w:hint="eastAsia"/>
          <w:b/>
          <w:bCs/>
        </w:rPr>
        <w:t>2</w:t>
      </w:r>
      <w:r>
        <w:rPr>
          <w:rFonts w:ascii="標楷體" w:eastAsia="標楷體" w:hAnsi="標楷體" w:cs="標楷體"/>
          <w:b/>
          <w:bCs/>
        </w:rPr>
        <w:t>,000 萬元</w:t>
      </w:r>
      <w:r>
        <w:rPr>
          <w:rFonts w:ascii="標楷體" w:eastAsia="標楷體" w:hAnsi="標楷體" w:cs="標楷體"/>
        </w:rPr>
        <w:t>。此類款項具有不可延遲性，若未如期清算將影響出票資格與營運資格。</w:t>
      </w:r>
    </w:p>
    <w:p w14:paraId="00000009" w14:textId="77777777" w:rsidR="00231A1B" w:rsidRDefault="00000000">
      <w:pPr>
        <w:widowControl/>
        <w:numPr>
          <w:ilvl w:val="0"/>
          <w:numId w:val="1"/>
        </w:numPr>
        <w:spacing w:after="280"/>
      </w:pPr>
      <w:r>
        <w:rPr>
          <w:rFonts w:ascii="標楷體" w:eastAsia="標楷體" w:hAnsi="標楷體" w:cs="標楷體"/>
          <w:b/>
          <w:bCs/>
        </w:rPr>
        <w:t>前端營運資金大量墊付</w:t>
      </w:r>
      <w:r>
        <w:rPr>
          <w:rFonts w:ascii="標楷體" w:eastAsia="標楷體" w:hAnsi="標楷體" w:cs="標楷體"/>
        </w:rPr>
        <w:t xml:space="preserve">：熱門航線機位、海外飯店、交通接駁以及各國景區門票均呈現「供不應求」。為了搶先搶下資源、佈局復甦商機，公司必須在旅客尾款完全收回之前，先墊付龐大資金。 </w:t>
      </w:r>
    </w:p>
    <w:p w14:paraId="0000000A" w14:textId="77777777" w:rsidR="00231A1B" w:rsidRDefault="00000000">
      <w:pPr>
        <w:widowControl/>
        <w:spacing w:before="280" w:after="280"/>
        <w:rPr>
          <w:rFonts w:ascii="標楷體" w:eastAsia="標楷體" w:hAnsi="標楷體" w:cs="標楷體"/>
        </w:rPr>
      </w:pPr>
      <w:r>
        <w:rPr>
          <w:rFonts w:ascii="標楷體" w:eastAsia="標楷體" w:hAnsi="標楷體" w:cs="標楷體"/>
        </w:rPr>
        <w:t>面對急迫且龐大的資金缺口，財務部門與高階管理階層在內部評估了不同的籌資路徑：</w:t>
      </w:r>
    </w:p>
    <w:p w14:paraId="0000000B" w14:textId="77777777" w:rsidR="00231A1B" w:rsidRDefault="00000000">
      <w:pPr>
        <w:widowControl/>
        <w:numPr>
          <w:ilvl w:val="0"/>
          <w:numId w:val="2"/>
        </w:numPr>
        <w:spacing w:before="280"/>
        <w:rPr>
          <w:rFonts w:ascii="標楷體" w:eastAsia="標楷體" w:hAnsi="標楷體" w:cs="標楷體"/>
        </w:rPr>
      </w:pPr>
      <w:r>
        <w:rPr>
          <w:rFonts w:ascii="標楷體" w:eastAsia="標楷體" w:hAnsi="標楷體" w:cs="標楷體"/>
          <w:b/>
          <w:bCs/>
        </w:rPr>
        <w:t>銀行借款方案</w:t>
      </w:r>
      <w:r>
        <w:rPr>
          <w:rFonts w:ascii="標楷體" w:eastAsia="標楷體" w:hAnsi="標楷體" w:cs="標楷體"/>
        </w:rPr>
        <w:t>：</w:t>
      </w:r>
    </w:p>
    <w:p w14:paraId="0000000C" w14:textId="77777777" w:rsidR="00231A1B" w:rsidRDefault="00000000">
      <w:pPr>
        <w:widowControl/>
        <w:numPr>
          <w:ilvl w:val="1"/>
          <w:numId w:val="2"/>
        </w:numPr>
      </w:pPr>
      <w:r>
        <w:rPr>
          <w:rFonts w:ascii="標楷體" w:eastAsia="標楷體" w:hAnsi="標楷體" w:cs="標楷體"/>
        </w:rPr>
        <w:t>評估結果：</w:t>
      </w:r>
      <w:r>
        <w:rPr>
          <w:rFonts w:ascii="標楷體" w:eastAsia="標楷體" w:hAnsi="標楷體" w:cs="標楷體"/>
          <w:b/>
          <w:bCs/>
        </w:rPr>
        <w:t>未採用</w:t>
      </w:r>
      <w:r>
        <w:rPr>
          <w:rFonts w:ascii="標楷體" w:eastAsia="標楷體" w:hAnsi="標楷體" w:cs="標楷體"/>
        </w:rPr>
        <w:t>。</w:t>
      </w:r>
    </w:p>
    <w:p w14:paraId="0000000D" w14:textId="77777777" w:rsidR="00231A1B" w:rsidRDefault="00000000">
      <w:pPr>
        <w:widowControl/>
        <w:numPr>
          <w:ilvl w:val="1"/>
          <w:numId w:val="2"/>
        </w:numPr>
      </w:pPr>
      <w:r>
        <w:rPr>
          <w:rFonts w:ascii="標楷體" w:eastAsia="標楷體" w:hAnsi="標楷體" w:cs="標楷體"/>
        </w:rPr>
        <w:t>考量原因：雖然疫情期間公司未過度動用銀行借款額度，但 111 年下半年全球央行已進入</w:t>
      </w:r>
      <w:r>
        <w:rPr>
          <w:rFonts w:ascii="標楷體" w:eastAsia="標楷體" w:hAnsi="標楷體" w:cs="標楷體"/>
          <w:b/>
          <w:bCs/>
        </w:rPr>
        <w:t>升息循環</w:t>
      </w:r>
      <w:r>
        <w:rPr>
          <w:rFonts w:ascii="標楷體" w:eastAsia="標楷體" w:hAnsi="標楷體" w:cs="標楷體"/>
        </w:rPr>
        <w:t xml:space="preserve">。若以高額銀行借款來因應每週數千萬的日常週轉，利息成本將迅速侵蝕好不容易回溫的本業獲利，顯著增加財務風險。 </w:t>
      </w:r>
    </w:p>
    <w:p w14:paraId="0000000E" w14:textId="77777777" w:rsidR="00231A1B" w:rsidRDefault="00000000">
      <w:pPr>
        <w:widowControl/>
        <w:numPr>
          <w:ilvl w:val="0"/>
          <w:numId w:val="2"/>
        </w:numPr>
        <w:rPr>
          <w:rFonts w:ascii="標楷體" w:eastAsia="標楷體" w:hAnsi="標楷體" w:cs="標楷體"/>
        </w:rPr>
      </w:pPr>
      <w:r>
        <w:rPr>
          <w:rFonts w:ascii="標楷體" w:eastAsia="標楷體" w:hAnsi="標楷體" w:cs="標楷體"/>
          <w:b/>
          <w:bCs/>
        </w:rPr>
        <w:t>公開募資現金增資</w:t>
      </w:r>
      <w:r>
        <w:rPr>
          <w:rFonts w:ascii="標楷體" w:eastAsia="標楷體" w:hAnsi="標楷體" w:cs="標楷體"/>
        </w:rPr>
        <w:t>：</w:t>
      </w:r>
    </w:p>
    <w:p w14:paraId="0000000F" w14:textId="77777777" w:rsidR="00231A1B" w:rsidRDefault="00000000">
      <w:pPr>
        <w:widowControl/>
        <w:numPr>
          <w:ilvl w:val="1"/>
          <w:numId w:val="2"/>
        </w:numPr>
      </w:pPr>
      <w:r>
        <w:rPr>
          <w:rFonts w:ascii="標楷體" w:eastAsia="標楷體" w:hAnsi="標楷體" w:cs="標楷體"/>
        </w:rPr>
        <w:t>評估結果：</w:t>
      </w:r>
      <w:r>
        <w:rPr>
          <w:rFonts w:ascii="標楷體" w:eastAsia="標楷體" w:hAnsi="標楷體" w:cs="標楷體"/>
          <w:b/>
          <w:bCs/>
        </w:rPr>
        <w:t>採用</w:t>
      </w:r>
      <w:r>
        <w:rPr>
          <w:rFonts w:ascii="標楷體" w:eastAsia="標楷體" w:hAnsi="標楷體" w:cs="標楷體"/>
        </w:rPr>
        <w:t>。</w:t>
      </w:r>
    </w:p>
    <w:p w14:paraId="00000010" w14:textId="77777777" w:rsidR="00231A1B" w:rsidRDefault="00000000">
      <w:pPr>
        <w:widowControl/>
        <w:numPr>
          <w:ilvl w:val="1"/>
          <w:numId w:val="2"/>
        </w:numPr>
        <w:spacing w:after="280"/>
      </w:pPr>
      <w:bookmarkStart w:id="0" w:name="_heading=h.j3930i2kqww2" w:colFirst="0" w:colLast="0"/>
      <w:bookmarkEnd w:id="0"/>
      <w:r>
        <w:rPr>
          <w:rFonts w:ascii="標楷體" w:eastAsia="標楷體" w:hAnsi="標楷體" w:cs="標楷體"/>
        </w:rPr>
        <w:t xml:space="preserve">考量原因：透過發行新股辦理現金增資，引進股東長期資金，不僅能直接充實營運週轉金，還能強化資本結構、降低對金融機構借款的依存度，為後續營運保留彈性調度空間。 </w:t>
      </w:r>
    </w:p>
    <w:p w14:paraId="00000011" w14:textId="77777777" w:rsidR="00231A1B" w:rsidRDefault="00000000">
      <w:pPr>
        <w:widowControl/>
        <w:spacing w:before="280" w:after="280"/>
        <w:rPr>
          <w:rFonts w:ascii="標楷體" w:eastAsia="標楷體" w:hAnsi="標楷體" w:cs="標楷體"/>
        </w:rPr>
      </w:pPr>
      <w:r>
        <w:rPr>
          <w:rFonts w:ascii="標楷體" w:eastAsia="標楷體" w:hAnsi="標楷體" w:cs="標楷體"/>
        </w:rPr>
        <w:t>公司自 111 年底展開具體的籌資推動流程：</w:t>
      </w:r>
    </w:p>
    <w:p w14:paraId="00000012" w14:textId="77777777" w:rsidR="00231A1B" w:rsidRDefault="00000000">
      <w:pPr>
        <w:widowControl/>
        <w:numPr>
          <w:ilvl w:val="0"/>
          <w:numId w:val="3"/>
        </w:numPr>
        <w:spacing w:before="280"/>
        <w:rPr>
          <w:rFonts w:ascii="標楷體" w:eastAsia="標楷體" w:hAnsi="標楷體" w:cs="標楷體"/>
        </w:rPr>
      </w:pPr>
      <w:r>
        <w:rPr>
          <w:rFonts w:ascii="標楷體" w:eastAsia="標楷體" w:hAnsi="標楷體" w:cs="標楷體"/>
          <w:b/>
          <w:bCs/>
        </w:rPr>
        <w:t>內部決議與規劃（111 年 10 月 17 日）</w:t>
      </w:r>
      <w:r>
        <w:rPr>
          <w:rFonts w:ascii="標楷體" w:eastAsia="標楷體" w:hAnsi="標楷體" w:cs="標楷體"/>
        </w:rPr>
        <w:t>：</w:t>
      </w:r>
    </w:p>
    <w:p w14:paraId="00000013" w14:textId="77777777" w:rsidR="00231A1B" w:rsidRDefault="00000000">
      <w:pPr>
        <w:widowControl/>
        <w:numPr>
          <w:ilvl w:val="1"/>
          <w:numId w:val="3"/>
        </w:numPr>
      </w:pPr>
      <w:r>
        <w:rPr>
          <w:rFonts w:ascii="標楷體" w:eastAsia="標楷體" w:hAnsi="標楷體" w:cs="標楷體"/>
        </w:rPr>
        <w:t xml:space="preserve">董事會正式決議辦理現金增資發行新股，目標募集金額為 </w:t>
      </w:r>
      <w:r>
        <w:rPr>
          <w:rFonts w:ascii="標楷體" w:eastAsia="標楷體" w:hAnsi="標楷體" w:cs="標楷體"/>
          <w:b/>
          <w:bCs/>
        </w:rPr>
        <w:t>新台幣 135,000 千元（1.35 億元）</w:t>
      </w:r>
      <w:r>
        <w:rPr>
          <w:rFonts w:ascii="標楷體" w:eastAsia="標楷體" w:hAnsi="標楷體" w:cs="標楷體"/>
        </w:rPr>
        <w:t xml:space="preserve">，款項全數規劃用於「充實營運資金」。 </w:t>
      </w:r>
    </w:p>
    <w:p w14:paraId="00000014" w14:textId="77777777" w:rsidR="00231A1B" w:rsidRDefault="00000000">
      <w:pPr>
        <w:widowControl/>
        <w:numPr>
          <w:ilvl w:val="0"/>
          <w:numId w:val="3"/>
        </w:numPr>
        <w:rPr>
          <w:rFonts w:ascii="標楷體" w:eastAsia="標楷體" w:hAnsi="標楷體" w:cs="標楷體"/>
        </w:rPr>
      </w:pPr>
      <w:r>
        <w:rPr>
          <w:rFonts w:ascii="標楷體" w:eastAsia="標楷體" w:hAnsi="標楷體" w:cs="標楷體"/>
          <w:b/>
          <w:bCs/>
        </w:rPr>
        <w:t>法定程序與認股作業（111 年底～112 年初）</w:t>
      </w:r>
      <w:r>
        <w:rPr>
          <w:rFonts w:ascii="標楷體" w:eastAsia="標楷體" w:hAnsi="標楷體" w:cs="標楷體"/>
        </w:rPr>
        <w:t>：</w:t>
      </w:r>
    </w:p>
    <w:p w14:paraId="00000015" w14:textId="77777777" w:rsidR="00231A1B" w:rsidRDefault="00000000">
      <w:pPr>
        <w:widowControl/>
        <w:numPr>
          <w:ilvl w:val="1"/>
          <w:numId w:val="3"/>
        </w:numPr>
      </w:pPr>
      <w:r>
        <w:rPr>
          <w:rFonts w:ascii="標楷體" w:eastAsia="標楷體" w:hAnsi="標楷體" w:cs="標楷體"/>
        </w:rPr>
        <w:t>依據公司法及證券交易法規定，進行主管機關申報、訂定認股基準日，並開放原股東、員工認購及公開承銷。</w:t>
      </w:r>
    </w:p>
    <w:p w14:paraId="00000016" w14:textId="77777777" w:rsidR="00231A1B" w:rsidRDefault="00000000">
      <w:pPr>
        <w:widowControl/>
        <w:numPr>
          <w:ilvl w:val="1"/>
          <w:numId w:val="3"/>
        </w:numPr>
      </w:pPr>
      <w:r>
        <w:rPr>
          <w:rFonts w:ascii="標楷體" w:eastAsia="標楷體" w:hAnsi="標楷體" w:cs="標楷體"/>
        </w:rPr>
        <w:lastRenderedPageBreak/>
        <w:t>過程中需密集與股東及投資人溝通新冠疫情解封後的市場前景與資金運用計畫，爭取認購支持。</w:t>
      </w:r>
    </w:p>
    <w:p w14:paraId="00000017" w14:textId="77777777" w:rsidR="00231A1B" w:rsidRDefault="00000000">
      <w:pPr>
        <w:widowControl/>
        <w:numPr>
          <w:ilvl w:val="0"/>
          <w:numId w:val="3"/>
        </w:numPr>
        <w:rPr>
          <w:rFonts w:ascii="標楷體" w:eastAsia="標楷體" w:hAnsi="標楷體" w:cs="標楷體"/>
        </w:rPr>
      </w:pPr>
      <w:r>
        <w:rPr>
          <w:rFonts w:ascii="標楷體" w:eastAsia="標楷體" w:hAnsi="標楷體" w:cs="標楷體"/>
          <w:b/>
          <w:bCs/>
        </w:rPr>
        <w:t>股款收足與資本變更（112 年 2 月）</w:t>
      </w:r>
      <w:r>
        <w:rPr>
          <w:rFonts w:ascii="標楷體" w:eastAsia="標楷體" w:hAnsi="標楷體" w:cs="標楷體"/>
        </w:rPr>
        <w:t>：</w:t>
      </w:r>
    </w:p>
    <w:p w14:paraId="00000018" w14:textId="77777777" w:rsidR="00231A1B" w:rsidRPr="00250D77" w:rsidRDefault="00000000">
      <w:pPr>
        <w:widowControl/>
        <w:numPr>
          <w:ilvl w:val="1"/>
          <w:numId w:val="3"/>
        </w:numPr>
      </w:pPr>
      <w:r>
        <w:rPr>
          <w:rFonts w:ascii="標楷體" w:eastAsia="標楷體" w:hAnsi="標楷體" w:cs="標楷體"/>
        </w:rPr>
        <w:t xml:space="preserve">於 112 年 2 月順利全數收足 1.35 億元股款，完成資金募集作業，並正式向主管機關完成資本額變更登記。 </w:t>
      </w:r>
    </w:p>
    <w:p w14:paraId="3112B28C" w14:textId="77777777" w:rsidR="00250D77" w:rsidRDefault="00250D77" w:rsidP="00250D77">
      <w:pPr>
        <w:widowControl/>
        <w:rPr>
          <w:rFonts w:ascii="標楷體" w:eastAsia="標楷體" w:hAnsi="標楷體" w:cs="標楷體"/>
        </w:rPr>
      </w:pPr>
    </w:p>
    <w:p w14:paraId="1C104C96" w14:textId="77777777" w:rsidR="00250D77" w:rsidRDefault="00250D77" w:rsidP="00250D77">
      <w:pPr>
        <w:widowControl/>
        <w:rPr>
          <w:rFonts w:ascii="標楷體" w:eastAsia="標楷體" w:hAnsi="標楷體" w:cs="標楷體"/>
        </w:rPr>
      </w:pPr>
    </w:p>
    <w:p w14:paraId="2BD87615" w14:textId="77777777" w:rsidR="00250D77" w:rsidRPr="00250D77" w:rsidRDefault="00250D77" w:rsidP="00250D77">
      <w:pPr>
        <w:widowControl/>
        <w:rPr>
          <w:rFonts w:ascii="標楷體" w:eastAsia="標楷體" w:hAnsi="標楷體"/>
          <w:lang w:val="en-US"/>
        </w:rPr>
      </w:pPr>
      <w:r w:rsidRPr="00250D77">
        <w:rPr>
          <w:rFonts w:ascii="標楷體" w:eastAsia="標楷體" w:hAnsi="標楷體"/>
          <w:lang w:val="en-US"/>
        </w:rPr>
        <w:t>使用AI: Gemini</w:t>
      </w:r>
    </w:p>
    <w:p w14:paraId="2A36D23B" w14:textId="327A5727" w:rsidR="00250D77" w:rsidRPr="00250D77" w:rsidRDefault="00250D77" w:rsidP="00250D77">
      <w:pPr>
        <w:widowControl/>
        <w:rPr>
          <w:rFonts w:ascii="標楷體" w:eastAsia="標楷體" w:hAnsi="標楷體"/>
          <w:lang w:val="en-US"/>
        </w:rPr>
      </w:pPr>
      <w:r w:rsidRPr="00250D77">
        <w:rPr>
          <w:rFonts w:ascii="標楷體" w:eastAsia="標楷體" w:hAnsi="標楷體"/>
          <w:lang w:val="en-US"/>
        </w:rPr>
        <w:t>使用範圍:文句潤飾</w:t>
      </w:r>
    </w:p>
    <w:p w14:paraId="755277F8" w14:textId="77777777" w:rsidR="00250D77" w:rsidRPr="00250D77" w:rsidRDefault="00250D77" w:rsidP="00250D77">
      <w:pPr>
        <w:widowControl/>
        <w:rPr>
          <w:lang w:val="en-US"/>
        </w:rPr>
      </w:pPr>
    </w:p>
    <w:sectPr w:rsidR="00250D77" w:rsidRPr="00250D77">
      <w:pgSz w:w="11906" w:h="16838"/>
      <w:pgMar w:top="144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769"/>
    <w:multiLevelType w:val="multilevel"/>
    <w:tmpl w:val="21C25FD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695B16D2"/>
    <w:multiLevelType w:val="multilevel"/>
    <w:tmpl w:val="9A0432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95E04B7"/>
    <w:multiLevelType w:val="multilevel"/>
    <w:tmpl w:val="11C074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8119422">
    <w:abstractNumId w:val="1"/>
  </w:num>
  <w:num w:numId="2" w16cid:durableId="1833107464">
    <w:abstractNumId w:val="0"/>
  </w:num>
  <w:num w:numId="3" w16cid:durableId="2146964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A1B"/>
    <w:rsid w:val="00032574"/>
    <w:rsid w:val="00231A1B"/>
    <w:rsid w:val="00250D77"/>
    <w:rsid w:val="00A1139A"/>
    <w:rsid w:val="00A50F44"/>
    <w:rsid w:val="00BF6A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33DC"/>
  <w15:docId w15:val="{964AE131-6532-4DC4-A7AF-5A0E188E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widowControl/>
      <w:outlineLvl w:val="3"/>
    </w:pPr>
    <w:rPr>
      <w:rFonts w:ascii="新細明體" w:eastAsia="新細明體" w:hAnsi="新細明體" w:cs="新細明體"/>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character" w:customStyle="1" w:styleId="40">
    <w:name w:val="標題 4 字元"/>
    <w:basedOn w:val="a0"/>
    <w:uiPriority w:val="9"/>
    <w:rsid w:val="00DA20D5"/>
    <w:rPr>
      <w:rFonts w:ascii="新細明體" w:eastAsia="新細明體" w:hAnsi="新細明體" w:cs="新細明體"/>
      <w:b/>
      <w:bCs/>
      <w:kern w:val="0"/>
      <w:szCs w:val="24"/>
    </w:rPr>
  </w:style>
  <w:style w:type="paragraph" w:styleId="Web">
    <w:name w:val="Normal (Web)"/>
    <w:uiPriority w:val="99"/>
    <w:semiHidden/>
    <w:unhideWhenUsed/>
    <w:rsid w:val="00DA20D5"/>
    <w:pPr>
      <w:widowControl/>
      <w:spacing w:before="100" w:beforeAutospacing="1" w:after="100" w:afterAutospacing="1"/>
    </w:pPr>
    <w:rPr>
      <w:rFonts w:ascii="新細明體" w:eastAsia="新細明體" w:hAnsi="新細明體" w:cs="新細明體"/>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KwUCneuZFdC9xdJPZjxb2t2eYQ==">CgMxLjAyDmguajM5MzBpMmtxd3cyOAByITFSYXpmazJhREQ3SkJPUnpES29DRzZIazhCMGR6T0VSNQ==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154</Words>
  <Characters>878</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立鐘 陳</cp:lastModifiedBy>
  <cp:revision>4</cp:revision>
  <dcterms:created xsi:type="dcterms:W3CDTF">2026-09-21T05:03:00Z</dcterms:created>
  <dcterms:modified xsi:type="dcterms:W3CDTF">2026-09-30T01:39:00Z</dcterms:modified>
</cp:coreProperties>
</file>