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X量化投資公司加密貨幣投資項目AI導入規劃</w:t>
      </w:r>
    </w:p>
    <w:p>
      <w:pPr>
        <w:spacing w:after="160"/>
      </w:pPr>
      <w:r>
        <w:t>課程：科技法規總論（一）　學號：M11509935　姓名：陳群升</w:t>
      </w:r>
    </w:p>
    <w:p>
      <w:pPr>
        <w:pStyle w:val="Heading1"/>
        <w:spacing w:before="60" w:after="40"/>
      </w:pPr>
      <w:r>
        <w:t>一 公司背景與目標</w:t>
      </w:r>
    </w:p>
    <w:p>
      <w:r>
        <w:t>假設我任X量化投資公司研究部主管，以自有資金試辦加密貨幣放貸，導入機器學習與Gen AI，兼顧收益、流動性及平台風險。</w:t>
      </w:r>
    </w:p>
    <w:p>
      <w:pPr>
        <w:pStyle w:val="Heading1"/>
        <w:spacing w:before="60" w:after="40"/>
      </w:pPr>
      <w:r>
        <w:t>二 AI工具與應用情境</w:t>
      </w:r>
    </w:p>
    <w:p>
      <w:r>
        <w:t>蒐集放貸成交、掛單建立至成交等待時間、還款及幣市交易資料，結合利率、期限、委託深度與價格波動，估計平台規模與供需。加入政策利率、匯率與事件，分析金融環境關聯，不直接推論因果。機器學習預估成交機率與等待時間；Gen AI受控查詢歷史數據，比較相似時期，產生附來源與不確定性的建議。例如比較立即借出與等待的淨收益，建議分批掛單；已借出資金待還款後才配置。</w:t>
      </w:r>
    </w:p>
    <w:p>
      <w:pPr>
        <w:pStyle w:val="Heading1"/>
        <w:spacing w:before="60" w:after="40"/>
      </w:pPr>
      <w:r>
        <w:t>三 項目評估與驗證</w:t>
      </w:r>
    </w:p>
    <w:p>
      <w:r>
        <w:t>資訊、財務、風控與法遵共同評估平台條款、資料授權、成本與責任。按時間切分訓練及測試資料，防止未來資訊洩漏；模擬納入排隊、部分成交及提前還款。服務網站設獨立模擬測試區，使用者設定幣別、虛擬本金、期間與風險限制，分別模擬幣所投資工具的規則及客製策略工具；在相同行情、期間、資金與費用下，比較淨收益、年化收益、資金使用率、等待時間與回撤，與小額實績核對差異。結果標示來源、假設及版本；幣所無測試介面時採歷史回放，揭露估計限制。以既有規則為基準試辦三個月，通過審查後擴大。</w:t>
      </w:r>
    </w:p>
    <w:p>
      <w:pPr>
        <w:pStyle w:val="Heading1"/>
        <w:spacing w:before="60" w:after="40"/>
      </w:pPr>
      <w:r>
        <w:t>四 人工監管與上線控制</w:t>
      </w:r>
    </w:p>
    <w:p>
      <w:r>
        <w:t>API Key建立或更換須綁定核准的固定出口IP白名單；工具測試允許IP可連線、非允許IP遭拒，並驗證權限及禁用提領，再由非申請人覆核啟用。未通過IP驗證者不得啟用正式交易；加密集中保存、定期輪替，禁止寫入程式或AI提示。程式修改經版本控管、同儕審查、測試與主管核准；開發者不得自行核准部署，須有回復方案。上線小額試行，專人監控與停機；限制金額、期限及曝險，斷線停新單，重連核帳。AI僅可讀白名單欄位；讀取者、時間、欄位、查詢及筆數寫入獨立稽核區，僅可新增，應用與開發帳號不得修改刪除，另存防竄改備份。</w:t>
      </w:r>
    </w:p>
    <w:p>
      <w:pPr>
        <w:pStyle w:val="Heading1"/>
        <w:spacing w:before="60" w:after="40"/>
      </w:pPr>
      <w:r>
        <w:t>五 個資與資料環境管控</w:t>
      </w:r>
    </w:p>
    <w:p>
      <w:r>
        <w:t>依個資法確認蒐集依據，告知用途、對象與保存期間，僅蒐集必要資料；傳輸與儲存加密、最小權限、存取留痕，提供查閱、更正及依法刪除管道。保存期限屆滿依法清除，外洩依規定通知。網站模擬區與正式區分離資料庫、帳號及金鑰，明示模擬結果，僅用虛擬資金，禁止呼叫正式下單介面。個資測試用合成資料；正式資料須核准去識別後匯入，測試後清除副本。</w:t>
      </w:r>
    </w:p>
    <w:p>
      <w:pPr>
        <w:pStyle w:val="Heading1"/>
        <w:spacing w:before="60" w:after="40"/>
      </w:pPr>
      <w:r>
        <w:t>六 收費服務與法遵管理</w:t>
      </w:r>
    </w:p>
    <w:p>
      <w:r>
        <w:t>以可對帳實績評估付費分析或工具服務的成本與需求，區分實績與回測，不保證收益。收費前由律師審查投顧、代客操作及虛擬資產服務規範，確認許可與洗錢防制要求。契約載明費率、續約、取消、依法退費及申訴程序；會員依方案授權，收款對帳與權限異動留痕，對外廣告及績效經主管與法遵覆核，確認真實、風險完整且無誤導。參考投信投顧法、個資法、消保法及虛擬資產登記規範，確認新法施行及過渡規定。主管核准監督，財務、資訊及風控分工覆核。</w:t>
      </w:r>
    </w:p>
    <w:p>
      <w:pPr>
        <w:spacing w:before="60" w:after="0"/>
      </w:pPr>
      <w:r>
        <w:rPr>
          <w:sz w:val="16"/>
        </w:rPr>
        <w:t xml:space="preserve">官方法規參考　</w:t>
      </w:r>
      <w:hyperlink r:id="rId9">
        <w:r>
          <w:rPr>
            <w:sz w:val="16"/>
          </w:rPr>
          <w:t>投信投顧法　</w:t>
        </w:r>
      </w:hyperlink>
      <w:hyperlink r:id="rId10">
        <w:r>
          <w:rPr>
            <w:sz w:val="16"/>
          </w:rPr>
          <w:t>洗錢防制登記辦法　</w:t>
        </w:r>
      </w:hyperlink>
      <w:hyperlink r:id="rId11">
        <w:r>
          <w:rPr>
            <w:sz w:val="16"/>
          </w:rPr>
          <w:t>虛擬資產服務法　</w:t>
        </w:r>
      </w:hyperlink>
      <w:hyperlink r:id="rId12">
        <w:r>
          <w:rPr>
            <w:sz w:val="16"/>
          </w:rPr>
          <w:t>個資法　</w:t>
        </w:r>
      </w:hyperlink>
      <w:hyperlink r:id="rId13">
        <w:r>
          <w:rPr>
            <w:sz w:val="16"/>
          </w:rPr>
          <w:t>消保法　</w:t>
        </w:r>
      </w:hyperlink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aw.moj.gov.tw/LawClass/LawAll.aspx?pcode=G0400121" TargetMode="External"/><Relationship Id="rId10" Type="http://schemas.openxmlformats.org/officeDocument/2006/relationships/hyperlink" Target="https://law.moj.gov.tw/LawClass/LawAll.aspx?pcode=G0400162" TargetMode="External"/><Relationship Id="rId11" Type="http://schemas.openxmlformats.org/officeDocument/2006/relationships/hyperlink" Target="https://law.fsc.gov.tw/LawContent.aspx?id=GL004301" TargetMode="External"/><Relationship Id="rId12" Type="http://schemas.openxmlformats.org/officeDocument/2006/relationships/hyperlink" Target="https://law.moj.gov.tw/LawClass/LawAll.aspx?PCode=I0050021" TargetMode="External"/><Relationship Id="rId13" Type="http://schemas.openxmlformats.org/officeDocument/2006/relationships/hyperlink" Target="https://law.moj.gov.tw/LawClass/LawAll.aspx?pcode=J0170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陳群升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