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72D8D8" w14:textId="4572E2C5" w:rsidR="004A0A9B" w:rsidRPr="00BB288B" w:rsidRDefault="00BB288B" w:rsidP="009412C7">
      <w:pPr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11</w:t>
      </w:r>
      <w:r w:rsidR="00F722D4">
        <w:rPr>
          <w:rFonts w:ascii="標楷體" w:eastAsia="標楷體" w:hAnsi="標楷體" w:hint="eastAsia"/>
          <w:b/>
          <w:sz w:val="32"/>
          <w:szCs w:val="32"/>
        </w:rPr>
        <w:t>5</w:t>
      </w:r>
      <w:r>
        <w:rPr>
          <w:rFonts w:ascii="標楷體" w:eastAsia="標楷體" w:hAnsi="標楷體" w:hint="eastAsia"/>
          <w:b/>
          <w:sz w:val="32"/>
          <w:szCs w:val="32"/>
        </w:rPr>
        <w:t>年「軟體專利</w:t>
      </w:r>
      <w:r>
        <w:rPr>
          <w:rFonts w:ascii="標楷體" w:eastAsia="標楷體" w:hAnsi="標楷體"/>
          <w:b/>
          <w:sz w:val="32"/>
          <w:szCs w:val="32"/>
        </w:rPr>
        <w:t>」</w:t>
      </w:r>
      <w:r w:rsidR="009412C7" w:rsidRPr="00BB288B">
        <w:rPr>
          <w:rFonts w:ascii="標楷體" w:eastAsia="標楷體" w:hAnsi="標楷體" w:hint="eastAsia"/>
          <w:b/>
          <w:sz w:val="32"/>
          <w:szCs w:val="32"/>
        </w:rPr>
        <w:t>期中作業</w:t>
      </w:r>
    </w:p>
    <w:p w14:paraId="603F4A7A" w14:textId="77777777" w:rsidR="00BB288B" w:rsidRDefault="00BB288B" w:rsidP="009412C7">
      <w:pPr>
        <w:adjustRightInd w:val="0"/>
        <w:snapToGrid w:val="0"/>
        <w:spacing w:line="440" w:lineRule="exac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</w:p>
    <w:tbl>
      <w:tblPr>
        <w:tblStyle w:val="a4"/>
        <w:tblW w:w="0" w:type="auto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1"/>
        <w:gridCol w:w="4181"/>
      </w:tblGrid>
      <w:tr w:rsidR="009412C7" w:rsidRPr="009412C7" w14:paraId="49F7C75B" w14:textId="77777777" w:rsidTr="009412C7">
        <w:tc>
          <w:tcPr>
            <w:tcW w:w="4181" w:type="dxa"/>
          </w:tcPr>
          <w:p w14:paraId="2A1BD756" w14:textId="69034BD1" w:rsidR="009412C7" w:rsidRPr="009412C7" w:rsidRDefault="009412C7" w:rsidP="00F722D4">
            <w:pPr>
              <w:adjustRightInd w:val="0"/>
              <w:snapToGrid w:val="0"/>
              <w:spacing w:line="440" w:lineRule="exact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9412C7">
              <w:rPr>
                <w:rFonts w:ascii="標楷體" w:eastAsia="標楷體" w:hAnsi="標楷體" w:hint="eastAsia"/>
                <w:bCs/>
                <w:sz w:val="28"/>
                <w:szCs w:val="28"/>
              </w:rPr>
              <w:t>學號：</w:t>
            </w:r>
            <w:r w:rsidR="00F722D4">
              <w:rPr>
                <w:rFonts w:ascii="標楷體" w:eastAsia="標楷體" w:hAnsi="標楷體" w:hint="eastAsia"/>
                <w:bCs/>
                <w:sz w:val="28"/>
                <w:szCs w:val="28"/>
              </w:rPr>
              <w:t>M11509904</w:t>
            </w:r>
          </w:p>
        </w:tc>
        <w:tc>
          <w:tcPr>
            <w:tcW w:w="4181" w:type="dxa"/>
          </w:tcPr>
          <w:p w14:paraId="0920CA26" w14:textId="41047B8D" w:rsidR="009412C7" w:rsidRPr="009412C7" w:rsidRDefault="009412C7" w:rsidP="009412C7">
            <w:pPr>
              <w:adjustRightInd w:val="0"/>
              <w:snapToGrid w:val="0"/>
              <w:spacing w:line="440" w:lineRule="exact"/>
              <w:jc w:val="right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姓名：</w:t>
            </w:r>
            <w:r w:rsidR="00F722D4">
              <w:rPr>
                <w:rFonts w:ascii="標楷體" w:eastAsia="標楷體" w:hAnsi="標楷體" w:hint="eastAsia"/>
                <w:bCs/>
                <w:sz w:val="28"/>
                <w:szCs w:val="28"/>
              </w:rPr>
              <w:t>張健志</w:t>
            </w:r>
          </w:p>
        </w:tc>
      </w:tr>
    </w:tbl>
    <w:p w14:paraId="295829EC" w14:textId="76D24DB5" w:rsidR="009412C7" w:rsidRPr="009412C7" w:rsidRDefault="009412C7" w:rsidP="009412C7">
      <w:pPr>
        <w:adjustRightInd w:val="0"/>
        <w:snapToGrid w:val="0"/>
        <w:spacing w:line="440" w:lineRule="exact"/>
        <w:rPr>
          <w:rFonts w:ascii="標楷體" w:eastAsia="標楷體" w:hAnsi="標楷體"/>
          <w:b/>
          <w:sz w:val="32"/>
          <w:szCs w:val="32"/>
          <w:u w:val="single"/>
        </w:rPr>
      </w:pPr>
    </w:p>
    <w:p w14:paraId="525653CB" w14:textId="386EE572" w:rsidR="00BB288B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/>
          <w:sz w:val="28"/>
          <w:szCs w:val="28"/>
        </w:rPr>
        <w:t>題目：</w:t>
      </w:r>
      <w:r w:rsidRPr="009412C7">
        <w:rPr>
          <w:rFonts w:ascii="標楷體" w:eastAsia="標楷體" w:hAnsi="標楷體" w:hint="eastAsia"/>
          <w:sz w:val="28"/>
          <w:szCs w:val="28"/>
        </w:rPr>
        <w:t>「</w:t>
      </w:r>
      <w:r w:rsidR="00F722D4" w:rsidRPr="00F722D4">
        <w:rPr>
          <w:rFonts w:ascii="標楷體" w:eastAsia="標楷體" w:hAnsi="標楷體" w:hint="eastAsia"/>
          <w:sz w:val="28"/>
          <w:szCs w:val="28"/>
        </w:rPr>
        <w:t>一種於 Linux作業系統下預啟動測試機電腦之方法</w:t>
      </w:r>
      <w:r w:rsidRPr="009412C7">
        <w:rPr>
          <w:rFonts w:ascii="標楷體" w:eastAsia="標楷體" w:hAnsi="標楷體" w:hint="eastAsia"/>
          <w:sz w:val="28"/>
          <w:szCs w:val="28"/>
        </w:rPr>
        <w:t>」發明專利，閱讀心得報告</w:t>
      </w:r>
    </w:p>
    <w:p w14:paraId="54D981A4" w14:textId="77777777" w:rsidR="00B1689D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專利案基本資料：</w:t>
      </w:r>
    </w:p>
    <w:p w14:paraId="374F43D3" w14:textId="20CE94D4" w:rsidR="00B1689D" w:rsidRPr="009412C7" w:rsidRDefault="00B1689D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申請日：</w:t>
      </w:r>
      <w:r w:rsidR="0079129C">
        <w:rPr>
          <w:rFonts w:ascii="標楷體" w:eastAsia="標楷體" w:hAnsi="標楷體" w:hint="eastAsia"/>
          <w:sz w:val="28"/>
          <w:szCs w:val="28"/>
        </w:rPr>
        <w:t>202</w:t>
      </w:r>
      <w:r w:rsidR="00F722D4">
        <w:rPr>
          <w:rFonts w:ascii="標楷體" w:eastAsia="標楷體" w:hAnsi="標楷體" w:hint="eastAsia"/>
          <w:sz w:val="28"/>
          <w:szCs w:val="28"/>
        </w:rPr>
        <w:t>2</w:t>
      </w:r>
      <w:r w:rsidRPr="009412C7">
        <w:rPr>
          <w:rFonts w:ascii="標楷體" w:eastAsia="標楷體" w:hAnsi="標楷體" w:hint="eastAsia"/>
          <w:sz w:val="28"/>
          <w:szCs w:val="28"/>
        </w:rPr>
        <w:t>/</w:t>
      </w:r>
      <w:r w:rsidR="0079129C">
        <w:rPr>
          <w:rFonts w:ascii="標楷體" w:eastAsia="標楷體" w:hAnsi="標楷體" w:hint="eastAsia"/>
          <w:sz w:val="28"/>
          <w:szCs w:val="28"/>
        </w:rPr>
        <w:t>1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79129C">
        <w:rPr>
          <w:rFonts w:ascii="標楷體" w:eastAsia="標楷體" w:hAnsi="標楷體" w:hint="eastAsia"/>
          <w:sz w:val="28"/>
          <w:szCs w:val="28"/>
        </w:rPr>
        <w:t>25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 公開日：2024/</w:t>
      </w:r>
      <w:r w:rsidR="00F722D4">
        <w:rPr>
          <w:rFonts w:ascii="標楷體" w:eastAsia="標楷體" w:hAnsi="標楷體" w:hint="eastAsia"/>
          <w:sz w:val="28"/>
          <w:szCs w:val="28"/>
        </w:rPr>
        <w:t>05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01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 xml:space="preserve">   公告日：</w:t>
      </w:r>
      <w:r w:rsidR="00F722D4">
        <w:rPr>
          <w:rFonts w:ascii="標楷體" w:eastAsia="標楷體" w:hAnsi="標楷體" w:hint="eastAsia"/>
          <w:sz w:val="28"/>
          <w:szCs w:val="28"/>
        </w:rPr>
        <w:t>2024/12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9E1B7F" w:rsidRPr="009412C7">
        <w:rPr>
          <w:rFonts w:ascii="標楷體" w:eastAsia="標楷體" w:hAnsi="標楷體" w:hint="eastAsia"/>
          <w:sz w:val="28"/>
          <w:szCs w:val="28"/>
        </w:rPr>
        <w:t>1</w:t>
      </w:r>
    </w:p>
    <w:p w14:paraId="76E9C7EC" w14:textId="7D1F8D7D" w:rsidR="009E1B7F" w:rsidRPr="009412C7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申請號：</w:t>
      </w:r>
      <w:r w:rsidR="00F722D4" w:rsidRPr="00F722D4">
        <w:rPr>
          <w:rFonts w:ascii="標楷體" w:eastAsia="標楷體" w:hAnsi="標楷體"/>
          <w:sz w:val="28"/>
          <w:szCs w:val="28"/>
        </w:rPr>
        <w:t>111140502</w:t>
      </w:r>
      <w:r w:rsidRPr="009412C7">
        <w:rPr>
          <w:rFonts w:ascii="標楷體" w:eastAsia="標楷體" w:hAnsi="標楷體" w:hint="eastAsia"/>
          <w:sz w:val="28"/>
          <w:szCs w:val="28"/>
        </w:rPr>
        <w:t xml:space="preserve">    公開號：</w:t>
      </w:r>
      <w:r w:rsidR="00F722D4">
        <w:rPr>
          <w:rFonts w:ascii="標楷體" w:eastAsia="標楷體" w:hAnsi="標楷體" w:hint="eastAsia"/>
          <w:sz w:val="22"/>
        </w:rPr>
        <w:t>TW 202418079</w:t>
      </w:r>
      <w:r w:rsidR="0079129C">
        <w:rPr>
          <w:rFonts w:ascii="標楷體" w:eastAsia="標楷體" w:hAnsi="標楷體" w:hint="eastAsia"/>
          <w:sz w:val="28"/>
          <w:szCs w:val="28"/>
        </w:rPr>
        <w:t xml:space="preserve"> </w:t>
      </w:r>
      <w:r w:rsidR="00F722D4">
        <w:rPr>
          <w:rFonts w:ascii="標楷體" w:eastAsia="標楷體" w:hAnsi="標楷體" w:hint="eastAsia"/>
          <w:sz w:val="28"/>
          <w:szCs w:val="28"/>
        </w:rPr>
        <w:t xml:space="preserve"> </w:t>
      </w:r>
      <w:r w:rsidR="0079129C">
        <w:rPr>
          <w:rFonts w:ascii="標楷體" w:eastAsia="標楷體" w:hAnsi="標楷體" w:hint="eastAsia"/>
          <w:sz w:val="28"/>
          <w:szCs w:val="28"/>
        </w:rPr>
        <w:t xml:space="preserve"> </w:t>
      </w:r>
      <w:r w:rsidRPr="009412C7">
        <w:rPr>
          <w:rFonts w:ascii="標楷體" w:eastAsia="標楷體" w:hAnsi="標楷體" w:hint="eastAsia"/>
          <w:sz w:val="28"/>
          <w:szCs w:val="28"/>
        </w:rPr>
        <w:t>公</w:t>
      </w:r>
      <w:r w:rsidR="00F722D4">
        <w:rPr>
          <w:rFonts w:ascii="標楷體" w:eastAsia="標楷體" w:hAnsi="標楷體" w:hint="eastAsia"/>
          <w:sz w:val="28"/>
          <w:szCs w:val="28"/>
        </w:rPr>
        <w:t>開</w:t>
      </w:r>
      <w:r w:rsidR="00F722D4" w:rsidRPr="009412C7">
        <w:rPr>
          <w:rFonts w:ascii="標楷體" w:eastAsia="標楷體" w:hAnsi="標楷體" w:hint="eastAsia"/>
          <w:sz w:val="28"/>
          <w:szCs w:val="28"/>
        </w:rPr>
        <w:t>日</w:t>
      </w:r>
      <w:r w:rsidRPr="009412C7">
        <w:rPr>
          <w:rFonts w:ascii="標楷體" w:eastAsia="標楷體" w:hAnsi="標楷體" w:hint="eastAsia"/>
          <w:sz w:val="28"/>
          <w:szCs w:val="28"/>
        </w:rPr>
        <w:t>：</w:t>
      </w:r>
      <w:r w:rsidR="0079129C" w:rsidRPr="0079129C">
        <w:rPr>
          <w:rFonts w:ascii="標楷體" w:eastAsia="標楷體" w:hAnsi="標楷體"/>
          <w:sz w:val="28"/>
          <w:szCs w:val="28"/>
        </w:rPr>
        <w:t>202</w:t>
      </w:r>
      <w:r w:rsidR="00F722D4">
        <w:rPr>
          <w:rFonts w:ascii="標楷體" w:eastAsia="標楷體" w:hAnsi="標楷體" w:hint="eastAsia"/>
          <w:sz w:val="28"/>
          <w:szCs w:val="28"/>
        </w:rPr>
        <w:t>4</w:t>
      </w:r>
      <w:r w:rsidR="0079129C" w:rsidRPr="0079129C">
        <w:rPr>
          <w:rFonts w:ascii="標楷體" w:eastAsia="標楷體" w:hAnsi="標楷體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05</w:t>
      </w:r>
      <w:r w:rsidR="0079129C" w:rsidRPr="0079129C">
        <w:rPr>
          <w:rFonts w:ascii="標楷體" w:eastAsia="標楷體" w:hAnsi="標楷體"/>
          <w:sz w:val="28"/>
          <w:szCs w:val="28"/>
        </w:rPr>
        <w:t>/</w:t>
      </w:r>
      <w:r w:rsidR="00F722D4">
        <w:rPr>
          <w:rFonts w:ascii="標楷體" w:eastAsia="標楷體" w:hAnsi="標楷體" w:hint="eastAsia"/>
          <w:sz w:val="28"/>
          <w:szCs w:val="28"/>
        </w:rPr>
        <w:t>0</w:t>
      </w:r>
      <w:r w:rsidR="0079129C" w:rsidRPr="0079129C">
        <w:rPr>
          <w:rFonts w:ascii="標楷體" w:eastAsia="標楷體" w:hAnsi="標楷體"/>
          <w:sz w:val="28"/>
          <w:szCs w:val="28"/>
        </w:rPr>
        <w:t>1</w:t>
      </w:r>
    </w:p>
    <w:p w14:paraId="01A79383" w14:textId="6F1F006A" w:rsidR="009E1B7F" w:rsidRPr="009412C7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申請人：</w:t>
      </w:r>
      <w:r w:rsidR="00F722D4" w:rsidRPr="00F722D4">
        <w:rPr>
          <w:rFonts w:ascii="標楷體" w:eastAsia="標楷體" w:hAnsi="標楷體" w:hint="eastAsia"/>
          <w:sz w:val="28"/>
          <w:szCs w:val="28"/>
        </w:rPr>
        <w:t>英業達股份有限公司 (INVENTEC)／ 發明人：陳樹青</w:t>
      </w:r>
    </w:p>
    <w:p w14:paraId="14D2B5ED" w14:textId="77777777" w:rsidR="009E1B7F" w:rsidRDefault="009E1B7F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  <w:r w:rsidRPr="009412C7">
        <w:rPr>
          <w:rFonts w:ascii="標楷體" w:eastAsia="標楷體" w:hAnsi="標楷體" w:hint="eastAsia"/>
          <w:sz w:val="28"/>
          <w:szCs w:val="28"/>
        </w:rPr>
        <w:t>本案技術內容：（以下格式不拘）</w:t>
      </w:r>
    </w:p>
    <w:p w14:paraId="5D7E86BD" w14:textId="77777777" w:rsidR="00FA6370" w:rsidRPr="009412C7" w:rsidRDefault="00FA6370" w:rsidP="00F82598">
      <w:pPr>
        <w:adjustRightInd w:val="0"/>
        <w:snapToGrid w:val="0"/>
        <w:spacing w:line="440" w:lineRule="exact"/>
        <w:ind w:left="767" w:hangingChars="274" w:hanging="767"/>
        <w:rPr>
          <w:rFonts w:ascii="標楷體" w:eastAsia="標楷體" w:hAnsi="標楷體"/>
          <w:sz w:val="28"/>
          <w:szCs w:val="28"/>
        </w:rPr>
      </w:pPr>
    </w:p>
    <w:p w14:paraId="7299F473" w14:textId="77777777" w:rsidR="009E1B7F" w:rsidRPr="00321ECD" w:rsidRDefault="009E1B7F" w:rsidP="0079129C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本案欲解決的問題</w:t>
      </w:r>
    </w:p>
    <w:p w14:paraId="5DB748AB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1. 先前技術概要：</w:t>
      </w:r>
    </w:p>
    <w:p w14:paraId="5B6BB48A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在大型伺服器製造廠或電腦設備測試環境中，測試機電腦（Client Test Computer）於進行硬體自動化診斷與功能檢測前，必須先在 Linux 作業系統環境下載入預啟動程式（</w:t>
      </w:r>
      <w:proofErr w:type="spellStart"/>
      <w:r w:rsidRPr="00F722D4">
        <w:rPr>
          <w:rFonts w:ascii="標楷體" w:eastAsia="標楷體" w:hAnsi="標楷體" w:hint="eastAsia"/>
          <w:sz w:val="28"/>
          <w:szCs w:val="28"/>
        </w:rPr>
        <w:t>Preboot</w:t>
      </w:r>
      <w:proofErr w:type="spellEnd"/>
      <w:r w:rsidRPr="00F722D4">
        <w:rPr>
          <w:rFonts w:ascii="標楷體" w:eastAsia="標楷體" w:hAnsi="標楷體" w:hint="eastAsia"/>
          <w:sz w:val="28"/>
          <w:szCs w:val="28"/>
        </w:rPr>
        <w:t xml:space="preserve"> Execution Program）與內核核心（Diagnostic OS Kernel）。傳統的做法通常係透過網路連線至單一預啟動伺服器，由測試機電腦發出請求並直接傳輸測試核心檔案。</w:t>
      </w:r>
    </w:p>
    <w:p w14:paraId="4DFA0BF7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2. 先前技術缺失：</w:t>
      </w:r>
    </w:p>
    <w:p w14:paraId="0CA9E9E9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（1）單點網路效能瓶頸：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當產線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有數十至數百台測試機電腦同時啟動（高併發高負載）時，單一預啟動伺服器無法承受瞬間龐大的網路頻寬與檔案讀取 IOPS 壓力，導致下載逾時或預啟動失敗。</w:t>
      </w:r>
    </w:p>
    <w:p w14:paraId="6D7F47B0" w14:textId="77777777" w:rsidR="00F722D4" w:rsidRPr="00F722D4" w:rsidRDefault="00F722D4" w:rsidP="00F82598">
      <w:pPr>
        <w:pStyle w:val="a3"/>
        <w:adjustRightInd w:val="0"/>
        <w:snapToGrid w:val="0"/>
        <w:spacing w:line="440" w:lineRule="exact"/>
        <w:ind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（2）路徑配置彈性不足：傳統預啟動環境常將檔案目錄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固定硬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編碼（Hardcoded），無法針對 Linux 作業系統特殊的根目錄架構與動態 IP 網路環境進行彈性路徑指派，導致部署維護困難。</w:t>
      </w:r>
    </w:p>
    <w:p w14:paraId="46EE260B" w14:textId="77777777" w:rsidR="00F722D4" w:rsidRPr="00F722D4" w:rsidRDefault="00F722D4" w:rsidP="00F722D4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3. 本案要解決的問題 (發明目的)：</w:t>
      </w:r>
    </w:p>
    <w:p w14:paraId="2C836A2D" w14:textId="39365E9F" w:rsidR="0079129C" w:rsidRDefault="00F722D4" w:rsidP="00F82598">
      <w:pPr>
        <w:pStyle w:val="a3"/>
        <w:adjustRightInd w:val="0"/>
        <w:snapToGrid w:val="0"/>
        <w:spacing w:line="440" w:lineRule="exact"/>
        <w:ind w:leftChars="0" w:firstLineChars="233" w:firstLine="652"/>
        <w:rPr>
          <w:rFonts w:ascii="標楷體" w:eastAsia="標楷體" w:hAnsi="標楷體"/>
          <w:sz w:val="28"/>
          <w:szCs w:val="28"/>
        </w:rPr>
      </w:pPr>
      <w:r w:rsidRPr="00F722D4">
        <w:rPr>
          <w:rFonts w:ascii="標楷體" w:eastAsia="標楷體" w:hAnsi="標楷體" w:hint="eastAsia"/>
          <w:sz w:val="28"/>
          <w:szCs w:val="28"/>
        </w:rPr>
        <w:t>本發明旨在提出一種創新的 Linux 預啟動測試電腦架構與</w:t>
      </w:r>
      <w:r w:rsidRPr="00F722D4">
        <w:rPr>
          <w:rFonts w:ascii="標楷體" w:eastAsia="標楷體" w:hAnsi="標楷體" w:hint="eastAsia"/>
          <w:sz w:val="28"/>
          <w:szCs w:val="28"/>
        </w:rPr>
        <w:lastRenderedPageBreak/>
        <w:t>方法，透過 DHCP 動態自動指派 Linux 根目錄與網路位置，並整合負載均衡處理器（如 Nginx）於</w:t>
      </w:r>
      <w:proofErr w:type="gramStart"/>
      <w:r w:rsidRPr="00F722D4">
        <w:rPr>
          <w:rFonts w:ascii="標楷體" w:eastAsia="標楷體" w:hAnsi="標楷體" w:hint="eastAsia"/>
          <w:sz w:val="28"/>
          <w:szCs w:val="28"/>
        </w:rPr>
        <w:t>多台預啟動</w:t>
      </w:r>
      <w:proofErr w:type="gramEnd"/>
      <w:r w:rsidRPr="00F722D4">
        <w:rPr>
          <w:rFonts w:ascii="標楷體" w:eastAsia="標楷體" w:hAnsi="標楷體" w:hint="eastAsia"/>
          <w:sz w:val="28"/>
          <w:szCs w:val="28"/>
        </w:rPr>
        <w:t>伺服器之間動態分流，從而徹底解決產線高併發預啟動時的網路過載與傳輸失敗問題，達成高效率、高擴充性與高穩定度之自動化測試。</w:t>
      </w:r>
    </w:p>
    <w:p w14:paraId="342D831C" w14:textId="77777777" w:rsidR="00321ECD" w:rsidRPr="009412C7" w:rsidRDefault="00321ECD" w:rsidP="00F82598">
      <w:pPr>
        <w:pStyle w:val="a3"/>
        <w:adjustRightInd w:val="0"/>
        <w:snapToGrid w:val="0"/>
        <w:spacing w:line="440" w:lineRule="exact"/>
        <w:ind w:leftChars="0" w:firstLineChars="233" w:firstLine="652"/>
        <w:rPr>
          <w:rFonts w:ascii="標楷體" w:eastAsia="標楷體" w:hAnsi="標楷體"/>
          <w:sz w:val="28"/>
          <w:szCs w:val="28"/>
        </w:rPr>
      </w:pPr>
    </w:p>
    <w:p w14:paraId="3A08D460" w14:textId="77777777" w:rsidR="009E1B7F" w:rsidRPr="00321ECD" w:rsidRDefault="009E1B7F" w:rsidP="00224E55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解決問題的技術手段</w:t>
      </w:r>
    </w:p>
    <w:p w14:paraId="2714F414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核心技術手段（專利獨立項／請求項 1 拆解）：</w:t>
      </w:r>
    </w:p>
    <w:p w14:paraId="69E46174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核心技術手段係記載於請求項 1，可進一步劃分為「特別技術特徵」與「一般技術特徵」：</w:t>
      </w:r>
    </w:p>
    <w:p w14:paraId="797B9633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 w:firstLine="48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甲、特別技術特徵（使本案具備新穎性與進步性之關鍵特徵）：</w:t>
      </w:r>
    </w:p>
    <w:p w14:paraId="153E146C" w14:textId="77777777" w:rsidR="00D1746F" w:rsidRPr="00D1746F" w:rsidRDefault="00D1746F" w:rsidP="00F82598">
      <w:pPr>
        <w:adjustRightInd w:val="0"/>
        <w:snapToGrid w:val="0"/>
        <w:spacing w:line="440" w:lineRule="exact"/>
        <w:ind w:leftChars="500" w:left="1560" w:hanging="360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預啟動程式伺服器於 Linux 作業系統下部署網路位置、預啟動程式及對應儲存路徑，且該儲存路徑特別限定為「預啟動程式伺服器於 Linux 作業系統下之根目錄（Root Directory）」。</w:t>
      </w:r>
    </w:p>
    <w:p w14:paraId="09A22A4F" w14:textId="77777777" w:rsidR="00D1746F" w:rsidRPr="00D1746F" w:rsidRDefault="00D1746F" w:rsidP="00F82598">
      <w:pPr>
        <w:adjustRightInd w:val="0"/>
        <w:snapToGrid w:val="0"/>
        <w:spacing w:line="440" w:lineRule="exact"/>
        <w:ind w:leftChars="500" w:left="1560" w:hanging="360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測試機電腦透過網路連結動態主機設定伺服器，自動動態取得該網路位置以及該根目錄儲存路徑。</w:t>
      </w:r>
    </w:p>
    <w:p w14:paraId="2D3DDF95" w14:textId="77777777" w:rsidR="00D1746F" w:rsidRPr="00D1746F" w:rsidRDefault="00D1746F" w:rsidP="00F82598">
      <w:pPr>
        <w:adjustRightInd w:val="0"/>
        <w:snapToGrid w:val="0"/>
        <w:spacing w:line="440" w:lineRule="exact"/>
        <w:ind w:leftChars="500" w:left="1560" w:hanging="360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測試機電腦透過檔案傳輸協定（FTP/TFTP）依據取得之網路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位置及根目錄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儲存路徑，遠端擷取並執行該預啟動程式。</w:t>
      </w:r>
    </w:p>
    <w:p w14:paraId="39B72A86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 w:firstLine="48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乙、一般技術特徵（系統基礎硬體架構與元件）：</w:t>
      </w:r>
    </w:p>
    <w:p w14:paraId="42E736E3" w14:textId="77777777" w:rsidR="00D1746F" w:rsidRPr="00D1746F" w:rsidRDefault="00D1746F" w:rsidP="00F82598">
      <w:pPr>
        <w:adjustRightInd w:val="0"/>
        <w:snapToGrid w:val="0"/>
        <w:spacing w:line="440" w:lineRule="exact"/>
        <w:ind w:leftChars="499" w:left="1699" w:hanging="501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包含至少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測試機電腦（11）、區域網路（12）、動態主機設定伺服器（13）以及至少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預啟動程式伺服器（15）。</w:t>
      </w:r>
    </w:p>
    <w:p w14:paraId="3B3184FF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附加技術手段（專利附屬項／請求項 2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–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8 拆解）：</w:t>
      </w:r>
    </w:p>
    <w:p w14:paraId="75C7FF01" w14:textId="77777777" w:rsidR="00D1746F" w:rsidRPr="00D1746F" w:rsidRDefault="00D1746F" w:rsidP="00F82598">
      <w:pPr>
        <w:adjustRightInd w:val="0"/>
        <w:snapToGrid w:val="0"/>
        <w:spacing w:line="440" w:lineRule="exact"/>
        <w:ind w:leftChars="100" w:left="24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附屬項在獨立項基礎上進一步補充具體實施細節，增強專利權防禦強度：</w:t>
      </w:r>
    </w:p>
    <w:p w14:paraId="148EB770" w14:textId="77777777" w:rsidR="00D1746F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動態負載分流（請求項 2）：系統包含複數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預啟動程式伺服器與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負載均衡處理器（14），測試機電腦取得預啟動程式時，由負載均衡處理器於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多台預啟動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伺服器之間進行動態負載分配。</w:t>
      </w:r>
    </w:p>
    <w:p w14:paraId="421FF0B8" w14:textId="77777777" w:rsidR="00D1746F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伺服器數量限定（請求項 3）：具體較佳實施例中，預啟動</w:t>
      </w:r>
      <w:r w:rsidRPr="00D1746F">
        <w:rPr>
          <w:rFonts w:ascii="標楷體" w:eastAsia="標楷體" w:hAnsi="標楷體" w:hint="eastAsia"/>
          <w:sz w:val="28"/>
          <w:szCs w:val="28"/>
        </w:rPr>
        <w:lastRenderedPageBreak/>
        <w:t>程式伺服器之數量設定為三個（3台）。</w:t>
      </w:r>
    </w:p>
    <w:p w14:paraId="5E62A30D" w14:textId="77777777" w:rsidR="00D1746F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負載均衡元件（請求項 4）：明確界定該負載均衡處理器係為 Nginx 伺服器，展現軟體架構實作細節。</w:t>
      </w:r>
    </w:p>
    <w:p w14:paraId="09160C42" w14:textId="77777777" w:rsidR="00D1746F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動態設定伺服器（請求項 5 &amp; 6）：界定該動態主機設定伺服器為 DHCP 伺服器，且取得路徑與 IP 之步驟係透過執行 DHCP 常駐程式（DHCPD, DHCP Daemon）達成。</w:t>
      </w:r>
    </w:p>
    <w:p w14:paraId="2DE0EDFC" w14:textId="77777777" w:rsidR="00D1746F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檔案傳輸協定（請求項 7）：界定該檔案傳輸協定採用簡單檔案傳輸通訊協定（TFTP, Trivial File Transfer Protocol）。</w:t>
      </w:r>
    </w:p>
    <w:p w14:paraId="656241B1" w14:textId="2916A441" w:rsidR="00321ECD" w:rsidRPr="00D1746F" w:rsidRDefault="00D1746F" w:rsidP="00F82598">
      <w:pPr>
        <w:adjustRightInd w:val="0"/>
        <w:snapToGrid w:val="0"/>
        <w:spacing w:line="440" w:lineRule="exact"/>
        <w:ind w:leftChars="300" w:left="1134" w:hanging="414"/>
        <w:rPr>
          <w:rFonts w:ascii="標楷體" w:eastAsia="標楷體" w:hAnsi="標楷體"/>
          <w:sz w:val="28"/>
          <w:szCs w:val="28"/>
        </w:rPr>
      </w:pP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•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 xml:space="preserve"> 預啟動封包內容（請求項 8）：界定該預啟動程式係為一包含 Linux 內核作業系統（Kernel OS）之壓縮檔案。</w:t>
      </w:r>
    </w:p>
    <w:p w14:paraId="23FC6087" w14:textId="77777777" w:rsidR="00321ECD" w:rsidRPr="00F82598" w:rsidRDefault="00321ECD" w:rsidP="00321ECD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6CCDC58C" w14:textId="77777777" w:rsidR="00EB4652" w:rsidRPr="00321ECD" w:rsidRDefault="00EB4652" w:rsidP="004754B1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321ECD">
        <w:rPr>
          <w:rFonts w:ascii="標楷體" w:eastAsia="標楷體" w:hAnsi="標楷體" w:hint="eastAsia"/>
          <w:b/>
          <w:bCs/>
          <w:sz w:val="28"/>
          <w:szCs w:val="28"/>
        </w:rPr>
        <w:t>達成之功效</w:t>
      </w:r>
    </w:p>
    <w:p w14:paraId="527542B4" w14:textId="77777777" w:rsidR="00D1746F" w:rsidRPr="00D1746F" w:rsidRDefault="00D1746F" w:rsidP="00D1746F">
      <w:pPr>
        <w:pStyle w:val="a3"/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有別於先前技術之功效：</w:t>
      </w:r>
    </w:p>
    <w:p w14:paraId="778CE341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="1132" w:hangingChars="233" w:hanging="652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（1）靈活之動態位址與根目錄指派：透過 DHCPD 直接傳達 Linux 根目錄與伺服器 IP，完全克服傳統靜態硬編碼路徑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之易錯性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與維護負擔。</w:t>
      </w:r>
    </w:p>
    <w:p w14:paraId="72F73C15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="1132" w:hangingChars="233" w:hanging="652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（2）消除高併發效能瓶頸：利用 Nginx 負載均衡處理器於三台（或多台）預啟動伺服器間進行流量分流，顯著降低單一伺服器之 CPU/記憶體/網路負載，確保大批量電腦同時啟動測試時零封包遺失與零掛起。</w:t>
      </w:r>
    </w:p>
    <w:p w14:paraId="11C8DB0E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="992" w:hangingChars="183" w:hanging="512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有利功效或無法預期之功效：</w:t>
      </w:r>
    </w:p>
    <w:p w14:paraId="4FF5A9AC" w14:textId="61887170" w:rsidR="00EB4652" w:rsidRPr="00F82598" w:rsidRDefault="00D1746F" w:rsidP="00F82598">
      <w:pPr>
        <w:adjustRightInd w:val="0"/>
        <w:snapToGrid w:val="0"/>
        <w:spacing w:line="440" w:lineRule="exact"/>
        <w:ind w:left="993" w:hanging="61"/>
        <w:rPr>
          <w:rFonts w:ascii="標楷體" w:eastAsia="標楷體" w:hAnsi="標楷體"/>
          <w:sz w:val="28"/>
          <w:szCs w:val="28"/>
        </w:rPr>
      </w:pPr>
      <w:r w:rsidRPr="00F82598">
        <w:rPr>
          <w:rFonts w:ascii="標楷體" w:eastAsia="標楷體" w:hAnsi="標楷體" w:hint="eastAsia"/>
          <w:sz w:val="28"/>
          <w:szCs w:val="28"/>
        </w:rPr>
        <w:t>將包含 Linux 內核之壓縮檔案直接透過 TFTP 部署於伺服器根目錄，配合 Nginx 之反向代理分流，大幅提升自動化測試產線之整體 throughput（吞吐量），實現工廠自動化檢測「</w:t>
      </w:r>
      <w:proofErr w:type="gramStart"/>
      <w:r w:rsidRPr="00F82598">
        <w:rPr>
          <w:rFonts w:ascii="標楷體" w:eastAsia="標楷體" w:hAnsi="標楷體" w:hint="eastAsia"/>
          <w:sz w:val="28"/>
          <w:szCs w:val="28"/>
        </w:rPr>
        <w:t>隨插即預</w:t>
      </w:r>
      <w:proofErr w:type="gramEnd"/>
      <w:r w:rsidRPr="00F82598">
        <w:rPr>
          <w:rFonts w:ascii="標楷體" w:eastAsia="標楷體" w:hAnsi="標楷體" w:hint="eastAsia"/>
          <w:sz w:val="28"/>
          <w:szCs w:val="28"/>
        </w:rPr>
        <w:t>啟動（Plug-and-</w:t>
      </w:r>
      <w:proofErr w:type="spellStart"/>
      <w:r w:rsidRPr="00F82598">
        <w:rPr>
          <w:rFonts w:ascii="標楷體" w:eastAsia="標楷體" w:hAnsi="標楷體" w:hint="eastAsia"/>
          <w:sz w:val="28"/>
          <w:szCs w:val="28"/>
        </w:rPr>
        <w:t>Preboot</w:t>
      </w:r>
      <w:proofErr w:type="spellEnd"/>
      <w:r w:rsidRPr="00F82598">
        <w:rPr>
          <w:rFonts w:ascii="標楷體" w:eastAsia="標楷體" w:hAnsi="標楷體" w:hint="eastAsia"/>
          <w:sz w:val="28"/>
          <w:szCs w:val="28"/>
        </w:rPr>
        <w:t>）」之自動化目標。</w:t>
      </w:r>
    </w:p>
    <w:p w14:paraId="364AA2DC" w14:textId="77777777" w:rsidR="00FA6370" w:rsidRPr="009412C7" w:rsidRDefault="00FA6370" w:rsidP="00FA6370">
      <w:pPr>
        <w:pStyle w:val="a3"/>
        <w:adjustRightInd w:val="0"/>
        <w:snapToGrid w:val="0"/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</w:p>
    <w:p w14:paraId="1E7B0540" w14:textId="77777777" w:rsidR="00EB4652" w:rsidRPr="00FA6370" w:rsidRDefault="00EB4652" w:rsidP="00321ECD">
      <w:pPr>
        <w:pStyle w:val="a3"/>
        <w:numPr>
          <w:ilvl w:val="0"/>
          <w:numId w:val="1"/>
        </w:numPr>
        <w:adjustRightInd w:val="0"/>
        <w:snapToGrid w:val="0"/>
        <w:spacing w:line="44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FA6370">
        <w:rPr>
          <w:rFonts w:ascii="標楷體" w:eastAsia="標楷體" w:hAnsi="標楷體" w:hint="eastAsia"/>
          <w:b/>
          <w:bCs/>
          <w:sz w:val="28"/>
          <w:szCs w:val="28"/>
        </w:rPr>
        <w:t>心得</w:t>
      </w:r>
    </w:p>
    <w:p w14:paraId="69A88C7B" w14:textId="77777777" w:rsidR="00D1746F" w:rsidRPr="00F82598" w:rsidRDefault="00D1746F" w:rsidP="00F82598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82598">
        <w:rPr>
          <w:rFonts w:ascii="標楷體" w:eastAsia="標楷體" w:hAnsi="標楷體" w:hint="eastAsia"/>
          <w:sz w:val="28"/>
          <w:szCs w:val="28"/>
        </w:rPr>
        <w:t>一、專利說明書與請求項撰寫品質檢討</w:t>
      </w:r>
    </w:p>
    <w:p w14:paraId="02222DF8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請求項階層化與範圍防禦：本案全案僅有 8 項請求項，結構精簡。獨立項（請求項 1）將「儲存路徑為 Linux 下</w:t>
      </w:r>
      <w:r w:rsidRPr="00D1746F">
        <w:rPr>
          <w:rFonts w:ascii="標楷體" w:eastAsia="標楷體" w:hAnsi="標楷體" w:hint="eastAsia"/>
          <w:sz w:val="28"/>
          <w:szCs w:val="28"/>
        </w:rPr>
        <w:lastRenderedPageBreak/>
        <w:t>之根目錄」明確納入特徵，這雖然強化了與先前技術的差異性，但同時也為競爭對手提供了迴避設計（Design Around）的空間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——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若對手改將預啟動程式放在子目錄或特定虛擬目錄，即可能不在獨立項文義範圍內。</w:t>
      </w:r>
    </w:p>
    <w:p w14:paraId="744A2A0E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附屬項之具體化限制：請求項 3 限定「伺服器數量為三個」，以及請求項 4 限定「Nginx 伺服器」，雖然能明確界定實施例，但限定數量為「三個」過於具體，建議在發明說明中敘述「至少二個以上」，以免限縮條文解釋。</w:t>
      </w:r>
    </w:p>
    <w:p w14:paraId="5C3C464F" w14:textId="77777777" w:rsidR="00D1746F" w:rsidRPr="00F82598" w:rsidRDefault="00D1746F" w:rsidP="00F82598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82598">
        <w:rPr>
          <w:rFonts w:ascii="標楷體" w:eastAsia="標楷體" w:hAnsi="標楷體" w:hint="eastAsia"/>
          <w:sz w:val="28"/>
          <w:szCs w:val="28"/>
        </w:rPr>
        <w:t>二、實務情境例外與技術改善建言</w:t>
      </w:r>
    </w:p>
    <w:p w14:paraId="0F6232C6" w14:textId="77777777" w:rsidR="00D1746F" w:rsidRPr="00D1746F" w:rsidRDefault="00D1746F" w:rsidP="00F82598">
      <w:pPr>
        <w:pStyle w:val="a3"/>
        <w:adjustRightInd w:val="0"/>
        <w:snapToGrid w:val="0"/>
        <w:spacing w:line="440" w:lineRule="exact"/>
        <w:ind w:leftChars="377" w:left="1275" w:hangingChars="132" w:hanging="370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1. TFTP 無加密通訊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之資安風險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：本案採用簡單檔案傳輸協定（TFTP），TFTP 不具備身分驗證與傳輸加密機制。在智慧工廠推動零信任（Zero Trust）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資安架構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下，未授權裝置可能透過 DHCP 廣播偽冒測試機擷取診斷核心。建議將 TFTP 改良為安全傳輸協定（如 HTTP/HTTPS 或 SFTP）或加入 PXE/</w:t>
      </w:r>
      <w:proofErr w:type="spellStart"/>
      <w:r w:rsidRPr="00D1746F">
        <w:rPr>
          <w:rFonts w:ascii="標楷體" w:eastAsia="標楷體" w:hAnsi="標楷體" w:hint="eastAsia"/>
          <w:sz w:val="28"/>
          <w:szCs w:val="28"/>
        </w:rPr>
        <w:t>iPXE</w:t>
      </w:r>
      <w:proofErr w:type="spellEnd"/>
      <w:r w:rsidRPr="00D1746F">
        <w:rPr>
          <w:rFonts w:ascii="標楷體" w:eastAsia="標楷體" w:hAnsi="標楷體" w:hint="eastAsia"/>
          <w:sz w:val="28"/>
          <w:szCs w:val="28"/>
        </w:rPr>
        <w:t xml:space="preserve"> 韌體簽章驗證。</w:t>
      </w:r>
    </w:p>
    <w:p w14:paraId="3BD16D14" w14:textId="454282E3" w:rsidR="002C2404" w:rsidRDefault="00D1746F" w:rsidP="00F82598">
      <w:pPr>
        <w:pStyle w:val="a3"/>
        <w:adjustRightInd w:val="0"/>
        <w:snapToGrid w:val="0"/>
        <w:spacing w:line="440" w:lineRule="exact"/>
        <w:ind w:leftChars="355" w:left="1275" w:hangingChars="151" w:hanging="423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2. DHCP 廣播風暴與動態容錯（Failover）：當數千台裝置同時發送 DHCPDISCOVER 廣播時，可能造成廣播風暴。未來可引入 Kubernetes 容器化部署或 Docker 化的 Nginx 叢集，實現預啟動伺服器的動態彈性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擴縮容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（Auto-scaling）與自動故障轉移（Failover）。</w:t>
      </w:r>
    </w:p>
    <w:p w14:paraId="23A417B5" w14:textId="77777777" w:rsidR="00D1746F" w:rsidRDefault="00D1746F" w:rsidP="00F82598">
      <w:pPr>
        <w:pStyle w:val="a3"/>
        <w:adjustRightInd w:val="0"/>
        <w:snapToGrid w:val="0"/>
        <w:spacing w:line="440" w:lineRule="exact"/>
        <w:ind w:leftChars="0" w:firstLineChars="152" w:firstLine="426"/>
        <w:rPr>
          <w:rFonts w:ascii="標楷體" w:eastAsia="標楷體" w:hAnsi="標楷體"/>
          <w:sz w:val="28"/>
          <w:szCs w:val="28"/>
        </w:rPr>
      </w:pPr>
    </w:p>
    <w:p w14:paraId="6D6009F7" w14:textId="77777777" w:rsidR="00D1746F" w:rsidRPr="00D1746F" w:rsidRDefault="00D1746F" w:rsidP="00D1746F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五、AI 工具使用聲明與說明：</w:t>
      </w:r>
    </w:p>
    <w:p w14:paraId="692E3B0A" w14:textId="186B2FFC" w:rsidR="00D1746F" w:rsidRPr="009412C7" w:rsidRDefault="00D1746F" w:rsidP="00FD3E17">
      <w:pPr>
        <w:pStyle w:val="a3"/>
        <w:adjustRightInd w:val="0"/>
        <w:snapToGrid w:val="0"/>
        <w:spacing w:line="440" w:lineRule="exact"/>
        <w:ind w:leftChars="0" w:firstLineChars="152" w:firstLine="426"/>
        <w:rPr>
          <w:rFonts w:ascii="標楷體" w:eastAsia="標楷體" w:hAnsi="標楷體"/>
          <w:sz w:val="28"/>
          <w:szCs w:val="28"/>
        </w:rPr>
      </w:pPr>
      <w:r w:rsidRPr="00D1746F">
        <w:rPr>
          <w:rFonts w:ascii="標楷體" w:eastAsia="標楷體" w:hAnsi="標楷體" w:hint="eastAsia"/>
          <w:sz w:val="28"/>
          <w:szCs w:val="28"/>
        </w:rPr>
        <w:t>本期中報告使用 Gemini Notebook AI 進行專利專有名詞梳理、專利檢索格式拆解與內文結構化校對。報告內所有技術分析、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請求項解構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與心得評價均經由本人深度</w:t>
      </w:r>
      <w:proofErr w:type="gramStart"/>
      <w:r w:rsidRPr="00D1746F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Pr="00D1746F">
        <w:rPr>
          <w:rFonts w:ascii="標楷體" w:eastAsia="標楷體" w:hAnsi="標楷體" w:hint="eastAsia"/>
          <w:sz w:val="28"/>
          <w:szCs w:val="28"/>
        </w:rPr>
        <w:t>讀本案說明書與圖式後進行整理與撰寫，無直接複製貼上 AI 生成內容，符合課堂學術倫理規範。</w:t>
      </w:r>
      <w:bookmarkStart w:id="0" w:name="_GoBack"/>
      <w:bookmarkEnd w:id="0"/>
    </w:p>
    <w:sectPr w:rsidR="00D1746F" w:rsidRPr="009412C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D8B096" w14:textId="77777777" w:rsidR="00D14FDE" w:rsidRDefault="00D14FDE" w:rsidP="002656C0">
      <w:r>
        <w:separator/>
      </w:r>
    </w:p>
  </w:endnote>
  <w:endnote w:type="continuationSeparator" w:id="0">
    <w:p w14:paraId="6A690862" w14:textId="77777777" w:rsidR="00D14FDE" w:rsidRDefault="00D14FDE" w:rsidP="0026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2003504"/>
      <w:docPartObj>
        <w:docPartGallery w:val="Page Numbers (Bottom of Page)"/>
        <w:docPartUnique/>
      </w:docPartObj>
    </w:sdtPr>
    <w:sdtEndPr/>
    <w:sdtContent>
      <w:p w14:paraId="1CCCCD10" w14:textId="75D4FCFD" w:rsidR="00A30EEE" w:rsidRDefault="00A30E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598" w:rsidRPr="00F82598">
          <w:rPr>
            <w:noProof/>
            <w:lang w:val="zh-TW"/>
          </w:rPr>
          <w:t>4</w:t>
        </w:r>
        <w:r>
          <w:fldChar w:fldCharType="end"/>
        </w:r>
      </w:p>
    </w:sdtContent>
  </w:sdt>
  <w:p w14:paraId="15F5121C" w14:textId="77777777" w:rsidR="00A30EEE" w:rsidRDefault="00A30EEE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4C2A7" w14:textId="77777777" w:rsidR="00D14FDE" w:rsidRDefault="00D14FDE" w:rsidP="002656C0">
      <w:r>
        <w:separator/>
      </w:r>
    </w:p>
  </w:footnote>
  <w:footnote w:type="continuationSeparator" w:id="0">
    <w:p w14:paraId="29A4EA35" w14:textId="77777777" w:rsidR="00D14FDE" w:rsidRDefault="00D14FDE" w:rsidP="00265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C0E18"/>
    <w:multiLevelType w:val="hybridMultilevel"/>
    <w:tmpl w:val="48F0B574"/>
    <w:lvl w:ilvl="0" w:tplc="9BC2CD80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F292147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">
    <w:nsid w:val="324A6F2B"/>
    <w:multiLevelType w:val="hybridMultilevel"/>
    <w:tmpl w:val="2ED896AE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>
    <w:nsid w:val="3CB0661B"/>
    <w:multiLevelType w:val="hybridMultilevel"/>
    <w:tmpl w:val="AB4AD43E"/>
    <w:lvl w:ilvl="0" w:tplc="86CE3724">
      <w:start w:val="1"/>
      <w:numFmt w:val="decimalFullWidth"/>
      <w:lvlText w:val="%1、"/>
      <w:lvlJc w:val="left"/>
      <w:pPr>
        <w:ind w:left="905" w:hanging="48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>
    <w:nsid w:val="3FB2626F"/>
    <w:multiLevelType w:val="hybridMultilevel"/>
    <w:tmpl w:val="9796FAA8"/>
    <w:lvl w:ilvl="0" w:tplc="BF604226">
      <w:start w:val="1"/>
      <w:numFmt w:val="decimalFullWidth"/>
      <w:lvlText w:val="%1、"/>
      <w:lvlJc w:val="left"/>
      <w:pPr>
        <w:ind w:left="763" w:hanging="48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1243" w:hanging="480"/>
      </w:pPr>
    </w:lvl>
    <w:lvl w:ilvl="2" w:tplc="5564494E">
      <w:start w:val="1"/>
      <w:numFmt w:val="decimal"/>
      <w:lvlText w:val="（%3）"/>
      <w:lvlJc w:val="left"/>
      <w:pPr>
        <w:ind w:left="1963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5">
    <w:nsid w:val="40B35BDC"/>
    <w:multiLevelType w:val="hybridMultilevel"/>
    <w:tmpl w:val="D7DC9948"/>
    <w:lvl w:ilvl="0" w:tplc="D7D491C6">
      <w:start w:val="1"/>
      <w:numFmt w:val="taiwaneseCountingThousand"/>
      <w:lvlText w:val="(%1)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>
    <w:nsid w:val="50BA29FD"/>
    <w:multiLevelType w:val="hybridMultilevel"/>
    <w:tmpl w:val="07A811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64475574"/>
    <w:multiLevelType w:val="hybridMultilevel"/>
    <w:tmpl w:val="4074F65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140DA24">
      <w:start w:val="1"/>
      <w:numFmt w:val="taiwaneseCountingThousand"/>
      <w:lvlText w:val="（%2）"/>
      <w:lvlJc w:val="left"/>
      <w:pPr>
        <w:ind w:left="960" w:hanging="480"/>
      </w:pPr>
      <w:rPr>
        <w:rFonts w:ascii="標楷體" w:eastAsia="標楷體" w:hAnsi="標楷體" w:cstheme="minorBidi"/>
      </w:rPr>
    </w:lvl>
    <w:lvl w:ilvl="2" w:tplc="86CE3724">
      <w:start w:val="1"/>
      <w:numFmt w:val="decimalFullWidth"/>
      <w:lvlText w:val="%3、"/>
      <w:lvlJc w:val="left"/>
      <w:pPr>
        <w:ind w:left="905" w:hanging="480"/>
      </w:pPr>
      <w:rPr>
        <w:rFonts w:ascii="標楷體" w:eastAsia="標楷體" w:hAnsi="標楷體" w:cstheme="minorBidi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F7F"/>
    <w:rsid w:val="00124477"/>
    <w:rsid w:val="00224E55"/>
    <w:rsid w:val="002656C0"/>
    <w:rsid w:val="002C2404"/>
    <w:rsid w:val="00321ECD"/>
    <w:rsid w:val="003A2A07"/>
    <w:rsid w:val="0042701A"/>
    <w:rsid w:val="00466D6D"/>
    <w:rsid w:val="004754B1"/>
    <w:rsid w:val="004A0A9B"/>
    <w:rsid w:val="004B49B4"/>
    <w:rsid w:val="004D018D"/>
    <w:rsid w:val="00621526"/>
    <w:rsid w:val="0079129C"/>
    <w:rsid w:val="007C25CB"/>
    <w:rsid w:val="009412C7"/>
    <w:rsid w:val="009E1B7F"/>
    <w:rsid w:val="00A30EEE"/>
    <w:rsid w:val="00AE61D4"/>
    <w:rsid w:val="00B1689D"/>
    <w:rsid w:val="00BB288B"/>
    <w:rsid w:val="00C02FD3"/>
    <w:rsid w:val="00C03C72"/>
    <w:rsid w:val="00C561BF"/>
    <w:rsid w:val="00CF7B3D"/>
    <w:rsid w:val="00D14FDE"/>
    <w:rsid w:val="00D1746F"/>
    <w:rsid w:val="00EB4652"/>
    <w:rsid w:val="00F722D4"/>
    <w:rsid w:val="00F82598"/>
    <w:rsid w:val="00F83F7F"/>
    <w:rsid w:val="00F86557"/>
    <w:rsid w:val="00FA6370"/>
    <w:rsid w:val="00FD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40A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7F"/>
    <w:pPr>
      <w:ind w:leftChars="200" w:left="480"/>
    </w:pPr>
  </w:style>
  <w:style w:type="table" w:styleId="a4">
    <w:name w:val="Table Grid"/>
    <w:basedOn w:val="a1"/>
    <w:uiPriority w:val="59"/>
    <w:rsid w:val="0094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656C0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2656C0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656C0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30EE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30EE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7F"/>
    <w:pPr>
      <w:ind w:leftChars="200" w:left="480"/>
    </w:pPr>
  </w:style>
  <w:style w:type="table" w:styleId="a4">
    <w:name w:val="Table Grid"/>
    <w:basedOn w:val="a1"/>
    <w:uiPriority w:val="59"/>
    <w:rsid w:val="0094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2656C0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2656C0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2656C0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A30EE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A30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A30E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F77C7-78E7-432B-B83E-3BCEABE35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20453顏俊仁</dc:creator>
  <cp:lastModifiedBy>9749</cp:lastModifiedBy>
  <cp:revision>4</cp:revision>
  <dcterms:created xsi:type="dcterms:W3CDTF">2026-09-22T11:41:00Z</dcterms:created>
  <dcterms:modified xsi:type="dcterms:W3CDTF">2026-09-22T12:28:00Z</dcterms:modified>
</cp:coreProperties>
</file>