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D8D8" w14:textId="4BF11327" w:rsidR="004A0A9B" w:rsidRPr="00BB288B" w:rsidRDefault="00BB288B" w:rsidP="009412C7">
      <w:pPr>
        <w:adjustRightInd w:val="0"/>
        <w:snapToGrid w:val="0"/>
        <w:spacing w:line="440" w:lineRule="exact"/>
        <w:jc w:val="center"/>
        <w:rPr>
          <w:rFonts w:ascii="標楷體" w:eastAsia="標楷體" w:hAnsi="標楷體"/>
          <w:b/>
          <w:sz w:val="32"/>
          <w:szCs w:val="32"/>
        </w:rPr>
      </w:pPr>
      <w:r>
        <w:rPr>
          <w:rFonts w:ascii="標楷體" w:eastAsia="標楷體" w:hAnsi="標楷體" w:hint="eastAsia"/>
          <w:b/>
          <w:sz w:val="32"/>
          <w:szCs w:val="32"/>
        </w:rPr>
        <w:t>11</w:t>
      </w:r>
      <w:r w:rsidR="00513C3D">
        <w:rPr>
          <w:rFonts w:ascii="標楷體" w:eastAsia="標楷體" w:hAnsi="標楷體" w:hint="eastAsia"/>
          <w:b/>
          <w:sz w:val="32"/>
          <w:szCs w:val="32"/>
        </w:rPr>
        <w:t>5</w:t>
      </w:r>
      <w:r>
        <w:rPr>
          <w:rFonts w:ascii="標楷體" w:eastAsia="標楷體" w:hAnsi="標楷體" w:hint="eastAsia"/>
          <w:b/>
          <w:sz w:val="32"/>
          <w:szCs w:val="32"/>
        </w:rPr>
        <w:t>年「軟體專利</w:t>
      </w:r>
      <w:r>
        <w:rPr>
          <w:rFonts w:ascii="標楷體" w:eastAsia="標楷體" w:hAnsi="標楷體"/>
          <w:b/>
          <w:sz w:val="32"/>
          <w:szCs w:val="32"/>
        </w:rPr>
        <w:t>」</w:t>
      </w:r>
      <w:r w:rsidR="009412C7" w:rsidRPr="00BB288B">
        <w:rPr>
          <w:rFonts w:ascii="標楷體" w:eastAsia="標楷體" w:hAnsi="標楷體" w:hint="eastAsia"/>
          <w:b/>
          <w:sz w:val="32"/>
          <w:szCs w:val="32"/>
        </w:rPr>
        <w:t>期中作業</w:t>
      </w:r>
    </w:p>
    <w:p w14:paraId="603F4A7A" w14:textId="77777777" w:rsidR="00BB288B" w:rsidRDefault="00BB288B" w:rsidP="009412C7">
      <w:pPr>
        <w:adjustRightInd w:val="0"/>
        <w:snapToGrid w:val="0"/>
        <w:spacing w:line="440" w:lineRule="exact"/>
        <w:jc w:val="center"/>
        <w:rPr>
          <w:rFonts w:ascii="標楷體" w:eastAsia="標楷體" w:hAnsi="標楷體"/>
          <w:b/>
          <w:sz w:val="32"/>
          <w:szCs w:val="32"/>
          <w:u w:val="single"/>
        </w:rPr>
      </w:pPr>
    </w:p>
    <w:tbl>
      <w:tblPr>
        <w:tblStyle w:val="a4"/>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105"/>
      </w:tblGrid>
      <w:tr w:rsidR="009412C7" w:rsidRPr="009412C7" w14:paraId="49F7C75B" w14:textId="77777777" w:rsidTr="009412C7">
        <w:tc>
          <w:tcPr>
            <w:tcW w:w="4181" w:type="dxa"/>
          </w:tcPr>
          <w:p w14:paraId="2A1BD756" w14:textId="693D3F03" w:rsidR="009412C7" w:rsidRPr="009412C7" w:rsidRDefault="009412C7" w:rsidP="009412C7">
            <w:pPr>
              <w:adjustRightInd w:val="0"/>
              <w:snapToGrid w:val="0"/>
              <w:spacing w:line="440" w:lineRule="exact"/>
              <w:rPr>
                <w:rFonts w:ascii="標楷體" w:eastAsia="標楷體" w:hAnsi="標楷體"/>
                <w:bCs/>
                <w:sz w:val="28"/>
                <w:szCs w:val="28"/>
              </w:rPr>
            </w:pPr>
            <w:r w:rsidRPr="009412C7">
              <w:rPr>
                <w:rFonts w:ascii="標楷體" w:eastAsia="標楷體" w:hAnsi="標楷體" w:hint="eastAsia"/>
                <w:bCs/>
                <w:sz w:val="28"/>
                <w:szCs w:val="28"/>
              </w:rPr>
              <w:t>學號：</w:t>
            </w:r>
            <w:r w:rsidR="00513C3D">
              <w:rPr>
                <w:rFonts w:ascii="標楷體" w:eastAsia="標楷體" w:hAnsi="標楷體" w:hint="eastAsia"/>
                <w:bCs/>
                <w:sz w:val="28"/>
                <w:szCs w:val="28"/>
              </w:rPr>
              <w:t>M11509903</w:t>
            </w:r>
          </w:p>
        </w:tc>
        <w:tc>
          <w:tcPr>
            <w:tcW w:w="4181" w:type="dxa"/>
          </w:tcPr>
          <w:p w14:paraId="0920CA26" w14:textId="006C6A70" w:rsidR="009412C7" w:rsidRPr="009412C7" w:rsidRDefault="009412C7" w:rsidP="009412C7">
            <w:pPr>
              <w:adjustRightInd w:val="0"/>
              <w:snapToGrid w:val="0"/>
              <w:spacing w:line="440" w:lineRule="exact"/>
              <w:jc w:val="right"/>
              <w:rPr>
                <w:rFonts w:ascii="標楷體" w:eastAsia="標楷體" w:hAnsi="標楷體"/>
                <w:bCs/>
                <w:sz w:val="28"/>
                <w:szCs w:val="28"/>
              </w:rPr>
            </w:pPr>
            <w:r>
              <w:rPr>
                <w:rFonts w:ascii="標楷體" w:eastAsia="標楷體" w:hAnsi="標楷體" w:hint="eastAsia"/>
                <w:bCs/>
                <w:sz w:val="28"/>
                <w:szCs w:val="28"/>
              </w:rPr>
              <w:t>姓名：</w:t>
            </w:r>
            <w:r w:rsidR="00513C3D">
              <w:rPr>
                <w:rFonts w:ascii="標楷體" w:eastAsia="標楷體" w:hAnsi="標楷體" w:hint="eastAsia"/>
                <w:bCs/>
                <w:sz w:val="28"/>
                <w:szCs w:val="28"/>
              </w:rPr>
              <w:t>周頤綸</w:t>
            </w:r>
          </w:p>
        </w:tc>
      </w:tr>
    </w:tbl>
    <w:p w14:paraId="295829EC" w14:textId="76D24DB5" w:rsidR="009412C7" w:rsidRPr="009412C7" w:rsidRDefault="009412C7" w:rsidP="009412C7">
      <w:pPr>
        <w:adjustRightInd w:val="0"/>
        <w:snapToGrid w:val="0"/>
        <w:spacing w:line="440" w:lineRule="exact"/>
        <w:rPr>
          <w:rFonts w:ascii="標楷體" w:eastAsia="標楷體" w:hAnsi="標楷體"/>
          <w:b/>
          <w:sz w:val="32"/>
          <w:szCs w:val="32"/>
          <w:u w:val="single"/>
        </w:rPr>
      </w:pPr>
    </w:p>
    <w:p w14:paraId="525653CB" w14:textId="29E8AB34" w:rsidR="00BB288B"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sz w:val="28"/>
          <w:szCs w:val="28"/>
        </w:rPr>
        <w:t>題目：</w:t>
      </w:r>
      <w:r w:rsidR="00A51E28" w:rsidRPr="00A51E28">
        <w:rPr>
          <w:rFonts w:ascii="標楷體" w:eastAsia="標楷體" w:hAnsi="標楷體"/>
          <w:sz w:val="28"/>
          <w:szCs w:val="28"/>
        </w:rPr>
        <w:t>第111137564號</w:t>
      </w:r>
      <w:r w:rsidRPr="009412C7">
        <w:rPr>
          <w:rFonts w:ascii="標楷體" w:eastAsia="標楷體" w:hAnsi="標楷體" w:hint="eastAsia"/>
          <w:sz w:val="28"/>
          <w:szCs w:val="28"/>
        </w:rPr>
        <w:t>「</w:t>
      </w:r>
      <w:r w:rsidR="00ED0810" w:rsidRPr="00ED0810">
        <w:rPr>
          <w:rFonts w:ascii="標楷體" w:eastAsia="標楷體" w:hAnsi="標楷體"/>
          <w:b/>
          <w:bCs/>
          <w:sz w:val="28"/>
          <w:szCs w:val="28"/>
        </w:rPr>
        <w:t>反欺詐風險評估方法、訓練方法、裝置及可讀存儲介質</w:t>
      </w:r>
      <w:r w:rsidRPr="009412C7">
        <w:rPr>
          <w:rFonts w:ascii="標楷體" w:eastAsia="標楷體" w:hAnsi="標楷體" w:hint="eastAsia"/>
          <w:sz w:val="28"/>
          <w:szCs w:val="28"/>
        </w:rPr>
        <w:t>」發明專利，閱讀心得報告</w:t>
      </w:r>
    </w:p>
    <w:p w14:paraId="54D981A4" w14:textId="77777777" w:rsidR="00B1689D"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專利案基本資料：</w:t>
      </w:r>
    </w:p>
    <w:p w14:paraId="374F43D3" w14:textId="0DD9ED3B" w:rsidR="00B1689D"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申請日：</w:t>
      </w:r>
      <w:r w:rsidR="00B26715" w:rsidRPr="00B26715">
        <w:rPr>
          <w:rFonts w:ascii="標楷體" w:eastAsia="標楷體" w:hAnsi="標楷體"/>
          <w:sz w:val="28"/>
          <w:szCs w:val="28"/>
        </w:rPr>
        <w:t>2022/10/03</w:t>
      </w:r>
      <w:r w:rsidR="009E1B7F" w:rsidRPr="009412C7">
        <w:rPr>
          <w:rFonts w:ascii="標楷體" w:eastAsia="標楷體" w:hAnsi="標楷體" w:hint="eastAsia"/>
          <w:sz w:val="28"/>
          <w:szCs w:val="28"/>
        </w:rPr>
        <w:t xml:space="preserve">   公開日：</w:t>
      </w:r>
      <w:r w:rsidR="00911217" w:rsidRPr="00911217">
        <w:rPr>
          <w:rFonts w:ascii="標楷體" w:eastAsia="標楷體" w:hAnsi="標楷體"/>
          <w:sz w:val="28"/>
          <w:szCs w:val="28"/>
        </w:rPr>
        <w:t>2023/07/0</w:t>
      </w:r>
      <w:r w:rsidR="00911217">
        <w:rPr>
          <w:rFonts w:ascii="標楷體" w:eastAsia="標楷體" w:hAnsi="標楷體" w:hint="eastAsia"/>
          <w:sz w:val="28"/>
          <w:szCs w:val="28"/>
        </w:rPr>
        <w:t>1</w:t>
      </w:r>
      <w:r w:rsidR="009E1B7F" w:rsidRPr="009412C7">
        <w:rPr>
          <w:rFonts w:ascii="標楷體" w:eastAsia="標楷體" w:hAnsi="標楷體" w:hint="eastAsia"/>
          <w:sz w:val="28"/>
          <w:szCs w:val="28"/>
        </w:rPr>
        <w:t xml:space="preserve">  公告日：</w:t>
      </w:r>
      <w:r w:rsidR="00911217" w:rsidRPr="00911217">
        <w:rPr>
          <w:rFonts w:ascii="標楷體" w:eastAsia="標楷體" w:hAnsi="標楷體"/>
          <w:sz w:val="28"/>
          <w:szCs w:val="28"/>
        </w:rPr>
        <w:t>2024/12/21</w:t>
      </w:r>
    </w:p>
    <w:p w14:paraId="76E9C7EC" w14:textId="2A5EC30D" w:rsidR="009E1B7F" w:rsidRPr="009412C7"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申請號：</w:t>
      </w:r>
      <w:r w:rsidR="00911217" w:rsidRPr="00911217">
        <w:rPr>
          <w:rFonts w:ascii="標楷體" w:eastAsia="標楷體" w:hAnsi="標楷體"/>
          <w:sz w:val="28"/>
          <w:szCs w:val="28"/>
        </w:rPr>
        <w:t>111137564</w:t>
      </w:r>
      <w:r w:rsidRPr="009412C7">
        <w:rPr>
          <w:rFonts w:ascii="標楷體" w:eastAsia="標楷體" w:hAnsi="標楷體" w:hint="eastAsia"/>
          <w:sz w:val="28"/>
          <w:szCs w:val="28"/>
        </w:rPr>
        <w:t xml:space="preserve">    公開號：</w:t>
      </w:r>
      <w:r w:rsidR="00DE702F" w:rsidRPr="00DE702F">
        <w:rPr>
          <w:rFonts w:ascii="標楷體" w:eastAsia="標楷體" w:hAnsi="標楷體"/>
          <w:sz w:val="22"/>
        </w:rPr>
        <w:t>TW 202326537A</w:t>
      </w:r>
      <w:r w:rsidR="0079129C">
        <w:rPr>
          <w:rFonts w:ascii="標楷體" w:eastAsia="標楷體" w:hAnsi="標楷體" w:hint="eastAsia"/>
          <w:sz w:val="28"/>
          <w:szCs w:val="28"/>
        </w:rPr>
        <w:t xml:space="preserve">  </w:t>
      </w:r>
      <w:r w:rsidRPr="009412C7">
        <w:rPr>
          <w:rFonts w:ascii="標楷體" w:eastAsia="標楷體" w:hAnsi="標楷體" w:hint="eastAsia"/>
          <w:sz w:val="28"/>
          <w:szCs w:val="28"/>
        </w:rPr>
        <w:t>公告號：</w:t>
      </w:r>
      <w:r w:rsidR="00DE702F" w:rsidRPr="00DE702F">
        <w:rPr>
          <w:rFonts w:ascii="標楷體" w:eastAsia="標楷體" w:hAnsi="標楷體"/>
          <w:sz w:val="28"/>
          <w:szCs w:val="28"/>
        </w:rPr>
        <w:t>I867341</w:t>
      </w:r>
    </w:p>
    <w:p w14:paraId="01A79383" w14:textId="5A9C87AC" w:rsidR="009E1B7F" w:rsidRPr="009412C7"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申請人：</w:t>
      </w:r>
      <w:r w:rsidR="00B174DB" w:rsidRPr="00B174DB">
        <w:rPr>
          <w:rFonts w:ascii="標楷體" w:eastAsia="標楷體" w:hAnsi="標楷體"/>
          <w:sz w:val="28"/>
          <w:szCs w:val="28"/>
        </w:rPr>
        <w:t>大陸商中國銀聯股份有限公司</w:t>
      </w:r>
      <w:r w:rsidR="00B174DB" w:rsidRPr="00B174DB">
        <w:rPr>
          <w:rFonts w:ascii="標楷體" w:eastAsia="標楷體" w:hAnsi="標楷體"/>
          <w:szCs w:val="24"/>
        </w:rPr>
        <w:t>（CHINA UNIONPAY CO., LTD.）</w:t>
      </w:r>
    </w:p>
    <w:p w14:paraId="5D7E86BD" w14:textId="0E8AC631" w:rsidR="00FA6370" w:rsidRPr="009412C7" w:rsidRDefault="009E1B7F" w:rsidP="00955C78">
      <w:pPr>
        <w:adjustRightInd w:val="0"/>
        <w:snapToGrid w:val="0"/>
        <w:spacing w:line="440" w:lineRule="exact"/>
        <w:ind w:left="767" w:hangingChars="274" w:hanging="767"/>
        <w:rPr>
          <w:rFonts w:ascii="標楷體" w:eastAsia="標楷體" w:hAnsi="標楷體" w:hint="eastAsia"/>
          <w:sz w:val="28"/>
          <w:szCs w:val="28"/>
        </w:rPr>
      </w:pPr>
      <w:r w:rsidRPr="009412C7">
        <w:rPr>
          <w:rFonts w:ascii="標楷體" w:eastAsia="標楷體" w:hAnsi="標楷體" w:hint="eastAsia"/>
          <w:sz w:val="28"/>
          <w:szCs w:val="28"/>
        </w:rPr>
        <w:t>本案技術內容：</w:t>
      </w:r>
      <w:r w:rsidR="00955C78">
        <w:rPr>
          <w:rFonts w:ascii="標楷體" w:eastAsia="標楷體" w:hAnsi="標楷體"/>
          <w:sz w:val="28"/>
          <w:szCs w:val="28"/>
        </w:rPr>
        <w:t xml:space="preserve"> </w:t>
      </w:r>
    </w:p>
    <w:p w14:paraId="7299F473" w14:textId="77777777" w:rsidR="009E1B7F" w:rsidRPr="00DF1747" w:rsidRDefault="009E1B7F" w:rsidP="0079129C">
      <w:pPr>
        <w:pStyle w:val="a3"/>
        <w:numPr>
          <w:ilvl w:val="0"/>
          <w:numId w:val="1"/>
        </w:numPr>
        <w:adjustRightInd w:val="0"/>
        <w:snapToGrid w:val="0"/>
        <w:spacing w:line="440" w:lineRule="exact"/>
        <w:ind w:leftChars="0" w:left="567" w:hanging="567"/>
        <w:rPr>
          <w:rFonts w:ascii="標楷體" w:eastAsia="標楷體" w:hAnsi="標楷體"/>
          <w:sz w:val="28"/>
          <w:szCs w:val="28"/>
        </w:rPr>
      </w:pPr>
      <w:r w:rsidRPr="00DF1747">
        <w:rPr>
          <w:rFonts w:ascii="標楷體" w:eastAsia="標楷體" w:hAnsi="標楷體" w:hint="eastAsia"/>
          <w:sz w:val="28"/>
          <w:szCs w:val="28"/>
        </w:rPr>
        <w:t>本案欲解決的問題</w:t>
      </w:r>
    </w:p>
    <w:p w14:paraId="7898A9D2" w14:textId="39795E27" w:rsidR="00DF1747" w:rsidRPr="00DF1747" w:rsidRDefault="00DF1747" w:rsidP="00DF1747">
      <w:pPr>
        <w:pStyle w:val="a3"/>
        <w:numPr>
          <w:ilvl w:val="1"/>
          <w:numId w:val="1"/>
        </w:numPr>
        <w:adjustRightInd w:val="0"/>
        <w:snapToGrid w:val="0"/>
        <w:spacing w:line="440" w:lineRule="exact"/>
        <w:ind w:leftChars="0"/>
        <w:rPr>
          <w:rFonts w:ascii="標楷體" w:eastAsia="標楷體" w:hAnsi="標楷體"/>
          <w:sz w:val="28"/>
          <w:szCs w:val="28"/>
        </w:rPr>
      </w:pPr>
      <w:r w:rsidRPr="00DF1747">
        <w:rPr>
          <w:rFonts w:ascii="標楷體" w:eastAsia="標楷體" w:hAnsi="標楷體"/>
          <w:sz w:val="28"/>
          <w:szCs w:val="28"/>
        </w:rPr>
        <w:t>先前技術概要</w:t>
      </w:r>
    </w:p>
    <w:p w14:paraId="6609850D" w14:textId="77777777" w:rsidR="00066F2A" w:rsidRDefault="00B174DB" w:rsidP="00CE6562">
      <w:pPr>
        <w:pStyle w:val="a3"/>
        <w:adjustRightInd w:val="0"/>
        <w:snapToGrid w:val="0"/>
        <w:spacing w:line="440" w:lineRule="exact"/>
        <w:ind w:leftChars="0" w:left="960"/>
        <w:rPr>
          <w:rFonts w:ascii="標楷體" w:eastAsia="標楷體" w:hAnsi="標楷體"/>
          <w:sz w:val="28"/>
          <w:szCs w:val="28"/>
        </w:rPr>
      </w:pPr>
      <w:r w:rsidRPr="00B174DB">
        <w:rPr>
          <w:rFonts w:ascii="標楷體" w:eastAsia="標楷體" w:hAnsi="標楷體"/>
          <w:sz w:val="28"/>
          <w:szCs w:val="28"/>
        </w:rPr>
        <w:t>行動通訊與數位金融網絡快速發展，即時通訊軟體與線上資金交易日益普及，為各類電信詐騙與盜刷洗錢等欺</w:t>
      </w:r>
      <w:r w:rsidR="00066F2A">
        <w:rPr>
          <w:rFonts w:ascii="標楷體" w:eastAsia="標楷體" w:hAnsi="標楷體" w:hint="eastAsia"/>
          <w:sz w:val="28"/>
          <w:szCs w:val="28"/>
        </w:rPr>
        <w:t>騙</w:t>
      </w:r>
      <w:r w:rsidRPr="00B174DB">
        <w:rPr>
          <w:rFonts w:ascii="標楷體" w:eastAsia="標楷體" w:hAnsi="標楷體"/>
          <w:sz w:val="28"/>
          <w:szCs w:val="28"/>
        </w:rPr>
        <w:t>犯罪提供了可乘之機。</w:t>
      </w:r>
    </w:p>
    <w:p w14:paraId="2C836A2D" w14:textId="45B9C3A6" w:rsidR="0079129C" w:rsidRPr="005A305C" w:rsidRDefault="00B174DB" w:rsidP="005A305C">
      <w:pPr>
        <w:pStyle w:val="a3"/>
        <w:adjustRightInd w:val="0"/>
        <w:snapToGrid w:val="0"/>
        <w:spacing w:line="440" w:lineRule="exact"/>
        <w:ind w:leftChars="0" w:left="960"/>
        <w:rPr>
          <w:rFonts w:ascii="標楷體" w:eastAsia="標楷體" w:hAnsi="標楷體" w:hint="eastAsia"/>
          <w:sz w:val="28"/>
          <w:szCs w:val="28"/>
        </w:rPr>
      </w:pPr>
      <w:r w:rsidRPr="00890FC0">
        <w:rPr>
          <w:rFonts w:ascii="標楷體" w:eastAsia="標楷體" w:hAnsi="標楷體"/>
          <w:sz w:val="28"/>
          <w:szCs w:val="28"/>
          <w:highlight w:val="lightGray"/>
        </w:rPr>
        <w:t>在目前防範實務主要面臨「案前用戶防範欺詐意識薄弱」與「案後資金追查追回難度極大」的雙重困境</w:t>
      </w:r>
      <w:r w:rsidR="00066F2A" w:rsidRPr="00890FC0">
        <w:rPr>
          <w:rFonts w:ascii="標楷體" w:eastAsia="標楷體" w:hAnsi="標楷體" w:hint="eastAsia"/>
          <w:sz w:val="28"/>
          <w:szCs w:val="28"/>
          <w:highlight w:val="lightGray"/>
        </w:rPr>
        <w:t>。</w:t>
      </w:r>
    </w:p>
    <w:p w14:paraId="5A999AA5" w14:textId="4F173B4B" w:rsidR="00DF1747" w:rsidRDefault="00DF1747" w:rsidP="00DF1747">
      <w:pPr>
        <w:pStyle w:val="a3"/>
        <w:numPr>
          <w:ilvl w:val="1"/>
          <w:numId w:val="1"/>
        </w:numPr>
        <w:adjustRightInd w:val="0"/>
        <w:snapToGrid w:val="0"/>
        <w:spacing w:line="440" w:lineRule="exact"/>
        <w:ind w:leftChars="0"/>
        <w:rPr>
          <w:rFonts w:ascii="標楷體" w:eastAsia="標楷體" w:hAnsi="標楷體"/>
          <w:sz w:val="28"/>
          <w:szCs w:val="28"/>
        </w:rPr>
      </w:pPr>
      <w:r w:rsidRPr="00DF1747">
        <w:rPr>
          <w:rFonts w:ascii="標楷體" w:eastAsia="標楷體" w:hAnsi="標楷體"/>
          <w:sz w:val="28"/>
          <w:szCs w:val="28"/>
        </w:rPr>
        <w:t>先前技術缺失</w:t>
      </w:r>
    </w:p>
    <w:p w14:paraId="6B95128D" w14:textId="131FC845" w:rsidR="00440D85" w:rsidRPr="00440D85" w:rsidRDefault="00440D85" w:rsidP="00D56D2C">
      <w:pPr>
        <w:adjustRightInd w:val="0"/>
        <w:snapToGrid w:val="0"/>
        <w:spacing w:line="440" w:lineRule="exact"/>
        <w:ind w:left="960"/>
        <w:rPr>
          <w:rFonts w:ascii="標楷體" w:eastAsia="標楷體" w:hAnsi="標楷體" w:hint="eastAsia"/>
          <w:sz w:val="28"/>
          <w:szCs w:val="28"/>
        </w:rPr>
      </w:pPr>
      <w:r w:rsidRPr="00440D85">
        <w:rPr>
          <w:rFonts w:ascii="標楷體" w:eastAsia="標楷體" w:hAnsi="標楷體"/>
          <w:sz w:val="28"/>
          <w:szCs w:val="28"/>
        </w:rPr>
        <w:t>金融機構防欺詐風險評估，多採用人工靜態專家規則或機器學習模型。存在以下缺失：</w:t>
      </w:r>
    </w:p>
    <w:p w14:paraId="0E8EEE8E" w14:textId="656A3240" w:rsidR="00440D85" w:rsidRDefault="00440D85" w:rsidP="00095E12">
      <w:pPr>
        <w:pStyle w:val="a3"/>
        <w:numPr>
          <w:ilvl w:val="3"/>
          <w:numId w:val="1"/>
        </w:numPr>
        <w:adjustRightInd w:val="0"/>
        <w:snapToGrid w:val="0"/>
        <w:spacing w:line="440" w:lineRule="exact"/>
        <w:ind w:leftChars="0" w:left="1560" w:hanging="284"/>
        <w:rPr>
          <w:rFonts w:ascii="標楷體" w:eastAsia="標楷體" w:hAnsi="標楷體"/>
          <w:sz w:val="28"/>
          <w:szCs w:val="28"/>
        </w:rPr>
      </w:pPr>
      <w:r w:rsidRPr="00440D85">
        <w:rPr>
          <w:rFonts w:ascii="標楷體" w:eastAsia="標楷體" w:hAnsi="標楷體"/>
          <w:sz w:val="28"/>
          <w:szCs w:val="28"/>
        </w:rPr>
        <w:t xml:space="preserve">識別滯後且反應遲緩：詐騙攻擊手法日新月異，傳統規則庫需要大量詐騙案件發生後，人工分析才能更新。 </w:t>
      </w:r>
    </w:p>
    <w:p w14:paraId="62393DEC" w14:textId="174392EC" w:rsidR="00440D85" w:rsidRDefault="00440D85" w:rsidP="00095E12">
      <w:pPr>
        <w:pStyle w:val="a3"/>
        <w:numPr>
          <w:ilvl w:val="3"/>
          <w:numId w:val="1"/>
        </w:numPr>
        <w:adjustRightInd w:val="0"/>
        <w:snapToGrid w:val="0"/>
        <w:spacing w:line="440" w:lineRule="exact"/>
        <w:ind w:leftChars="0" w:left="1560" w:hanging="284"/>
        <w:rPr>
          <w:rFonts w:ascii="標楷體" w:eastAsia="標楷體" w:hAnsi="標楷體"/>
          <w:sz w:val="28"/>
          <w:szCs w:val="28"/>
        </w:rPr>
      </w:pPr>
      <w:r w:rsidRPr="00F93875">
        <w:rPr>
          <w:rFonts w:ascii="標楷體" w:eastAsia="標楷體" w:hAnsi="標楷體"/>
          <w:sz w:val="28"/>
          <w:szCs w:val="28"/>
        </w:rPr>
        <w:t>特徵孤立且缺乏關聯語境：</w:t>
      </w:r>
      <w:r w:rsidRPr="00440D85">
        <w:rPr>
          <w:rFonts w:ascii="標楷體" w:eastAsia="標楷體" w:hAnsi="標楷體"/>
          <w:sz w:val="28"/>
          <w:szCs w:val="28"/>
        </w:rPr>
        <w:t>過去模型多將「用戶靜態資料」與「單筆交易金額」分開計算，未</w:t>
      </w:r>
      <w:r w:rsidR="00F93875">
        <w:rPr>
          <w:rFonts w:ascii="標楷體" w:eastAsia="標楷體" w:hAnsi="標楷體" w:hint="eastAsia"/>
          <w:sz w:val="28"/>
          <w:szCs w:val="28"/>
        </w:rPr>
        <w:t>有</w:t>
      </w:r>
      <w:r w:rsidRPr="00440D85">
        <w:rPr>
          <w:rFonts w:ascii="標楷體" w:eastAsia="標楷體" w:hAnsi="標楷體"/>
          <w:sz w:val="28"/>
          <w:szCs w:val="28"/>
        </w:rPr>
        <w:t>將用戶當前操作環境、設備運行軟體態勢以及時間次序納入</w:t>
      </w:r>
      <w:r w:rsidR="00955C78">
        <w:rPr>
          <w:rFonts w:ascii="標楷體" w:eastAsia="標楷體" w:hAnsi="標楷體" w:hint="eastAsia"/>
          <w:sz w:val="28"/>
          <w:szCs w:val="28"/>
        </w:rPr>
        <w:t>考</w:t>
      </w:r>
      <w:r w:rsidRPr="00440D85">
        <w:rPr>
          <w:rFonts w:ascii="標楷體" w:eastAsia="標楷體" w:hAnsi="標楷體"/>
          <w:sz w:val="28"/>
          <w:szCs w:val="28"/>
        </w:rPr>
        <w:t>量。</w:t>
      </w:r>
    </w:p>
    <w:p w14:paraId="093BF19B" w14:textId="192C02B7" w:rsidR="00440D85" w:rsidRPr="00440D85" w:rsidRDefault="00440D85" w:rsidP="00095E12">
      <w:pPr>
        <w:pStyle w:val="a3"/>
        <w:numPr>
          <w:ilvl w:val="3"/>
          <w:numId w:val="1"/>
        </w:numPr>
        <w:adjustRightInd w:val="0"/>
        <w:snapToGrid w:val="0"/>
        <w:spacing w:line="440" w:lineRule="exact"/>
        <w:ind w:leftChars="0" w:left="1560" w:hanging="284"/>
        <w:rPr>
          <w:rFonts w:ascii="標楷體" w:eastAsia="標楷體" w:hAnsi="標楷體"/>
          <w:sz w:val="28"/>
          <w:szCs w:val="28"/>
        </w:rPr>
      </w:pPr>
      <w:r w:rsidRPr="00F93875">
        <w:rPr>
          <w:rFonts w:ascii="標楷體" w:eastAsia="標楷體" w:hAnsi="標楷體"/>
          <w:sz w:val="28"/>
          <w:szCs w:val="28"/>
        </w:rPr>
        <w:t>無法捕捉動態時間衰減特徵</w:t>
      </w:r>
      <w:r w:rsidRPr="00440D85">
        <w:rPr>
          <w:rFonts w:ascii="標楷體" w:eastAsia="標楷體" w:hAnsi="標楷體"/>
          <w:sz w:val="28"/>
          <w:szCs w:val="28"/>
        </w:rPr>
        <w:t>：受害者往往是在被詐騙集團引導使用高風險惡意 App後，短時間內切換至銀行</w:t>
      </w:r>
      <w:r w:rsidR="00955C78">
        <w:rPr>
          <w:rFonts w:ascii="標楷體" w:eastAsia="標楷體" w:hAnsi="標楷體" w:hint="eastAsia"/>
          <w:sz w:val="28"/>
          <w:szCs w:val="28"/>
        </w:rPr>
        <w:t>APP</w:t>
      </w:r>
      <w:r w:rsidRPr="00440D85">
        <w:rPr>
          <w:rFonts w:ascii="標楷體" w:eastAsia="標楷體" w:hAnsi="標楷體"/>
          <w:sz w:val="28"/>
          <w:szCs w:val="28"/>
        </w:rPr>
        <w:t xml:space="preserve">進行轉帳。先前技術無法有效量化這種跨軟體切換的「時間衰減關聯度」。 </w:t>
      </w:r>
    </w:p>
    <w:p w14:paraId="4FF5A9AC" w14:textId="1C274CB6" w:rsidR="00EB4652" w:rsidRDefault="006142AA" w:rsidP="00321ECD">
      <w:pPr>
        <w:pStyle w:val="a3"/>
        <w:numPr>
          <w:ilvl w:val="1"/>
          <w:numId w:val="1"/>
        </w:numPr>
        <w:adjustRightInd w:val="0"/>
        <w:snapToGrid w:val="0"/>
        <w:spacing w:line="440" w:lineRule="exact"/>
        <w:ind w:leftChars="0" w:left="1134" w:hanging="910"/>
        <w:rPr>
          <w:rFonts w:ascii="標楷體" w:eastAsia="標楷體" w:hAnsi="標楷體"/>
          <w:sz w:val="28"/>
          <w:szCs w:val="28"/>
        </w:rPr>
      </w:pPr>
      <w:r w:rsidRPr="006142AA">
        <w:rPr>
          <w:rFonts w:ascii="標楷體" w:eastAsia="標楷體" w:hAnsi="標楷體"/>
          <w:sz w:val="28"/>
          <w:szCs w:val="28"/>
        </w:rPr>
        <w:t>本案要解決的問題（發明目的）</w:t>
      </w:r>
    </w:p>
    <w:p w14:paraId="20D9986F" w14:textId="03C32EDE" w:rsidR="00D56D2C" w:rsidRDefault="00D56D2C" w:rsidP="00D56D2C">
      <w:pPr>
        <w:pStyle w:val="a3"/>
        <w:adjustRightInd w:val="0"/>
        <w:snapToGrid w:val="0"/>
        <w:spacing w:line="440" w:lineRule="exact"/>
        <w:ind w:leftChars="0" w:left="1134"/>
        <w:rPr>
          <w:rFonts w:ascii="標楷體" w:eastAsia="標楷體" w:hAnsi="標楷體" w:hint="eastAsia"/>
          <w:sz w:val="28"/>
          <w:szCs w:val="28"/>
        </w:rPr>
      </w:pPr>
      <w:r w:rsidRPr="00D56D2C">
        <w:rPr>
          <w:rFonts w:ascii="標楷體" w:eastAsia="標楷體" w:hAnsi="標楷體"/>
          <w:sz w:val="28"/>
          <w:szCs w:val="28"/>
        </w:rPr>
        <w:lastRenderedPageBreak/>
        <w:t>交易側即時部署的反欺詐風險評估模型訓練與推論架構。</w:t>
      </w:r>
    </w:p>
    <w:p w14:paraId="422F719F" w14:textId="3806709C" w:rsidR="006142AA" w:rsidRDefault="00933276" w:rsidP="00933276">
      <w:pPr>
        <w:pStyle w:val="a3"/>
        <w:numPr>
          <w:ilvl w:val="0"/>
          <w:numId w:val="1"/>
        </w:numPr>
        <w:adjustRightInd w:val="0"/>
        <w:snapToGrid w:val="0"/>
        <w:spacing w:line="440" w:lineRule="exact"/>
        <w:ind w:leftChars="0" w:left="567" w:hanging="567"/>
        <w:rPr>
          <w:rFonts w:ascii="標楷體" w:eastAsia="標楷體" w:hAnsi="標楷體"/>
          <w:sz w:val="28"/>
          <w:szCs w:val="28"/>
        </w:rPr>
      </w:pPr>
      <w:r w:rsidRPr="00933276">
        <w:rPr>
          <w:rFonts w:ascii="標楷體" w:eastAsia="標楷體" w:hAnsi="標楷體"/>
          <w:sz w:val="28"/>
          <w:szCs w:val="28"/>
        </w:rPr>
        <w:t>解決問題的技術手段</w:t>
      </w:r>
    </w:p>
    <w:p w14:paraId="364AA2DC" w14:textId="333C0C7D" w:rsidR="00FA6370" w:rsidRDefault="00CE3066" w:rsidP="00CE3066">
      <w:pPr>
        <w:pStyle w:val="a3"/>
        <w:adjustRightInd w:val="0"/>
        <w:snapToGrid w:val="0"/>
        <w:spacing w:line="440" w:lineRule="exact"/>
        <w:ind w:leftChars="272" w:left="653"/>
        <w:rPr>
          <w:rFonts w:ascii="標楷體" w:eastAsia="標楷體" w:hAnsi="標楷體"/>
          <w:sz w:val="28"/>
          <w:szCs w:val="28"/>
        </w:rPr>
      </w:pPr>
      <w:r w:rsidRPr="00CE3066">
        <w:rPr>
          <w:rFonts w:ascii="標楷體" w:eastAsia="標楷體" w:hAnsi="標楷體"/>
          <w:sz w:val="28"/>
          <w:szCs w:val="28"/>
        </w:rPr>
        <w:t>提供一種反欺詐風險評估模型訓練方法、評估方法、對應裝置及電腦可讀存儲介質。茲依技術層次分述如下：</w:t>
      </w:r>
    </w:p>
    <w:p w14:paraId="7C76598F" w14:textId="70F25115" w:rsidR="00CE3066" w:rsidRDefault="002777C0" w:rsidP="00CE3066">
      <w:pPr>
        <w:pStyle w:val="a3"/>
        <w:numPr>
          <w:ilvl w:val="1"/>
          <w:numId w:val="1"/>
        </w:numPr>
        <w:adjustRightInd w:val="0"/>
        <w:snapToGrid w:val="0"/>
        <w:spacing w:line="440" w:lineRule="exact"/>
        <w:ind w:leftChars="0"/>
        <w:rPr>
          <w:rFonts w:ascii="標楷體" w:eastAsia="標楷體" w:hAnsi="標楷體"/>
          <w:sz w:val="28"/>
          <w:szCs w:val="28"/>
        </w:rPr>
      </w:pPr>
      <w:r w:rsidRPr="002777C0">
        <w:rPr>
          <w:rFonts w:ascii="標楷體" w:eastAsia="標楷體" w:hAnsi="標楷體"/>
          <w:sz w:val="28"/>
          <w:szCs w:val="28"/>
        </w:rPr>
        <w:t>核心技術手段</w:t>
      </w:r>
    </w:p>
    <w:p w14:paraId="3EA007CB" w14:textId="6736B91B" w:rsidR="002777C0" w:rsidRDefault="002777C0" w:rsidP="002777C0">
      <w:pPr>
        <w:pStyle w:val="a3"/>
        <w:numPr>
          <w:ilvl w:val="3"/>
          <w:numId w:val="1"/>
        </w:numPr>
        <w:adjustRightInd w:val="0"/>
        <w:snapToGrid w:val="0"/>
        <w:spacing w:line="440" w:lineRule="exact"/>
        <w:ind w:leftChars="0" w:left="1560" w:hanging="284"/>
        <w:rPr>
          <w:rFonts w:ascii="標楷體" w:eastAsia="標楷體" w:hAnsi="標楷體"/>
          <w:sz w:val="28"/>
          <w:szCs w:val="28"/>
        </w:rPr>
      </w:pPr>
      <w:r w:rsidRPr="002777C0">
        <w:rPr>
          <w:rFonts w:ascii="標楷體" w:eastAsia="標楷體" w:hAnsi="標楷體"/>
          <w:sz w:val="28"/>
          <w:szCs w:val="28"/>
        </w:rPr>
        <w:t>特別技術特徵（使本案具進步性之關鍵手段）</w:t>
      </w:r>
    </w:p>
    <w:p w14:paraId="47704AAE" w14:textId="4B9ECC0A" w:rsidR="0084571D" w:rsidRDefault="003F32C1" w:rsidP="0084571D">
      <w:pPr>
        <w:pStyle w:val="a3"/>
        <w:numPr>
          <w:ilvl w:val="0"/>
          <w:numId w:val="11"/>
        </w:numPr>
        <w:adjustRightInd w:val="0"/>
        <w:snapToGrid w:val="0"/>
        <w:spacing w:line="440" w:lineRule="exact"/>
        <w:ind w:leftChars="0"/>
        <w:rPr>
          <w:rFonts w:ascii="標楷體" w:eastAsia="標楷體" w:hAnsi="標楷體"/>
          <w:sz w:val="28"/>
          <w:szCs w:val="28"/>
        </w:rPr>
      </w:pPr>
      <w:r w:rsidRPr="003F32C1">
        <w:rPr>
          <w:rFonts w:ascii="標楷體" w:eastAsia="標楷體" w:hAnsi="標楷體"/>
          <w:sz w:val="28"/>
          <w:szCs w:val="28"/>
        </w:rPr>
        <w:t>資料獲取與輸入嵌入層（301）：透過交易埋點等常規手段獲取交易與設備使用數據，並由輸入嵌入層將高維離散特徵轉換為低維連續之輸入張量。</w:t>
      </w:r>
    </w:p>
    <w:p w14:paraId="6436ADB3" w14:textId="2B785117" w:rsidR="003F32C1" w:rsidRDefault="003F32C1" w:rsidP="0084571D">
      <w:pPr>
        <w:pStyle w:val="a3"/>
        <w:numPr>
          <w:ilvl w:val="0"/>
          <w:numId w:val="11"/>
        </w:numPr>
        <w:adjustRightInd w:val="0"/>
        <w:snapToGrid w:val="0"/>
        <w:spacing w:line="440" w:lineRule="exact"/>
        <w:ind w:leftChars="0"/>
        <w:rPr>
          <w:rFonts w:ascii="標楷體" w:eastAsia="標楷體" w:hAnsi="標楷體"/>
          <w:sz w:val="28"/>
          <w:szCs w:val="28"/>
        </w:rPr>
      </w:pPr>
      <w:r w:rsidRPr="009E3BBD">
        <w:rPr>
          <w:rFonts w:ascii="標楷體" w:eastAsia="標楷體" w:hAnsi="標楷體"/>
          <w:sz w:val="28"/>
          <w:szCs w:val="28"/>
        </w:rPr>
        <w:t>後端深度預測網路（303）：</w:t>
      </w:r>
      <w:r w:rsidRPr="003F32C1">
        <w:rPr>
          <w:rFonts w:ascii="標楷體" w:eastAsia="標楷體" w:hAnsi="標楷體"/>
          <w:sz w:val="28"/>
          <w:szCs w:val="28"/>
        </w:rPr>
        <w:t>採用成熟的機器學習分類器，接收特徵提取網路輸出的加權融合編碼向量，計算輸出最終的風險概率評分。</w:t>
      </w:r>
    </w:p>
    <w:p w14:paraId="26F0D316" w14:textId="3CCCD1A6" w:rsidR="003F32C1" w:rsidRPr="0084571D" w:rsidRDefault="003F32C1" w:rsidP="0084571D">
      <w:pPr>
        <w:pStyle w:val="a3"/>
        <w:numPr>
          <w:ilvl w:val="0"/>
          <w:numId w:val="11"/>
        </w:numPr>
        <w:adjustRightInd w:val="0"/>
        <w:snapToGrid w:val="0"/>
        <w:spacing w:line="440" w:lineRule="exact"/>
        <w:ind w:leftChars="0"/>
        <w:rPr>
          <w:rFonts w:ascii="標楷體" w:eastAsia="標楷體" w:hAnsi="標楷體" w:hint="eastAsia"/>
          <w:sz w:val="28"/>
          <w:szCs w:val="28"/>
        </w:rPr>
      </w:pPr>
      <w:r w:rsidRPr="009E3BBD">
        <w:rPr>
          <w:rFonts w:ascii="標楷體" w:eastAsia="標楷體" w:hAnsi="標楷體"/>
          <w:sz w:val="28"/>
          <w:szCs w:val="28"/>
        </w:rPr>
        <w:t>硬體實體運行架構：</w:t>
      </w:r>
      <w:r w:rsidRPr="003F32C1">
        <w:rPr>
          <w:rFonts w:ascii="標楷體" w:eastAsia="標楷體" w:hAnsi="標楷體"/>
          <w:sz w:val="28"/>
          <w:szCs w:val="28"/>
        </w:rPr>
        <w:t>包含處理器（1001）、記憶體（1005）、網路介面（1004）及匯流排（1002）等常規電腦硬體設備，記憶體中儲存模型訓練與推論之程式指令集。</w:t>
      </w:r>
    </w:p>
    <w:p w14:paraId="702A1B26" w14:textId="4356FFA0" w:rsidR="002777C0" w:rsidRDefault="0084571D" w:rsidP="002777C0">
      <w:pPr>
        <w:pStyle w:val="a3"/>
        <w:numPr>
          <w:ilvl w:val="3"/>
          <w:numId w:val="1"/>
        </w:numPr>
        <w:adjustRightInd w:val="0"/>
        <w:snapToGrid w:val="0"/>
        <w:spacing w:line="440" w:lineRule="exact"/>
        <w:ind w:leftChars="0" w:left="1560" w:hanging="284"/>
        <w:rPr>
          <w:rFonts w:ascii="標楷體" w:eastAsia="標楷體" w:hAnsi="標楷體"/>
          <w:sz w:val="28"/>
          <w:szCs w:val="28"/>
        </w:rPr>
      </w:pPr>
      <w:r w:rsidRPr="0084571D">
        <w:rPr>
          <w:rFonts w:ascii="標楷體" w:eastAsia="標楷體" w:hAnsi="標楷體"/>
          <w:sz w:val="28"/>
          <w:szCs w:val="28"/>
        </w:rPr>
        <w:t>一般技術特徵（維持系統正常運作之基礎結構）</w:t>
      </w:r>
    </w:p>
    <w:p w14:paraId="5568024F" w14:textId="7A29505F" w:rsidR="00D40358" w:rsidRDefault="007E687C" w:rsidP="00D40358">
      <w:pPr>
        <w:pStyle w:val="a3"/>
        <w:numPr>
          <w:ilvl w:val="0"/>
          <w:numId w:val="11"/>
        </w:numPr>
        <w:adjustRightInd w:val="0"/>
        <w:snapToGrid w:val="0"/>
        <w:spacing w:line="440" w:lineRule="exact"/>
        <w:ind w:leftChars="0"/>
        <w:rPr>
          <w:rFonts w:ascii="標楷體" w:eastAsia="標楷體" w:hAnsi="標楷體"/>
          <w:sz w:val="28"/>
          <w:szCs w:val="28"/>
        </w:rPr>
      </w:pPr>
      <w:r w:rsidRPr="003F6C99">
        <w:rPr>
          <w:rFonts w:ascii="標楷體" w:eastAsia="標楷體" w:hAnsi="標楷體"/>
          <w:sz w:val="28"/>
          <w:szCs w:val="28"/>
        </w:rPr>
        <w:t>特定時序編碼公式設計（請求項 4）：</w:t>
      </w:r>
      <w:r w:rsidRPr="007E687C">
        <w:rPr>
          <w:rFonts w:ascii="標楷體" w:eastAsia="標楷體" w:hAnsi="標楷體"/>
          <w:sz w:val="28"/>
          <w:szCs w:val="28"/>
        </w:rPr>
        <w:t>在時序編碼時，明確採用以下三角函數位置編碼規則，使模型能線性捕捉相對時間</w:t>
      </w:r>
    </w:p>
    <w:p w14:paraId="047E14E8" w14:textId="1EB4E5F1" w:rsidR="00113A20" w:rsidRDefault="00113A20" w:rsidP="00113A20">
      <w:pPr>
        <w:pStyle w:val="a3"/>
        <w:numPr>
          <w:ilvl w:val="0"/>
          <w:numId w:val="11"/>
        </w:numPr>
        <w:adjustRightInd w:val="0"/>
        <w:snapToGrid w:val="0"/>
        <w:spacing w:line="440" w:lineRule="exact"/>
        <w:ind w:leftChars="0"/>
        <w:rPr>
          <w:rFonts w:ascii="標楷體" w:eastAsia="標楷體" w:hAnsi="標楷體"/>
          <w:sz w:val="28"/>
          <w:szCs w:val="28"/>
        </w:rPr>
      </w:pPr>
      <w:r w:rsidRPr="00113A20">
        <w:rPr>
          <w:rFonts w:ascii="標楷體" w:eastAsia="標楷體" w:hAnsi="標楷體"/>
          <w:sz w:val="28"/>
          <w:szCs w:val="28"/>
        </w:rPr>
        <w:t xml:space="preserve">全域風險 APP 名單之聚類擴充（請求項 5）：利用現有已知風險軟體的開發者資訊、名稱相似度或軟體描述，透過聚類演算法推測未知的新型可疑軟體，動態擴充全域名單。 </w:t>
      </w:r>
    </w:p>
    <w:p w14:paraId="0DCB5F0D" w14:textId="5284D4B1" w:rsidR="00113A20" w:rsidRDefault="00113A20" w:rsidP="00113A20">
      <w:pPr>
        <w:pStyle w:val="a3"/>
        <w:numPr>
          <w:ilvl w:val="0"/>
          <w:numId w:val="11"/>
        </w:numPr>
        <w:adjustRightInd w:val="0"/>
        <w:snapToGrid w:val="0"/>
        <w:spacing w:line="440" w:lineRule="exact"/>
        <w:ind w:leftChars="0"/>
        <w:rPr>
          <w:rFonts w:ascii="標楷體" w:eastAsia="標楷體" w:hAnsi="標楷體"/>
          <w:sz w:val="28"/>
          <w:szCs w:val="28"/>
        </w:rPr>
      </w:pPr>
      <w:r w:rsidRPr="00113A20">
        <w:rPr>
          <w:rFonts w:ascii="標楷體" w:eastAsia="標楷體" w:hAnsi="標楷體"/>
          <w:sz w:val="28"/>
          <w:szCs w:val="28"/>
        </w:rPr>
        <w:t xml:space="preserve">融入交易留言等文本語意特徵（請求項 7）：將轉帳備註或交易留言文字納入特徵向量，補足非結構化數據的風控維度。 </w:t>
      </w:r>
    </w:p>
    <w:p w14:paraId="76236379" w14:textId="47D03B27" w:rsidR="00113A20" w:rsidRDefault="00113A20" w:rsidP="00113A20">
      <w:pPr>
        <w:pStyle w:val="a3"/>
        <w:numPr>
          <w:ilvl w:val="0"/>
          <w:numId w:val="11"/>
        </w:numPr>
        <w:adjustRightInd w:val="0"/>
        <w:snapToGrid w:val="0"/>
        <w:spacing w:line="440" w:lineRule="exact"/>
        <w:ind w:leftChars="0"/>
        <w:rPr>
          <w:rFonts w:ascii="標楷體" w:eastAsia="標楷體" w:hAnsi="標楷體"/>
          <w:sz w:val="28"/>
          <w:szCs w:val="28"/>
        </w:rPr>
      </w:pPr>
      <w:r w:rsidRPr="00113A20">
        <w:rPr>
          <w:rFonts w:ascii="標楷體" w:eastAsia="標楷體" w:hAnsi="標楷體"/>
          <w:sz w:val="28"/>
          <w:szCs w:val="28"/>
        </w:rPr>
        <w:t>交易金額權重損失函數（請求項 9）：在模型反向傳播訓練的損失函數中，主動加入「交易金額權重因數」，交易金額越大則判定錯誤時的懲罰權重越高，強化模型對大額資金</w:t>
      </w:r>
      <w:r w:rsidR="005779A3">
        <w:rPr>
          <w:rFonts w:ascii="標楷體" w:eastAsia="標楷體" w:hAnsi="標楷體" w:hint="eastAsia"/>
          <w:sz w:val="28"/>
          <w:szCs w:val="28"/>
        </w:rPr>
        <w:t>的</w:t>
      </w:r>
      <w:r w:rsidRPr="00113A20">
        <w:rPr>
          <w:rFonts w:ascii="標楷體" w:eastAsia="標楷體" w:hAnsi="標楷體"/>
          <w:sz w:val="28"/>
          <w:szCs w:val="28"/>
        </w:rPr>
        <w:t xml:space="preserve">盜刷敏感度。 </w:t>
      </w:r>
    </w:p>
    <w:p w14:paraId="5DD62896" w14:textId="2B81F260" w:rsidR="00D40358" w:rsidRPr="00113A20" w:rsidRDefault="00113A20" w:rsidP="00113A20">
      <w:pPr>
        <w:pStyle w:val="a3"/>
        <w:numPr>
          <w:ilvl w:val="0"/>
          <w:numId w:val="11"/>
        </w:numPr>
        <w:adjustRightInd w:val="0"/>
        <w:snapToGrid w:val="0"/>
        <w:spacing w:line="440" w:lineRule="exact"/>
        <w:ind w:leftChars="0"/>
        <w:rPr>
          <w:rFonts w:ascii="標楷體" w:eastAsia="標楷體" w:hAnsi="標楷體" w:hint="eastAsia"/>
          <w:sz w:val="28"/>
          <w:szCs w:val="28"/>
        </w:rPr>
      </w:pPr>
      <w:r w:rsidRPr="00113A20">
        <w:rPr>
          <w:rFonts w:ascii="標楷體" w:eastAsia="標楷體" w:hAnsi="標楷體"/>
          <w:sz w:val="28"/>
          <w:szCs w:val="28"/>
        </w:rPr>
        <w:lastRenderedPageBreak/>
        <w:t>實時干擾阻斷與社群圖演算法閉環回饋（請求項 11、12）：在評估推論時，若分數達標則自動觸發攔截或告警</w:t>
      </w:r>
      <w:r w:rsidR="005779A3">
        <w:rPr>
          <w:rFonts w:ascii="標楷體" w:eastAsia="標楷體" w:hAnsi="標楷體" w:hint="eastAsia"/>
          <w:sz w:val="28"/>
          <w:szCs w:val="28"/>
        </w:rPr>
        <w:t>。</w:t>
      </w:r>
    </w:p>
    <w:p w14:paraId="05ABA494" w14:textId="489C3F92" w:rsidR="00647685" w:rsidRDefault="00647685" w:rsidP="00321ECD">
      <w:pPr>
        <w:pStyle w:val="a3"/>
        <w:numPr>
          <w:ilvl w:val="0"/>
          <w:numId w:val="1"/>
        </w:numPr>
        <w:adjustRightInd w:val="0"/>
        <w:snapToGrid w:val="0"/>
        <w:spacing w:line="440" w:lineRule="exact"/>
        <w:ind w:leftChars="0" w:left="567" w:hanging="567"/>
        <w:rPr>
          <w:rFonts w:ascii="標楷體" w:eastAsia="標楷體" w:hAnsi="標楷體"/>
          <w:b/>
          <w:bCs/>
          <w:sz w:val="28"/>
          <w:szCs w:val="28"/>
        </w:rPr>
      </w:pPr>
      <w:r w:rsidRPr="00647685">
        <w:rPr>
          <w:rFonts w:ascii="標楷體" w:eastAsia="標楷體" w:hAnsi="標楷體"/>
          <w:b/>
          <w:bCs/>
          <w:sz w:val="28"/>
          <w:szCs w:val="28"/>
        </w:rPr>
        <w:t>達成之功效</w:t>
      </w:r>
    </w:p>
    <w:p w14:paraId="03DBD09C" w14:textId="7788D050" w:rsidR="00647685" w:rsidRDefault="00647685" w:rsidP="00647685">
      <w:pPr>
        <w:pStyle w:val="a3"/>
        <w:numPr>
          <w:ilvl w:val="1"/>
          <w:numId w:val="1"/>
        </w:numPr>
        <w:adjustRightInd w:val="0"/>
        <w:snapToGrid w:val="0"/>
        <w:spacing w:line="440" w:lineRule="exact"/>
        <w:ind w:leftChars="0"/>
        <w:rPr>
          <w:rFonts w:ascii="標楷體" w:eastAsia="標楷體" w:hAnsi="標楷體"/>
          <w:b/>
          <w:bCs/>
          <w:sz w:val="28"/>
          <w:szCs w:val="28"/>
        </w:rPr>
      </w:pPr>
      <w:r w:rsidRPr="00647685">
        <w:rPr>
          <w:rFonts w:ascii="標楷體" w:eastAsia="標楷體" w:hAnsi="標楷體"/>
          <w:b/>
          <w:bCs/>
          <w:sz w:val="28"/>
          <w:szCs w:val="28"/>
        </w:rPr>
        <w:t>有別於先前技術之功效</w:t>
      </w:r>
    </w:p>
    <w:p w14:paraId="43D95F50" w14:textId="21B7F96B" w:rsidR="002F3E5F" w:rsidRDefault="005751F7" w:rsidP="005751F7">
      <w:pPr>
        <w:pStyle w:val="a3"/>
        <w:numPr>
          <w:ilvl w:val="0"/>
          <w:numId w:val="11"/>
        </w:numPr>
        <w:adjustRightInd w:val="0"/>
        <w:snapToGrid w:val="0"/>
        <w:spacing w:line="440" w:lineRule="exact"/>
        <w:ind w:leftChars="0"/>
        <w:rPr>
          <w:rFonts w:ascii="標楷體" w:eastAsia="標楷體" w:hAnsi="標楷體"/>
          <w:sz w:val="28"/>
          <w:szCs w:val="28"/>
        </w:rPr>
      </w:pPr>
      <w:r w:rsidRPr="005751F7">
        <w:rPr>
          <w:rFonts w:ascii="標楷體" w:eastAsia="標楷體" w:hAnsi="標楷體"/>
          <w:sz w:val="28"/>
          <w:szCs w:val="28"/>
        </w:rPr>
        <w:t>透過自注意力機制權重自動分配，即使從未見過詐騙話術或新組合手法，只要行為軌跡與設備狀態呈現異常關聯，系統即可判定並輸出風險分數。</w:t>
      </w:r>
    </w:p>
    <w:p w14:paraId="437E4FC2" w14:textId="29E847D4" w:rsidR="005751F7" w:rsidRDefault="005751F7" w:rsidP="005751F7">
      <w:pPr>
        <w:pStyle w:val="a3"/>
        <w:numPr>
          <w:ilvl w:val="0"/>
          <w:numId w:val="11"/>
        </w:numPr>
        <w:adjustRightInd w:val="0"/>
        <w:snapToGrid w:val="0"/>
        <w:spacing w:line="440" w:lineRule="exact"/>
        <w:ind w:leftChars="0"/>
        <w:rPr>
          <w:rFonts w:ascii="標楷體" w:eastAsia="標楷體" w:hAnsi="標楷體"/>
          <w:sz w:val="28"/>
          <w:szCs w:val="28"/>
        </w:rPr>
      </w:pPr>
      <w:r w:rsidRPr="005751F7">
        <w:rPr>
          <w:rFonts w:ascii="標楷體" w:eastAsia="標楷體" w:hAnsi="標楷體"/>
          <w:sz w:val="28"/>
          <w:szCs w:val="28"/>
        </w:rPr>
        <w:t xml:space="preserve">藉由指數衰減的時間相關度與時序編碼，有效區隔正常使用與被誘導轉帳的行為差異，能大幅降低傳統粗暴限額手段的誤報率。   </w:t>
      </w:r>
    </w:p>
    <w:p w14:paraId="49EF44CE" w14:textId="4F184E35" w:rsidR="005751F7" w:rsidRPr="005751F7" w:rsidRDefault="005751F7" w:rsidP="005751F7">
      <w:pPr>
        <w:pStyle w:val="a3"/>
        <w:numPr>
          <w:ilvl w:val="0"/>
          <w:numId w:val="11"/>
        </w:numPr>
        <w:adjustRightInd w:val="0"/>
        <w:snapToGrid w:val="0"/>
        <w:spacing w:line="440" w:lineRule="exact"/>
        <w:ind w:leftChars="0"/>
        <w:rPr>
          <w:rFonts w:ascii="標楷體" w:eastAsia="標楷體" w:hAnsi="標楷體"/>
          <w:sz w:val="28"/>
          <w:szCs w:val="28"/>
        </w:rPr>
      </w:pPr>
      <w:r w:rsidRPr="005751F7">
        <w:rPr>
          <w:rFonts w:ascii="標楷體" w:eastAsia="標楷體" w:hAnsi="標楷體"/>
          <w:sz w:val="28"/>
          <w:szCs w:val="28"/>
        </w:rPr>
        <w:t>透過損失函數中的金額加權設計，使模型在整體辨識率提升，優先壓低高額交易漏報率。</w:t>
      </w:r>
    </w:p>
    <w:p w14:paraId="6F68F13C" w14:textId="5F7F97B1" w:rsidR="00647685" w:rsidRDefault="00647685" w:rsidP="00647685">
      <w:pPr>
        <w:pStyle w:val="a3"/>
        <w:numPr>
          <w:ilvl w:val="1"/>
          <w:numId w:val="1"/>
        </w:numPr>
        <w:adjustRightInd w:val="0"/>
        <w:snapToGrid w:val="0"/>
        <w:spacing w:line="440" w:lineRule="exact"/>
        <w:ind w:leftChars="0"/>
        <w:rPr>
          <w:rFonts w:ascii="標楷體" w:eastAsia="標楷體" w:hAnsi="標楷體"/>
          <w:b/>
          <w:bCs/>
          <w:sz w:val="28"/>
          <w:szCs w:val="28"/>
        </w:rPr>
      </w:pPr>
      <w:r w:rsidRPr="00647685">
        <w:rPr>
          <w:rFonts w:ascii="標楷體" w:eastAsia="標楷體" w:hAnsi="標楷體"/>
          <w:b/>
          <w:bCs/>
          <w:sz w:val="28"/>
          <w:szCs w:val="28"/>
        </w:rPr>
        <w:t>有利功效或無法預期之功效</w:t>
      </w:r>
    </w:p>
    <w:p w14:paraId="15D7740F" w14:textId="727D17F3" w:rsidR="002E3D3C" w:rsidRDefault="002E3D3C" w:rsidP="002E3D3C">
      <w:pPr>
        <w:pStyle w:val="a3"/>
        <w:numPr>
          <w:ilvl w:val="0"/>
          <w:numId w:val="11"/>
        </w:numPr>
        <w:adjustRightInd w:val="0"/>
        <w:snapToGrid w:val="0"/>
        <w:spacing w:line="440" w:lineRule="exact"/>
        <w:ind w:leftChars="0"/>
        <w:rPr>
          <w:rFonts w:ascii="標楷體" w:eastAsia="標楷體" w:hAnsi="標楷體"/>
          <w:sz w:val="28"/>
          <w:szCs w:val="28"/>
        </w:rPr>
      </w:pPr>
      <w:r w:rsidRPr="002E3D3C">
        <w:rPr>
          <w:rFonts w:ascii="標楷體" w:eastAsia="標楷體" w:hAnsi="標楷體"/>
          <w:sz w:val="28"/>
          <w:szCs w:val="28"/>
        </w:rPr>
        <w:t>傳統模型往往因為某項特徵缺失而失效，但本案利用Transformer 編碼器，當特定用戶靜態</w:t>
      </w:r>
      <w:r w:rsidR="00DE7A30">
        <w:rPr>
          <w:rFonts w:ascii="標楷體" w:eastAsia="標楷體" w:hAnsi="標楷體" w:hint="eastAsia"/>
          <w:sz w:val="28"/>
          <w:szCs w:val="28"/>
        </w:rPr>
        <w:t>資料</w:t>
      </w:r>
      <w:r w:rsidRPr="002E3D3C">
        <w:rPr>
          <w:rFonts w:ascii="標楷體" w:eastAsia="標楷體" w:hAnsi="標楷體"/>
          <w:sz w:val="28"/>
          <w:szCs w:val="28"/>
        </w:rPr>
        <w:t>不完整時，能自動拉高「設備風險 APP 關聯度」與「行為特徵」權重。</w:t>
      </w:r>
    </w:p>
    <w:p w14:paraId="3F802BCF" w14:textId="440CB72B" w:rsidR="002E3D3C" w:rsidRPr="002E3D3C" w:rsidRDefault="002E3D3C" w:rsidP="002E3D3C">
      <w:pPr>
        <w:pStyle w:val="a3"/>
        <w:numPr>
          <w:ilvl w:val="0"/>
          <w:numId w:val="11"/>
        </w:numPr>
        <w:adjustRightInd w:val="0"/>
        <w:snapToGrid w:val="0"/>
        <w:spacing w:line="440" w:lineRule="exact"/>
        <w:ind w:leftChars="0"/>
        <w:rPr>
          <w:rFonts w:ascii="標楷體" w:eastAsia="標楷體" w:hAnsi="標楷體"/>
          <w:sz w:val="28"/>
          <w:szCs w:val="28"/>
        </w:rPr>
      </w:pPr>
      <w:r w:rsidRPr="002E3D3C">
        <w:rPr>
          <w:rFonts w:ascii="標楷體" w:eastAsia="標楷體" w:hAnsi="標楷體"/>
          <w:sz w:val="28"/>
          <w:szCs w:val="28"/>
        </w:rPr>
        <w:t>利用交易關係網絡自主挖掘隱藏集團洗錢帳戶，並將這些高價值標籤自動回饋至訓練集。</w:t>
      </w:r>
    </w:p>
    <w:p w14:paraId="1E7B0540" w14:textId="2A2C6F04" w:rsidR="00EB4652" w:rsidRPr="00FA6370" w:rsidRDefault="00EB4652" w:rsidP="00321ECD">
      <w:pPr>
        <w:pStyle w:val="a3"/>
        <w:numPr>
          <w:ilvl w:val="0"/>
          <w:numId w:val="1"/>
        </w:numPr>
        <w:adjustRightInd w:val="0"/>
        <w:snapToGrid w:val="0"/>
        <w:spacing w:line="440" w:lineRule="exact"/>
        <w:ind w:leftChars="0" w:left="567" w:hanging="567"/>
        <w:rPr>
          <w:rFonts w:ascii="標楷體" w:eastAsia="標楷體" w:hAnsi="標楷體"/>
          <w:b/>
          <w:bCs/>
          <w:sz w:val="28"/>
          <w:szCs w:val="28"/>
        </w:rPr>
      </w:pPr>
      <w:r w:rsidRPr="00FA6370">
        <w:rPr>
          <w:rFonts w:ascii="標楷體" w:eastAsia="標楷體" w:hAnsi="標楷體" w:hint="eastAsia"/>
          <w:b/>
          <w:bCs/>
          <w:sz w:val="28"/>
          <w:szCs w:val="28"/>
        </w:rPr>
        <w:t>心得</w:t>
      </w:r>
    </w:p>
    <w:p w14:paraId="08B6EE1A" w14:textId="77777777" w:rsidR="008B2DBE" w:rsidRDefault="005A4E41" w:rsidP="005A4E41">
      <w:pPr>
        <w:pStyle w:val="a3"/>
        <w:numPr>
          <w:ilvl w:val="1"/>
          <w:numId w:val="1"/>
        </w:numPr>
        <w:adjustRightInd w:val="0"/>
        <w:snapToGrid w:val="0"/>
        <w:spacing w:line="440" w:lineRule="exact"/>
        <w:ind w:leftChars="0"/>
        <w:rPr>
          <w:rFonts w:ascii="標楷體" w:eastAsia="標楷體" w:hAnsi="標楷體"/>
          <w:b/>
          <w:bCs/>
          <w:sz w:val="28"/>
          <w:szCs w:val="28"/>
        </w:rPr>
      </w:pPr>
      <w:r w:rsidRPr="005A4E41">
        <w:rPr>
          <w:rFonts w:ascii="標楷體" w:eastAsia="標楷體" w:hAnsi="標楷體" w:hint="eastAsia"/>
          <w:b/>
          <w:bCs/>
          <w:sz w:val="28"/>
          <w:szCs w:val="28"/>
        </w:rPr>
        <w:t>端點資安實務困境：</w:t>
      </w:r>
    </w:p>
    <w:p w14:paraId="54872261" w14:textId="6CD8FE82" w:rsidR="008B2DBE" w:rsidRPr="008B2DBE" w:rsidRDefault="005A4E41" w:rsidP="008B2DBE">
      <w:pPr>
        <w:pStyle w:val="a3"/>
        <w:adjustRightInd w:val="0"/>
        <w:snapToGrid w:val="0"/>
        <w:spacing w:line="440" w:lineRule="exact"/>
        <w:ind w:leftChars="0" w:left="960"/>
        <w:rPr>
          <w:rFonts w:ascii="標楷體" w:eastAsia="標楷體" w:hAnsi="標楷體"/>
          <w:b/>
          <w:bCs/>
          <w:sz w:val="28"/>
          <w:szCs w:val="28"/>
        </w:rPr>
      </w:pPr>
      <w:r w:rsidRPr="006B3EF0">
        <w:rPr>
          <w:rFonts w:ascii="標楷體" w:eastAsia="標楷體" w:hAnsi="標楷體" w:hint="eastAsia"/>
          <w:sz w:val="28"/>
          <w:szCs w:val="28"/>
        </w:rPr>
        <w:t>本案高度依賴「設備風險 APP 清單」與「跨軟體使用時序」作為核心特徵，在</w:t>
      </w:r>
      <w:r w:rsidR="008B2DBE">
        <w:rPr>
          <w:rFonts w:ascii="標楷體" w:eastAsia="標楷體" w:hAnsi="標楷體" w:hint="eastAsia"/>
          <w:sz w:val="28"/>
          <w:szCs w:val="28"/>
        </w:rPr>
        <w:t>實務</w:t>
      </w:r>
      <w:r w:rsidRPr="006B3EF0">
        <w:rPr>
          <w:rFonts w:ascii="標楷體" w:eastAsia="標楷體" w:hAnsi="標楷體" w:hint="eastAsia"/>
          <w:sz w:val="28"/>
          <w:szCs w:val="28"/>
        </w:rPr>
        <w:t>金融環境中難以落地。</w:t>
      </w:r>
    </w:p>
    <w:p w14:paraId="2F9B5ADA" w14:textId="77777777" w:rsidR="00411A90" w:rsidRDefault="005A4E41" w:rsidP="008B2DBE">
      <w:pPr>
        <w:pStyle w:val="a3"/>
        <w:adjustRightInd w:val="0"/>
        <w:snapToGrid w:val="0"/>
        <w:spacing w:line="440" w:lineRule="exact"/>
        <w:ind w:leftChars="0" w:left="960"/>
        <w:rPr>
          <w:rFonts w:ascii="標楷體" w:eastAsia="標楷體" w:hAnsi="標楷體"/>
          <w:sz w:val="28"/>
          <w:szCs w:val="28"/>
        </w:rPr>
      </w:pPr>
      <w:r w:rsidRPr="006B3EF0">
        <w:rPr>
          <w:rFonts w:ascii="標楷體" w:eastAsia="標楷體" w:hAnsi="標楷體" w:hint="eastAsia"/>
          <w:sz w:val="28"/>
          <w:szCs w:val="28"/>
        </w:rPr>
        <w:t>現代行動作業系統（</w:t>
      </w:r>
      <w:proofErr w:type="spellStart"/>
      <w:r w:rsidR="00122C95">
        <w:rPr>
          <w:rFonts w:ascii="標楷體" w:eastAsia="標楷體" w:hAnsi="標楷體" w:hint="eastAsia"/>
          <w:sz w:val="28"/>
          <w:szCs w:val="28"/>
        </w:rPr>
        <w:t>EX:</w:t>
      </w:r>
      <w:r w:rsidRPr="006B3EF0">
        <w:rPr>
          <w:rFonts w:ascii="標楷體" w:eastAsia="標楷體" w:hAnsi="標楷體" w:hint="eastAsia"/>
          <w:sz w:val="28"/>
          <w:szCs w:val="28"/>
        </w:rPr>
        <w:t>iOS</w:t>
      </w:r>
      <w:proofErr w:type="spellEnd"/>
      <w:r w:rsidRPr="006B3EF0">
        <w:rPr>
          <w:rFonts w:ascii="標楷體" w:eastAsia="標楷體" w:hAnsi="標楷體" w:hint="eastAsia"/>
          <w:sz w:val="28"/>
          <w:szCs w:val="28"/>
        </w:rPr>
        <w:t xml:space="preserve"> 沙盒機制與 Android 對敏感權限嚴格限縮）已全面封鎖探測背景安裝與執行清單的能力</w:t>
      </w:r>
      <w:r w:rsidR="00411A90">
        <w:rPr>
          <w:rFonts w:ascii="標楷體" w:eastAsia="標楷體" w:hAnsi="標楷體" w:hint="eastAsia"/>
          <w:sz w:val="28"/>
          <w:szCs w:val="28"/>
        </w:rPr>
        <w:t>。</w:t>
      </w:r>
    </w:p>
    <w:p w14:paraId="3BD16D14" w14:textId="1E1F3E07" w:rsidR="00BE792C" w:rsidRPr="005A4E41" w:rsidRDefault="005A4E41" w:rsidP="008B2DBE">
      <w:pPr>
        <w:pStyle w:val="a3"/>
        <w:adjustRightInd w:val="0"/>
        <w:snapToGrid w:val="0"/>
        <w:spacing w:line="440" w:lineRule="exact"/>
        <w:ind w:leftChars="0" w:left="960"/>
        <w:rPr>
          <w:rFonts w:ascii="標楷體" w:eastAsia="標楷體" w:hAnsi="標楷體"/>
          <w:b/>
          <w:bCs/>
          <w:sz w:val="28"/>
          <w:szCs w:val="28"/>
        </w:rPr>
      </w:pPr>
      <w:r w:rsidRPr="006B3EF0">
        <w:rPr>
          <w:rFonts w:ascii="標楷體" w:eastAsia="標楷體" w:hAnsi="標楷體" w:hint="eastAsia"/>
          <w:sz w:val="28"/>
          <w:szCs w:val="28"/>
        </w:rPr>
        <w:t>同時，金融機構在個人資料保護法規嚴格監管下</w:t>
      </w:r>
      <w:r w:rsidR="009D702C">
        <w:rPr>
          <w:rFonts w:ascii="標楷體" w:eastAsia="標楷體" w:hAnsi="標楷體" w:hint="eastAsia"/>
          <w:sz w:val="28"/>
          <w:szCs w:val="28"/>
        </w:rPr>
        <w:t>，</w:t>
      </w:r>
      <w:r w:rsidR="00411A90">
        <w:rPr>
          <w:rFonts w:ascii="標楷體" w:eastAsia="標楷體" w:hAnsi="標楷體" w:hint="eastAsia"/>
          <w:sz w:val="28"/>
          <w:szCs w:val="28"/>
        </w:rPr>
        <w:t>考量</w:t>
      </w:r>
      <w:r w:rsidR="009D702C" w:rsidRPr="006B3EF0">
        <w:rPr>
          <w:rFonts w:ascii="標楷體" w:eastAsia="標楷體" w:hAnsi="標楷體" w:hint="eastAsia"/>
          <w:sz w:val="28"/>
          <w:szCs w:val="28"/>
        </w:rPr>
        <w:t>適法性與隱私審查風險</w:t>
      </w:r>
      <w:r w:rsidRPr="006B3EF0">
        <w:rPr>
          <w:rFonts w:ascii="標楷體" w:eastAsia="標楷體" w:hAnsi="標楷體" w:hint="eastAsia"/>
          <w:sz w:val="28"/>
          <w:szCs w:val="28"/>
        </w:rPr>
        <w:t>，</w:t>
      </w:r>
      <w:r w:rsidR="009D702C">
        <w:rPr>
          <w:rFonts w:ascii="標楷體" w:eastAsia="標楷體" w:hAnsi="標楷體" w:hint="eastAsia"/>
          <w:sz w:val="28"/>
          <w:szCs w:val="28"/>
        </w:rPr>
        <w:t>無法</w:t>
      </w:r>
      <w:r w:rsidRPr="006B3EF0">
        <w:rPr>
          <w:rFonts w:ascii="標楷體" w:eastAsia="標楷體" w:hAnsi="標楷體" w:hint="eastAsia"/>
          <w:sz w:val="28"/>
          <w:szCs w:val="28"/>
        </w:rPr>
        <w:t>收集用戶設備 APP 軌跡</w:t>
      </w:r>
      <w:r w:rsidR="009D702C">
        <w:rPr>
          <w:rFonts w:ascii="標楷體" w:eastAsia="標楷體" w:hAnsi="標楷體" w:hint="eastAsia"/>
          <w:sz w:val="28"/>
          <w:szCs w:val="28"/>
        </w:rPr>
        <w:t>，</w:t>
      </w:r>
      <w:r w:rsidRPr="006B3EF0">
        <w:rPr>
          <w:rFonts w:ascii="標楷體" w:eastAsia="標楷體" w:hAnsi="標楷體" w:hint="eastAsia"/>
          <w:sz w:val="28"/>
          <w:szCs w:val="28"/>
        </w:rPr>
        <w:t>本模型之核心輸入特徵</w:t>
      </w:r>
      <w:r w:rsidR="00411A90">
        <w:rPr>
          <w:rFonts w:ascii="標楷體" w:eastAsia="標楷體" w:hAnsi="標楷體" w:hint="eastAsia"/>
          <w:sz w:val="28"/>
          <w:szCs w:val="28"/>
        </w:rPr>
        <w:t>無法確保合法可行</w:t>
      </w:r>
      <w:r w:rsidRPr="005A4E41">
        <w:rPr>
          <w:rFonts w:ascii="標楷體" w:eastAsia="標楷體" w:hAnsi="標楷體" w:hint="eastAsia"/>
          <w:b/>
          <w:bCs/>
          <w:sz w:val="28"/>
          <w:szCs w:val="28"/>
        </w:rPr>
        <w:t>。</w:t>
      </w:r>
    </w:p>
    <w:p w14:paraId="1B8B1F32" w14:textId="77777777" w:rsidR="00521059" w:rsidRDefault="006B3EF0" w:rsidP="006B3EF0">
      <w:pPr>
        <w:pStyle w:val="a3"/>
        <w:numPr>
          <w:ilvl w:val="1"/>
          <w:numId w:val="1"/>
        </w:numPr>
        <w:adjustRightInd w:val="0"/>
        <w:snapToGrid w:val="0"/>
        <w:spacing w:line="440" w:lineRule="exact"/>
        <w:ind w:leftChars="0"/>
        <w:rPr>
          <w:rFonts w:ascii="標楷體" w:eastAsia="標楷體" w:hAnsi="標楷體"/>
          <w:b/>
          <w:bCs/>
          <w:sz w:val="28"/>
          <w:szCs w:val="28"/>
        </w:rPr>
      </w:pPr>
      <w:r w:rsidRPr="006B3EF0">
        <w:rPr>
          <w:rFonts w:ascii="標楷體" w:eastAsia="標楷體" w:hAnsi="標楷體" w:hint="eastAsia"/>
          <w:b/>
          <w:bCs/>
          <w:sz w:val="28"/>
          <w:szCs w:val="28"/>
        </w:rPr>
        <w:t>演算法本質：</w:t>
      </w:r>
    </w:p>
    <w:p w14:paraId="6B26D3D5" w14:textId="5650B811" w:rsidR="003D7650" w:rsidRDefault="003D7650" w:rsidP="00521059">
      <w:pPr>
        <w:pStyle w:val="a3"/>
        <w:adjustRightInd w:val="0"/>
        <w:snapToGrid w:val="0"/>
        <w:spacing w:line="440" w:lineRule="exact"/>
        <w:ind w:leftChars="0" w:left="960"/>
        <w:rPr>
          <w:rFonts w:ascii="標楷體" w:eastAsia="標楷體" w:hAnsi="標楷體"/>
          <w:sz w:val="28"/>
          <w:szCs w:val="28"/>
        </w:rPr>
      </w:pPr>
      <w:r>
        <w:rPr>
          <w:rFonts w:ascii="標楷體" w:eastAsia="標楷體" w:hAnsi="標楷體" w:hint="eastAsia"/>
          <w:sz w:val="28"/>
          <w:szCs w:val="28"/>
        </w:rPr>
        <w:t>本案為</w:t>
      </w:r>
      <w:r w:rsidRPr="003D7650">
        <w:rPr>
          <w:rFonts w:ascii="標楷體" w:eastAsia="標楷體" w:hAnsi="標楷體" w:hint="eastAsia"/>
          <w:sz w:val="28"/>
          <w:szCs w:val="28"/>
        </w:rPr>
        <w:t>重組</w:t>
      </w:r>
      <w:r w:rsidR="006B3EF0" w:rsidRPr="003D7650">
        <w:rPr>
          <w:rFonts w:ascii="標楷體" w:eastAsia="標楷體" w:hAnsi="標楷體" w:hint="eastAsia"/>
          <w:sz w:val="28"/>
          <w:szCs w:val="28"/>
        </w:rPr>
        <w:t>成熟技術，缺乏創新評估演算法架構，</w:t>
      </w:r>
      <w:r w:rsidR="0099388F">
        <w:rPr>
          <w:rFonts w:ascii="標楷體" w:eastAsia="標楷體" w:hAnsi="標楷體" w:hint="eastAsia"/>
          <w:sz w:val="28"/>
          <w:szCs w:val="28"/>
        </w:rPr>
        <w:t>亦</w:t>
      </w:r>
      <w:r w:rsidR="006B3EF0" w:rsidRPr="003D7650">
        <w:rPr>
          <w:rFonts w:ascii="標楷體" w:eastAsia="標楷體" w:hAnsi="標楷體" w:hint="eastAsia"/>
          <w:sz w:val="28"/>
          <w:szCs w:val="28"/>
        </w:rPr>
        <w:t>未提出</w:t>
      </w:r>
      <w:r w:rsidR="006B3EF0" w:rsidRPr="003D7650">
        <w:rPr>
          <w:rFonts w:ascii="標楷體" w:eastAsia="標楷體" w:hAnsi="標楷體" w:hint="eastAsia"/>
          <w:sz w:val="28"/>
          <w:szCs w:val="28"/>
        </w:rPr>
        <w:lastRenderedPageBreak/>
        <w:t>突破性機器學習理論。</w:t>
      </w:r>
    </w:p>
    <w:p w14:paraId="4B2A920E" w14:textId="13182677" w:rsidR="003D7650" w:rsidRDefault="006B3EF0" w:rsidP="00521059">
      <w:pPr>
        <w:pStyle w:val="a3"/>
        <w:adjustRightInd w:val="0"/>
        <w:snapToGrid w:val="0"/>
        <w:spacing w:line="440" w:lineRule="exact"/>
        <w:ind w:leftChars="0" w:left="960"/>
        <w:rPr>
          <w:rFonts w:ascii="標楷體" w:eastAsia="標楷體" w:hAnsi="標楷體"/>
          <w:sz w:val="28"/>
          <w:szCs w:val="28"/>
        </w:rPr>
      </w:pPr>
      <w:r w:rsidRPr="003D7650">
        <w:rPr>
          <w:rFonts w:ascii="標楷體" w:eastAsia="標楷體" w:hAnsi="標楷體" w:hint="eastAsia"/>
          <w:sz w:val="28"/>
          <w:szCs w:val="28"/>
        </w:rPr>
        <w:t xml:space="preserve">本質是將自然語言處理領域已高度成熟Transformer 位置編碼與自注意力矩陣，平移套用至傳統風控的靜態、行為與時序特徵進行加權拼接，後端預測仍依賴隨機森林或 </w:t>
      </w:r>
      <w:proofErr w:type="spellStart"/>
      <w:r w:rsidRPr="003D7650">
        <w:rPr>
          <w:rFonts w:ascii="標楷體" w:eastAsia="標楷體" w:hAnsi="標楷體" w:hint="eastAsia"/>
          <w:sz w:val="28"/>
          <w:szCs w:val="28"/>
        </w:rPr>
        <w:t>XGBoost</w:t>
      </w:r>
      <w:proofErr w:type="spellEnd"/>
      <w:r w:rsidRPr="003D7650">
        <w:rPr>
          <w:rFonts w:ascii="標楷體" w:eastAsia="標楷體" w:hAnsi="標楷體" w:hint="eastAsia"/>
          <w:sz w:val="28"/>
          <w:szCs w:val="28"/>
        </w:rPr>
        <w:t xml:space="preserve"> 等現成模型。</w:t>
      </w:r>
    </w:p>
    <w:p w14:paraId="2DC9F7DF" w14:textId="5B5D3725" w:rsidR="006F5B41" w:rsidRPr="003D7650" w:rsidRDefault="006B3EF0" w:rsidP="00521059">
      <w:pPr>
        <w:pStyle w:val="a3"/>
        <w:adjustRightInd w:val="0"/>
        <w:snapToGrid w:val="0"/>
        <w:spacing w:line="440" w:lineRule="exact"/>
        <w:ind w:leftChars="0" w:left="960"/>
        <w:rPr>
          <w:rFonts w:ascii="標楷體" w:eastAsia="標楷體" w:hAnsi="標楷體"/>
          <w:sz w:val="28"/>
          <w:szCs w:val="28"/>
        </w:rPr>
      </w:pPr>
      <w:r w:rsidRPr="003D7650">
        <w:rPr>
          <w:rFonts w:ascii="標楷體" w:eastAsia="標楷體" w:hAnsi="標楷體" w:hint="eastAsia"/>
          <w:sz w:val="28"/>
          <w:szCs w:val="28"/>
        </w:rPr>
        <w:t>此種做法屬於標準的「工程改良與特徵縫合」，創新高度有限，</w:t>
      </w:r>
      <w:r w:rsidR="001A45CE">
        <w:rPr>
          <w:rFonts w:ascii="標楷體" w:eastAsia="標楷體" w:hAnsi="標楷體" w:hint="eastAsia"/>
          <w:sz w:val="28"/>
          <w:szCs w:val="28"/>
        </w:rPr>
        <w:t>與發明</w:t>
      </w:r>
      <w:r w:rsidRPr="003D7650">
        <w:rPr>
          <w:rFonts w:ascii="標楷體" w:eastAsia="標楷體" w:hAnsi="標楷體" w:hint="eastAsia"/>
          <w:sz w:val="28"/>
          <w:szCs w:val="28"/>
        </w:rPr>
        <w:t>專利進步性抗辯上相對脆弱</w:t>
      </w:r>
      <w:r w:rsidR="003D7650">
        <w:rPr>
          <w:rFonts w:ascii="標楷體" w:eastAsia="標楷體" w:hAnsi="標楷體" w:hint="eastAsia"/>
          <w:sz w:val="28"/>
          <w:szCs w:val="28"/>
        </w:rPr>
        <w:t>。</w:t>
      </w:r>
    </w:p>
    <w:p w14:paraId="37265846" w14:textId="77777777" w:rsidR="003F6C99" w:rsidRPr="003F6C99" w:rsidRDefault="003D7650" w:rsidP="003D7650">
      <w:pPr>
        <w:pStyle w:val="a3"/>
        <w:numPr>
          <w:ilvl w:val="1"/>
          <w:numId w:val="1"/>
        </w:numPr>
        <w:adjustRightInd w:val="0"/>
        <w:snapToGrid w:val="0"/>
        <w:spacing w:line="440" w:lineRule="exact"/>
        <w:ind w:leftChars="0"/>
        <w:rPr>
          <w:rFonts w:ascii="標楷體" w:eastAsia="標楷體" w:hAnsi="標楷體"/>
          <w:sz w:val="28"/>
          <w:szCs w:val="28"/>
        </w:rPr>
      </w:pPr>
      <w:r w:rsidRPr="00CA4142">
        <w:rPr>
          <w:rFonts w:ascii="標楷體" w:eastAsia="標楷體" w:hAnsi="標楷體" w:hint="eastAsia"/>
          <w:b/>
          <w:bCs/>
          <w:sz w:val="28"/>
          <w:szCs w:val="28"/>
        </w:rPr>
        <w:t>金融防詐第一線痛點：</w:t>
      </w:r>
    </w:p>
    <w:p w14:paraId="5D4E0951" w14:textId="28E36855" w:rsidR="00B20979" w:rsidRDefault="003D7650" w:rsidP="003F6C99">
      <w:pPr>
        <w:pStyle w:val="a3"/>
        <w:adjustRightInd w:val="0"/>
        <w:snapToGrid w:val="0"/>
        <w:spacing w:line="440" w:lineRule="exact"/>
        <w:ind w:leftChars="0" w:left="960"/>
        <w:rPr>
          <w:rFonts w:ascii="標楷體" w:eastAsia="標楷體" w:hAnsi="標楷體"/>
          <w:sz w:val="28"/>
          <w:szCs w:val="28"/>
        </w:rPr>
      </w:pPr>
      <w:r w:rsidRPr="00CA4142">
        <w:rPr>
          <w:rFonts w:ascii="標楷體" w:eastAsia="標楷體" w:hAnsi="標楷體" w:hint="eastAsia"/>
          <w:sz w:val="28"/>
          <w:szCs w:val="28"/>
        </w:rPr>
        <w:t>黑盒子架構與監管合規要求嚴重脫節</w:t>
      </w:r>
      <w:r w:rsidRPr="00CA4142">
        <w:rPr>
          <w:rFonts w:ascii="標楷體" w:eastAsia="標楷體" w:hAnsi="標楷體" w:hint="eastAsia"/>
          <w:sz w:val="28"/>
          <w:szCs w:val="28"/>
        </w:rPr>
        <w:t>，</w:t>
      </w:r>
      <w:r w:rsidR="00B20979">
        <w:rPr>
          <w:rFonts w:ascii="標楷體" w:eastAsia="標楷體" w:hAnsi="標楷體" w:hint="eastAsia"/>
          <w:sz w:val="28"/>
          <w:szCs w:val="28"/>
        </w:rPr>
        <w:t>學生</w:t>
      </w:r>
      <w:r w:rsidRPr="00CA4142">
        <w:rPr>
          <w:rFonts w:ascii="標楷體" w:eastAsia="標楷體" w:hAnsi="標楷體" w:hint="eastAsia"/>
          <w:sz w:val="28"/>
          <w:szCs w:val="28"/>
        </w:rPr>
        <w:t>在</w:t>
      </w:r>
      <w:r w:rsidR="00B20979">
        <w:rPr>
          <w:rFonts w:ascii="標楷體" w:eastAsia="標楷體" w:hAnsi="標楷體" w:hint="eastAsia"/>
          <w:sz w:val="28"/>
          <w:szCs w:val="28"/>
        </w:rPr>
        <w:t>金融業資安部門服務，在</w:t>
      </w:r>
      <w:r w:rsidRPr="00CA4142">
        <w:rPr>
          <w:rFonts w:ascii="標楷體" w:eastAsia="標楷體" w:hAnsi="標楷體" w:hint="eastAsia"/>
          <w:sz w:val="28"/>
          <w:szCs w:val="28"/>
        </w:rPr>
        <w:t>反欺詐防禦實務中，風控決策</w:t>
      </w:r>
      <w:r w:rsidR="00B20979">
        <w:rPr>
          <w:rFonts w:ascii="標楷體" w:eastAsia="標楷體" w:hAnsi="標楷體" w:hint="eastAsia"/>
          <w:sz w:val="28"/>
          <w:szCs w:val="28"/>
        </w:rPr>
        <w:t>除</w:t>
      </w:r>
      <w:r w:rsidRPr="00CA4142">
        <w:rPr>
          <w:rFonts w:ascii="標楷體" w:eastAsia="標楷體" w:hAnsi="標楷體" w:hint="eastAsia"/>
          <w:sz w:val="28"/>
          <w:szCs w:val="28"/>
        </w:rPr>
        <w:t>需承受毫秒級的交易延遲上限，更必須面對極其嚴苛的</w:t>
      </w:r>
      <w:r w:rsidR="00B20979">
        <w:rPr>
          <w:rFonts w:ascii="標楷體" w:eastAsia="標楷體" w:hAnsi="標楷體" w:hint="eastAsia"/>
          <w:sz w:val="28"/>
          <w:szCs w:val="28"/>
        </w:rPr>
        <w:t>法令遵循</w:t>
      </w:r>
      <w:r w:rsidRPr="00CA4142">
        <w:rPr>
          <w:rFonts w:ascii="標楷體" w:eastAsia="標楷體" w:hAnsi="標楷體" w:hint="eastAsia"/>
          <w:sz w:val="28"/>
          <w:szCs w:val="28"/>
        </w:rPr>
        <w:t>合規審計。</w:t>
      </w:r>
    </w:p>
    <w:p w14:paraId="6935A991" w14:textId="36DBCA0F" w:rsidR="002C2404" w:rsidRDefault="003D7650" w:rsidP="00B20979">
      <w:pPr>
        <w:pStyle w:val="a3"/>
        <w:adjustRightInd w:val="0"/>
        <w:snapToGrid w:val="0"/>
        <w:spacing w:line="440" w:lineRule="exact"/>
        <w:ind w:leftChars="0" w:left="960"/>
        <w:rPr>
          <w:rFonts w:ascii="標楷體" w:eastAsia="標楷體" w:hAnsi="標楷體"/>
          <w:sz w:val="28"/>
          <w:szCs w:val="28"/>
        </w:rPr>
      </w:pPr>
      <w:r w:rsidRPr="00CA4142">
        <w:rPr>
          <w:rFonts w:ascii="標楷體" w:eastAsia="標楷體" w:hAnsi="標楷體" w:hint="eastAsia"/>
          <w:sz w:val="28"/>
          <w:szCs w:val="28"/>
        </w:rPr>
        <w:t>當系統依據評分在第一線對交易實施即時阻斷、延遲付款或凍結帳戶時，銀行依金融法規負有向主管機關及客戶明確說明處置依據的法定義務。缺乏可解釋性（XAI）的黑盒子決策，將引發嚴重的客訴風暴與金融監管合規風險。</w:t>
      </w:r>
    </w:p>
    <w:p w14:paraId="536ECDE0" w14:textId="04A49EBD" w:rsidR="006A0A28" w:rsidRDefault="006A0A28" w:rsidP="006A0A28">
      <w:pPr>
        <w:pStyle w:val="a3"/>
        <w:numPr>
          <w:ilvl w:val="0"/>
          <w:numId w:val="1"/>
        </w:numPr>
        <w:adjustRightInd w:val="0"/>
        <w:snapToGrid w:val="0"/>
        <w:spacing w:line="440" w:lineRule="exact"/>
        <w:ind w:leftChars="0" w:left="567" w:hanging="567"/>
        <w:rPr>
          <w:rFonts w:ascii="標楷體" w:eastAsia="標楷體" w:hAnsi="標楷體"/>
          <w:sz w:val="28"/>
          <w:szCs w:val="28"/>
        </w:rPr>
      </w:pPr>
      <w:r>
        <w:rPr>
          <w:rFonts w:ascii="標楷體" w:eastAsia="標楷體" w:hAnsi="標楷體"/>
          <w:sz w:val="28"/>
          <w:szCs w:val="28"/>
        </w:rPr>
        <w:t>使用AI說明</w:t>
      </w:r>
    </w:p>
    <w:p w14:paraId="20308779" w14:textId="32E4F9DD" w:rsidR="006A0A28" w:rsidRDefault="00CB06AF" w:rsidP="00CB06AF">
      <w:pPr>
        <w:pStyle w:val="a3"/>
        <w:numPr>
          <w:ilvl w:val="1"/>
          <w:numId w:val="1"/>
        </w:numPr>
        <w:adjustRightInd w:val="0"/>
        <w:snapToGrid w:val="0"/>
        <w:spacing w:line="440" w:lineRule="exact"/>
        <w:ind w:leftChars="0"/>
        <w:rPr>
          <w:rFonts w:ascii="標楷體" w:eastAsia="標楷體" w:hAnsi="標楷體"/>
          <w:sz w:val="28"/>
          <w:szCs w:val="28"/>
        </w:rPr>
      </w:pPr>
      <w:r w:rsidRPr="00CB06AF">
        <w:rPr>
          <w:rFonts w:ascii="標楷體" w:eastAsia="標楷體" w:hAnsi="標楷體"/>
          <w:sz w:val="28"/>
          <w:szCs w:val="28"/>
        </w:rPr>
        <w:t>使用工具名稱：Gemini (Google DeepMind)</w:t>
      </w:r>
    </w:p>
    <w:p w14:paraId="04F3CAE1" w14:textId="77777777" w:rsidR="00F96276" w:rsidRDefault="00CB06AF" w:rsidP="00CB06AF">
      <w:pPr>
        <w:pStyle w:val="a3"/>
        <w:numPr>
          <w:ilvl w:val="1"/>
          <w:numId w:val="1"/>
        </w:numPr>
        <w:adjustRightInd w:val="0"/>
        <w:snapToGrid w:val="0"/>
        <w:spacing w:line="440" w:lineRule="exact"/>
        <w:ind w:leftChars="0"/>
        <w:rPr>
          <w:rFonts w:ascii="標楷體" w:eastAsia="標楷體" w:hAnsi="標楷體"/>
          <w:sz w:val="28"/>
          <w:szCs w:val="28"/>
        </w:rPr>
      </w:pPr>
      <w:r w:rsidRPr="00CB06AF">
        <w:rPr>
          <w:rFonts w:ascii="標楷體" w:eastAsia="標楷體" w:hAnsi="標楷體"/>
          <w:sz w:val="28"/>
          <w:szCs w:val="28"/>
        </w:rPr>
        <w:t>AI 工具協助範疇</w:t>
      </w:r>
      <w:r>
        <w:rPr>
          <w:rFonts w:ascii="標楷體" w:eastAsia="標楷體" w:hAnsi="標楷體" w:hint="eastAsia"/>
          <w:sz w:val="28"/>
          <w:szCs w:val="28"/>
        </w:rPr>
        <w:t>：</w:t>
      </w:r>
    </w:p>
    <w:p w14:paraId="13C4523C" w14:textId="6024085B" w:rsidR="00CB06AF" w:rsidRDefault="00F96276" w:rsidP="00F96276">
      <w:pPr>
        <w:pStyle w:val="a3"/>
        <w:numPr>
          <w:ilvl w:val="2"/>
          <w:numId w:val="1"/>
        </w:numPr>
        <w:adjustRightInd w:val="0"/>
        <w:snapToGrid w:val="0"/>
        <w:spacing w:line="440" w:lineRule="exact"/>
        <w:ind w:leftChars="0"/>
        <w:rPr>
          <w:rFonts w:ascii="標楷體" w:eastAsia="標楷體" w:hAnsi="標楷體"/>
          <w:sz w:val="28"/>
          <w:szCs w:val="28"/>
        </w:rPr>
      </w:pPr>
      <w:r>
        <w:rPr>
          <w:rFonts w:ascii="標楷體" w:eastAsia="標楷體" w:hAnsi="標楷體"/>
          <w:sz w:val="28"/>
          <w:szCs w:val="28"/>
        </w:rPr>
        <w:t>協助整理</w:t>
      </w:r>
      <w:r w:rsidR="0071413C">
        <w:rPr>
          <w:rFonts w:ascii="標楷體" w:eastAsia="標楷體" w:hAnsi="標楷體"/>
          <w:sz w:val="28"/>
          <w:szCs w:val="28"/>
        </w:rPr>
        <w:t>3</w:t>
      </w:r>
      <w:r w:rsidR="0071413C">
        <w:rPr>
          <w:rFonts w:ascii="標楷體" w:eastAsia="標楷體" w:hAnsi="標楷體" w:hint="eastAsia"/>
          <w:sz w:val="28"/>
          <w:szCs w:val="28"/>
        </w:rPr>
        <w:t>6</w:t>
      </w:r>
      <w:r w:rsidRPr="00F96276">
        <w:rPr>
          <w:rFonts w:ascii="標楷體" w:eastAsia="標楷體" w:hAnsi="標楷體"/>
          <w:sz w:val="28"/>
          <w:szCs w:val="28"/>
        </w:rPr>
        <w:t xml:space="preserve"> 頁說明書與 17 項專利範圍中，提取各獨立項與附屬項之技術依附關係</w:t>
      </w:r>
      <w:r w:rsidR="0071413C">
        <w:rPr>
          <w:rFonts w:ascii="標楷體" w:eastAsia="標楷體" w:hAnsi="標楷體" w:hint="eastAsia"/>
          <w:sz w:val="28"/>
          <w:szCs w:val="28"/>
        </w:rPr>
        <w:t>。</w:t>
      </w:r>
    </w:p>
    <w:p w14:paraId="74902D60" w14:textId="001A2D97" w:rsidR="0071413C" w:rsidRDefault="0071413C" w:rsidP="00F96276">
      <w:pPr>
        <w:pStyle w:val="a3"/>
        <w:numPr>
          <w:ilvl w:val="2"/>
          <w:numId w:val="1"/>
        </w:numPr>
        <w:adjustRightInd w:val="0"/>
        <w:snapToGrid w:val="0"/>
        <w:spacing w:line="440" w:lineRule="exact"/>
        <w:ind w:leftChars="0"/>
        <w:rPr>
          <w:rFonts w:ascii="標楷體" w:eastAsia="標楷體" w:hAnsi="標楷體"/>
          <w:sz w:val="28"/>
          <w:szCs w:val="28"/>
        </w:rPr>
      </w:pPr>
      <w:r>
        <w:rPr>
          <w:rFonts w:ascii="標楷體" w:eastAsia="標楷體" w:hAnsi="標楷體" w:hint="eastAsia"/>
          <w:sz w:val="28"/>
          <w:szCs w:val="28"/>
        </w:rPr>
        <w:t>協助文件內專有名詞與術語，透互動</w:t>
      </w:r>
      <w:r w:rsidR="00514212">
        <w:rPr>
          <w:rFonts w:ascii="標楷體" w:eastAsia="標楷體" w:hAnsi="標楷體" w:hint="eastAsia"/>
          <w:sz w:val="28"/>
          <w:szCs w:val="28"/>
        </w:rPr>
        <w:t>確認</w:t>
      </w:r>
      <w:r>
        <w:rPr>
          <w:rFonts w:ascii="標楷體" w:eastAsia="標楷體" w:hAnsi="標楷體" w:hint="eastAsia"/>
          <w:sz w:val="28"/>
          <w:szCs w:val="28"/>
        </w:rPr>
        <w:t>理解內容</w:t>
      </w:r>
      <w:r w:rsidR="00514212">
        <w:rPr>
          <w:rFonts w:ascii="標楷體" w:eastAsia="標楷體" w:hAnsi="標楷體" w:hint="eastAsia"/>
          <w:sz w:val="28"/>
          <w:szCs w:val="28"/>
        </w:rPr>
        <w:t>是否正確。</w:t>
      </w:r>
    </w:p>
    <w:p w14:paraId="2F0834BF" w14:textId="67CC57B3" w:rsidR="00514212" w:rsidRPr="006A0A28" w:rsidRDefault="00514212" w:rsidP="00F96276">
      <w:pPr>
        <w:pStyle w:val="a3"/>
        <w:numPr>
          <w:ilvl w:val="2"/>
          <w:numId w:val="1"/>
        </w:numPr>
        <w:adjustRightInd w:val="0"/>
        <w:snapToGrid w:val="0"/>
        <w:spacing w:line="440" w:lineRule="exact"/>
        <w:ind w:leftChars="0"/>
        <w:rPr>
          <w:rFonts w:ascii="標楷體" w:eastAsia="標楷體" w:hAnsi="標楷體" w:hint="eastAsia"/>
          <w:sz w:val="28"/>
          <w:szCs w:val="28"/>
        </w:rPr>
      </w:pPr>
      <w:r>
        <w:rPr>
          <w:rFonts w:ascii="標楷體" w:eastAsia="標楷體" w:hAnsi="標楷體" w:hint="eastAsia"/>
          <w:sz w:val="28"/>
          <w:szCs w:val="28"/>
        </w:rPr>
        <w:t>協助檢視心得所提不符合金融實務，或者演算法應用方式，或者違法法規的理解，是否正確。</w:t>
      </w:r>
    </w:p>
    <w:sectPr w:rsidR="00514212" w:rsidRPr="006A0A28">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74DE7" w14:textId="77777777" w:rsidR="008A3C4D" w:rsidRDefault="008A3C4D" w:rsidP="002656C0">
      <w:r>
        <w:separator/>
      </w:r>
    </w:p>
  </w:endnote>
  <w:endnote w:type="continuationSeparator" w:id="0">
    <w:p w14:paraId="4132F16F" w14:textId="77777777" w:rsidR="008A3C4D" w:rsidRDefault="008A3C4D" w:rsidP="0026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003504"/>
      <w:docPartObj>
        <w:docPartGallery w:val="Page Numbers (Bottom of Page)"/>
        <w:docPartUnique/>
      </w:docPartObj>
    </w:sdtPr>
    <w:sdtEndPr/>
    <w:sdtContent>
      <w:p w14:paraId="1CCCCD10" w14:textId="75D4FCFD" w:rsidR="00A30EEE" w:rsidRDefault="00A30EEE">
        <w:pPr>
          <w:pStyle w:val="aa"/>
          <w:jc w:val="center"/>
        </w:pPr>
        <w:r>
          <w:fldChar w:fldCharType="begin"/>
        </w:r>
        <w:r>
          <w:instrText>PAGE   \* MERGEFORMAT</w:instrText>
        </w:r>
        <w:r>
          <w:fldChar w:fldCharType="separate"/>
        </w:r>
        <w:r>
          <w:rPr>
            <w:lang w:val="zh-TW"/>
          </w:rPr>
          <w:t>2</w:t>
        </w:r>
        <w:r>
          <w:fldChar w:fldCharType="end"/>
        </w:r>
      </w:p>
    </w:sdtContent>
  </w:sdt>
  <w:p w14:paraId="15F5121C" w14:textId="77777777" w:rsidR="00A30EEE" w:rsidRDefault="00A30EE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6A29F" w14:textId="77777777" w:rsidR="008A3C4D" w:rsidRDefault="008A3C4D" w:rsidP="002656C0">
      <w:r>
        <w:separator/>
      </w:r>
    </w:p>
  </w:footnote>
  <w:footnote w:type="continuationSeparator" w:id="0">
    <w:p w14:paraId="3866F199" w14:textId="77777777" w:rsidR="008A3C4D" w:rsidRDefault="008A3C4D" w:rsidP="00265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0E18"/>
    <w:multiLevelType w:val="hybridMultilevel"/>
    <w:tmpl w:val="48F0B574"/>
    <w:lvl w:ilvl="0" w:tplc="9BC2CD8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292147"/>
    <w:multiLevelType w:val="hybridMultilevel"/>
    <w:tmpl w:val="2ED896AE"/>
    <w:lvl w:ilvl="0" w:tplc="BF604226">
      <w:start w:val="1"/>
      <w:numFmt w:val="decimalFullWidth"/>
      <w:lvlText w:val="%1、"/>
      <w:lvlJc w:val="left"/>
      <w:pPr>
        <w:ind w:left="763" w:hanging="48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2" w15:restartNumberingAfterBreak="0">
    <w:nsid w:val="24A87487"/>
    <w:multiLevelType w:val="multilevel"/>
    <w:tmpl w:val="41E0A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20109"/>
    <w:multiLevelType w:val="hybridMultilevel"/>
    <w:tmpl w:val="3F0888A2"/>
    <w:lvl w:ilvl="0" w:tplc="04090001">
      <w:start w:val="1"/>
      <w:numFmt w:val="bullet"/>
      <w:lvlText w:val=""/>
      <w:lvlJc w:val="left"/>
      <w:pPr>
        <w:ind w:left="2040" w:hanging="480"/>
      </w:pPr>
      <w:rPr>
        <w:rFonts w:ascii="Wingdings" w:hAnsi="Wingdings" w:hint="default"/>
      </w:rPr>
    </w:lvl>
    <w:lvl w:ilvl="1" w:tplc="04090003" w:tentative="1">
      <w:start w:val="1"/>
      <w:numFmt w:val="bullet"/>
      <w:lvlText w:val=""/>
      <w:lvlJc w:val="left"/>
      <w:pPr>
        <w:ind w:left="2520" w:hanging="480"/>
      </w:pPr>
      <w:rPr>
        <w:rFonts w:ascii="Wingdings" w:hAnsi="Wingdings" w:hint="default"/>
      </w:rPr>
    </w:lvl>
    <w:lvl w:ilvl="2" w:tplc="04090005" w:tentative="1">
      <w:start w:val="1"/>
      <w:numFmt w:val="bullet"/>
      <w:lvlText w:val=""/>
      <w:lvlJc w:val="left"/>
      <w:pPr>
        <w:ind w:left="3000" w:hanging="480"/>
      </w:pPr>
      <w:rPr>
        <w:rFonts w:ascii="Wingdings" w:hAnsi="Wingdings" w:hint="default"/>
      </w:rPr>
    </w:lvl>
    <w:lvl w:ilvl="3" w:tplc="04090001" w:tentative="1">
      <w:start w:val="1"/>
      <w:numFmt w:val="bullet"/>
      <w:lvlText w:val=""/>
      <w:lvlJc w:val="left"/>
      <w:pPr>
        <w:ind w:left="3480" w:hanging="480"/>
      </w:pPr>
      <w:rPr>
        <w:rFonts w:ascii="Wingdings" w:hAnsi="Wingdings" w:hint="default"/>
      </w:rPr>
    </w:lvl>
    <w:lvl w:ilvl="4" w:tplc="04090003" w:tentative="1">
      <w:start w:val="1"/>
      <w:numFmt w:val="bullet"/>
      <w:lvlText w:val=""/>
      <w:lvlJc w:val="left"/>
      <w:pPr>
        <w:ind w:left="3960" w:hanging="480"/>
      </w:pPr>
      <w:rPr>
        <w:rFonts w:ascii="Wingdings" w:hAnsi="Wingdings" w:hint="default"/>
      </w:rPr>
    </w:lvl>
    <w:lvl w:ilvl="5" w:tplc="04090005" w:tentative="1">
      <w:start w:val="1"/>
      <w:numFmt w:val="bullet"/>
      <w:lvlText w:val=""/>
      <w:lvlJc w:val="left"/>
      <w:pPr>
        <w:ind w:left="4440" w:hanging="480"/>
      </w:pPr>
      <w:rPr>
        <w:rFonts w:ascii="Wingdings" w:hAnsi="Wingdings" w:hint="default"/>
      </w:rPr>
    </w:lvl>
    <w:lvl w:ilvl="6" w:tplc="04090001" w:tentative="1">
      <w:start w:val="1"/>
      <w:numFmt w:val="bullet"/>
      <w:lvlText w:val=""/>
      <w:lvlJc w:val="left"/>
      <w:pPr>
        <w:ind w:left="4920" w:hanging="480"/>
      </w:pPr>
      <w:rPr>
        <w:rFonts w:ascii="Wingdings" w:hAnsi="Wingdings" w:hint="default"/>
      </w:rPr>
    </w:lvl>
    <w:lvl w:ilvl="7" w:tplc="04090003" w:tentative="1">
      <w:start w:val="1"/>
      <w:numFmt w:val="bullet"/>
      <w:lvlText w:val=""/>
      <w:lvlJc w:val="left"/>
      <w:pPr>
        <w:ind w:left="5400" w:hanging="480"/>
      </w:pPr>
      <w:rPr>
        <w:rFonts w:ascii="Wingdings" w:hAnsi="Wingdings" w:hint="default"/>
      </w:rPr>
    </w:lvl>
    <w:lvl w:ilvl="8" w:tplc="04090005" w:tentative="1">
      <w:start w:val="1"/>
      <w:numFmt w:val="bullet"/>
      <w:lvlText w:val=""/>
      <w:lvlJc w:val="left"/>
      <w:pPr>
        <w:ind w:left="5880" w:hanging="480"/>
      </w:pPr>
      <w:rPr>
        <w:rFonts w:ascii="Wingdings" w:hAnsi="Wingdings" w:hint="default"/>
      </w:rPr>
    </w:lvl>
  </w:abstractNum>
  <w:abstractNum w:abstractNumId="4" w15:restartNumberingAfterBreak="0">
    <w:nsid w:val="324A6F2B"/>
    <w:multiLevelType w:val="hybridMultilevel"/>
    <w:tmpl w:val="2ED896AE"/>
    <w:lvl w:ilvl="0" w:tplc="BF604226">
      <w:start w:val="1"/>
      <w:numFmt w:val="decimalFullWidth"/>
      <w:lvlText w:val="%1、"/>
      <w:lvlJc w:val="left"/>
      <w:pPr>
        <w:ind w:left="763" w:hanging="480"/>
      </w:pPr>
      <w:rPr>
        <w:rFonts w:hint="default"/>
      </w:rPr>
    </w:lvl>
    <w:lvl w:ilvl="1" w:tplc="04090019">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5" w15:restartNumberingAfterBreak="0">
    <w:nsid w:val="3CB0661B"/>
    <w:multiLevelType w:val="hybridMultilevel"/>
    <w:tmpl w:val="AB4AD43E"/>
    <w:lvl w:ilvl="0" w:tplc="86CE3724">
      <w:start w:val="1"/>
      <w:numFmt w:val="decimalFullWidth"/>
      <w:lvlText w:val="%1、"/>
      <w:lvlJc w:val="left"/>
      <w:pPr>
        <w:ind w:left="905" w:hanging="480"/>
      </w:pPr>
      <w:rPr>
        <w:rFonts w:ascii="標楷體" w:eastAsia="標楷體" w:hAnsi="標楷體" w:cstheme="minorBidi"/>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6" w15:restartNumberingAfterBreak="0">
    <w:nsid w:val="3FB2626F"/>
    <w:multiLevelType w:val="hybridMultilevel"/>
    <w:tmpl w:val="09F6A4AE"/>
    <w:lvl w:ilvl="0" w:tplc="BF604226">
      <w:start w:val="1"/>
      <w:numFmt w:val="decimalFullWidth"/>
      <w:lvlText w:val="%1、"/>
      <w:lvlJc w:val="left"/>
      <w:pPr>
        <w:ind w:left="763" w:hanging="480"/>
      </w:pPr>
      <w:rPr>
        <w:rFonts w:hint="default"/>
      </w:rPr>
    </w:lvl>
    <w:lvl w:ilvl="1" w:tplc="86CE3724">
      <w:start w:val="1"/>
      <w:numFmt w:val="decimalFullWidth"/>
      <w:lvlText w:val="%2、"/>
      <w:lvlJc w:val="left"/>
      <w:pPr>
        <w:ind w:left="1243" w:hanging="480"/>
      </w:pPr>
      <w:rPr>
        <w:rFonts w:ascii="標楷體" w:eastAsia="標楷體" w:hAnsi="標楷體" w:cstheme="minorBidi"/>
      </w:rPr>
    </w:lvl>
    <w:lvl w:ilvl="2" w:tplc="5564494E">
      <w:start w:val="1"/>
      <w:numFmt w:val="decimal"/>
      <w:lvlText w:val="（%3）"/>
      <w:lvlJc w:val="left"/>
      <w:pPr>
        <w:ind w:left="1963" w:hanging="720"/>
      </w:pPr>
      <w:rPr>
        <w:rFonts w:hint="default"/>
      </w:r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7" w15:restartNumberingAfterBreak="0">
    <w:nsid w:val="40B35BDC"/>
    <w:multiLevelType w:val="hybridMultilevel"/>
    <w:tmpl w:val="D7DC9948"/>
    <w:lvl w:ilvl="0" w:tplc="D7D491C6">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8" w15:restartNumberingAfterBreak="0">
    <w:nsid w:val="44BC1C60"/>
    <w:multiLevelType w:val="multilevel"/>
    <w:tmpl w:val="698EE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BA29FD"/>
    <w:multiLevelType w:val="hybridMultilevel"/>
    <w:tmpl w:val="07A811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4475574"/>
    <w:multiLevelType w:val="hybridMultilevel"/>
    <w:tmpl w:val="CA7A4218"/>
    <w:lvl w:ilvl="0" w:tplc="04090015">
      <w:start w:val="1"/>
      <w:numFmt w:val="taiwaneseCountingThousand"/>
      <w:lvlText w:val="%1、"/>
      <w:lvlJc w:val="left"/>
      <w:pPr>
        <w:ind w:left="480" w:hanging="480"/>
      </w:pPr>
      <w:rPr>
        <w:rFonts w:hint="default"/>
      </w:rPr>
    </w:lvl>
    <w:lvl w:ilvl="1" w:tplc="2140DA24">
      <w:start w:val="1"/>
      <w:numFmt w:val="taiwaneseCountingThousand"/>
      <w:lvlText w:val="（%2）"/>
      <w:lvlJc w:val="left"/>
      <w:pPr>
        <w:ind w:left="960" w:hanging="480"/>
      </w:pPr>
      <w:rPr>
        <w:rFonts w:ascii="標楷體" w:eastAsia="標楷體" w:hAnsi="標楷體" w:cstheme="minorBidi"/>
      </w:rPr>
    </w:lvl>
    <w:lvl w:ilvl="2" w:tplc="04090001">
      <w:start w:val="1"/>
      <w:numFmt w:val="bullet"/>
      <w:lvlText w:val=""/>
      <w:lvlJc w:val="left"/>
      <w:pPr>
        <w:ind w:left="2040" w:hanging="480"/>
      </w:pPr>
      <w:rPr>
        <w:rFonts w:ascii="Wingdings" w:hAnsi="Wingdings" w:hint="default"/>
      </w:r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43655889">
    <w:abstractNumId w:val="10"/>
  </w:num>
  <w:num w:numId="2" w16cid:durableId="79525334">
    <w:abstractNumId w:val="1"/>
  </w:num>
  <w:num w:numId="3" w16cid:durableId="739795301">
    <w:abstractNumId w:val="6"/>
  </w:num>
  <w:num w:numId="4" w16cid:durableId="123741661">
    <w:abstractNumId w:val="4"/>
  </w:num>
  <w:num w:numId="5" w16cid:durableId="351684313">
    <w:abstractNumId w:val="9"/>
  </w:num>
  <w:num w:numId="6" w16cid:durableId="939987572">
    <w:abstractNumId w:val="5"/>
  </w:num>
  <w:num w:numId="7" w16cid:durableId="730349134">
    <w:abstractNumId w:val="7"/>
  </w:num>
  <w:num w:numId="8" w16cid:durableId="1498764727">
    <w:abstractNumId w:val="0"/>
  </w:num>
  <w:num w:numId="9" w16cid:durableId="1465850468">
    <w:abstractNumId w:val="8"/>
  </w:num>
  <w:num w:numId="10" w16cid:durableId="1910068015">
    <w:abstractNumId w:val="2"/>
  </w:num>
  <w:num w:numId="11" w16cid:durableId="1356031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F7F"/>
    <w:rsid w:val="00033F15"/>
    <w:rsid w:val="00053744"/>
    <w:rsid w:val="00066F2A"/>
    <w:rsid w:val="00095E12"/>
    <w:rsid w:val="00113A20"/>
    <w:rsid w:val="00122C95"/>
    <w:rsid w:val="00124477"/>
    <w:rsid w:val="001A45CE"/>
    <w:rsid w:val="001B43E2"/>
    <w:rsid w:val="00213B62"/>
    <w:rsid w:val="00224E55"/>
    <w:rsid w:val="002656C0"/>
    <w:rsid w:val="002777C0"/>
    <w:rsid w:val="002C2404"/>
    <w:rsid w:val="002D7EDB"/>
    <w:rsid w:val="002E3D3C"/>
    <w:rsid w:val="002F3E5F"/>
    <w:rsid w:val="00321ECD"/>
    <w:rsid w:val="00346310"/>
    <w:rsid w:val="003A2A07"/>
    <w:rsid w:val="003D7650"/>
    <w:rsid w:val="003F32C1"/>
    <w:rsid w:val="003F6C99"/>
    <w:rsid w:val="004106D6"/>
    <w:rsid w:val="00411A90"/>
    <w:rsid w:val="00440D85"/>
    <w:rsid w:val="00466D6D"/>
    <w:rsid w:val="004754B1"/>
    <w:rsid w:val="004A0A9B"/>
    <w:rsid w:val="004A1B1A"/>
    <w:rsid w:val="004B49B4"/>
    <w:rsid w:val="004D018D"/>
    <w:rsid w:val="00513C3D"/>
    <w:rsid w:val="00514212"/>
    <w:rsid w:val="00521059"/>
    <w:rsid w:val="005751F7"/>
    <w:rsid w:val="005779A3"/>
    <w:rsid w:val="005A305C"/>
    <w:rsid w:val="005A4E41"/>
    <w:rsid w:val="006142AA"/>
    <w:rsid w:val="00621526"/>
    <w:rsid w:val="00647685"/>
    <w:rsid w:val="006A0A28"/>
    <w:rsid w:val="006A24F3"/>
    <w:rsid w:val="006B3EF0"/>
    <w:rsid w:val="006F5B41"/>
    <w:rsid w:val="0071413C"/>
    <w:rsid w:val="0079129C"/>
    <w:rsid w:val="007C25CB"/>
    <w:rsid w:val="007E687C"/>
    <w:rsid w:val="008268E5"/>
    <w:rsid w:val="0084571D"/>
    <w:rsid w:val="00890FC0"/>
    <w:rsid w:val="008A3C4D"/>
    <w:rsid w:val="008B2DBE"/>
    <w:rsid w:val="008B4E6F"/>
    <w:rsid w:val="008F7DDD"/>
    <w:rsid w:val="00911217"/>
    <w:rsid w:val="00933276"/>
    <w:rsid w:val="009412C7"/>
    <w:rsid w:val="00955C78"/>
    <w:rsid w:val="0099388F"/>
    <w:rsid w:val="009B0313"/>
    <w:rsid w:val="009D702C"/>
    <w:rsid w:val="009E1B7F"/>
    <w:rsid w:val="009E3BBD"/>
    <w:rsid w:val="00A30EEE"/>
    <w:rsid w:val="00A51E28"/>
    <w:rsid w:val="00B1689D"/>
    <w:rsid w:val="00B174DB"/>
    <w:rsid w:val="00B20979"/>
    <w:rsid w:val="00B26715"/>
    <w:rsid w:val="00BB288B"/>
    <w:rsid w:val="00BE792C"/>
    <w:rsid w:val="00C02FD3"/>
    <w:rsid w:val="00C03C72"/>
    <w:rsid w:val="00C31363"/>
    <w:rsid w:val="00C561BF"/>
    <w:rsid w:val="00CA047E"/>
    <w:rsid w:val="00CA4142"/>
    <w:rsid w:val="00CB06AF"/>
    <w:rsid w:val="00CE1322"/>
    <w:rsid w:val="00CE3066"/>
    <w:rsid w:val="00CE6562"/>
    <w:rsid w:val="00CF7B3D"/>
    <w:rsid w:val="00D40358"/>
    <w:rsid w:val="00D56D2C"/>
    <w:rsid w:val="00DE702F"/>
    <w:rsid w:val="00DE7A30"/>
    <w:rsid w:val="00DF1747"/>
    <w:rsid w:val="00EB4652"/>
    <w:rsid w:val="00ED0810"/>
    <w:rsid w:val="00F208D2"/>
    <w:rsid w:val="00F83F7F"/>
    <w:rsid w:val="00F86557"/>
    <w:rsid w:val="00F93875"/>
    <w:rsid w:val="00F96276"/>
    <w:rsid w:val="00FA63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A99D"/>
  <w15:docId w15:val="{7794A58E-3931-41BD-ACBC-5EA95CEB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1B7F"/>
    <w:pPr>
      <w:ind w:leftChars="200" w:left="480"/>
    </w:pPr>
  </w:style>
  <w:style w:type="table" w:styleId="a4">
    <w:name w:val="Table Grid"/>
    <w:basedOn w:val="a1"/>
    <w:uiPriority w:val="59"/>
    <w:rsid w:val="0094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note text"/>
    <w:basedOn w:val="a"/>
    <w:link w:val="a6"/>
    <w:uiPriority w:val="99"/>
    <w:semiHidden/>
    <w:unhideWhenUsed/>
    <w:rsid w:val="002656C0"/>
    <w:pPr>
      <w:snapToGrid w:val="0"/>
    </w:pPr>
    <w:rPr>
      <w:sz w:val="20"/>
      <w:szCs w:val="20"/>
    </w:rPr>
  </w:style>
  <w:style w:type="character" w:customStyle="1" w:styleId="a6">
    <w:name w:val="註腳文字 字元"/>
    <w:basedOn w:val="a0"/>
    <w:link w:val="a5"/>
    <w:uiPriority w:val="99"/>
    <w:semiHidden/>
    <w:rsid w:val="002656C0"/>
    <w:rPr>
      <w:sz w:val="20"/>
      <w:szCs w:val="20"/>
    </w:rPr>
  </w:style>
  <w:style w:type="character" w:styleId="a7">
    <w:name w:val="footnote reference"/>
    <w:basedOn w:val="a0"/>
    <w:uiPriority w:val="99"/>
    <w:semiHidden/>
    <w:unhideWhenUsed/>
    <w:rsid w:val="002656C0"/>
    <w:rPr>
      <w:vertAlign w:val="superscript"/>
    </w:rPr>
  </w:style>
  <w:style w:type="paragraph" w:styleId="a8">
    <w:name w:val="header"/>
    <w:basedOn w:val="a"/>
    <w:link w:val="a9"/>
    <w:uiPriority w:val="99"/>
    <w:unhideWhenUsed/>
    <w:rsid w:val="00A30EEE"/>
    <w:pPr>
      <w:tabs>
        <w:tab w:val="center" w:pos="4153"/>
        <w:tab w:val="right" w:pos="8306"/>
      </w:tabs>
      <w:snapToGrid w:val="0"/>
    </w:pPr>
    <w:rPr>
      <w:sz w:val="20"/>
      <w:szCs w:val="20"/>
    </w:rPr>
  </w:style>
  <w:style w:type="character" w:customStyle="1" w:styleId="a9">
    <w:name w:val="頁首 字元"/>
    <w:basedOn w:val="a0"/>
    <w:link w:val="a8"/>
    <w:uiPriority w:val="99"/>
    <w:rsid w:val="00A30EEE"/>
    <w:rPr>
      <w:sz w:val="20"/>
      <w:szCs w:val="20"/>
    </w:rPr>
  </w:style>
  <w:style w:type="paragraph" w:styleId="aa">
    <w:name w:val="footer"/>
    <w:basedOn w:val="a"/>
    <w:link w:val="ab"/>
    <w:uiPriority w:val="99"/>
    <w:unhideWhenUsed/>
    <w:rsid w:val="00A30EEE"/>
    <w:pPr>
      <w:tabs>
        <w:tab w:val="center" w:pos="4153"/>
        <w:tab w:val="right" w:pos="8306"/>
      </w:tabs>
      <w:snapToGrid w:val="0"/>
    </w:pPr>
    <w:rPr>
      <w:sz w:val="20"/>
      <w:szCs w:val="20"/>
    </w:rPr>
  </w:style>
  <w:style w:type="character" w:customStyle="1" w:styleId="ab">
    <w:name w:val="頁尾 字元"/>
    <w:basedOn w:val="a0"/>
    <w:link w:val="aa"/>
    <w:uiPriority w:val="99"/>
    <w:rsid w:val="00A30EE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5CA27-69D6-4154-A669-18B31DA13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20453顏俊仁</dc:creator>
  <cp:keywords/>
  <dc:description/>
  <cp:lastModifiedBy>Bear Chou</cp:lastModifiedBy>
  <cp:revision>10</cp:revision>
  <dcterms:created xsi:type="dcterms:W3CDTF">2026-09-27T08:10:00Z</dcterms:created>
  <dcterms:modified xsi:type="dcterms:W3CDTF">2026-09-27T08:19:00Z</dcterms:modified>
</cp:coreProperties>
</file>