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6A0E2" w14:textId="77777777" w:rsidR="00617675" w:rsidRPr="00617675" w:rsidRDefault="00617675" w:rsidP="00617675">
      <w:pPr>
        <w:pStyle w:val="Heading1"/>
        <w:rPr>
          <w:rStyle w:val="Emphasis"/>
          <w:i w:val="0"/>
          <w:iCs w:val="0"/>
          <w:color w:val="333333"/>
          <w:shd w:val="clear" w:color="auto" w:fill="FFFFFF"/>
        </w:rPr>
      </w:pPr>
      <w:r w:rsidRPr="00617675">
        <w:rPr>
          <w:rStyle w:val="Emphasis"/>
          <w:i w:val="0"/>
          <w:iCs w:val="0"/>
          <w:color w:val="333333"/>
          <w:shd w:val="clear" w:color="auto" w:fill="FFFFFF"/>
        </w:rPr>
        <w:t>Empirical Strategy</w:t>
      </w:r>
    </w:p>
    <w:p w14:paraId="1516C79C" w14:textId="77777777" w:rsidR="00617675" w:rsidRPr="00617675" w:rsidRDefault="00617675" w:rsidP="00617675">
      <w:pPr>
        <w:spacing w:line="480" w:lineRule="auto"/>
        <w:rPr>
          <w:rStyle w:val="Emphasis"/>
          <w:rFonts w:ascii="Times New Roman" w:hAnsi="Times New Roman" w:cs="Times New Roman"/>
          <w:i w:val="0"/>
          <w:iCs w:val="0"/>
          <w:color w:val="333333"/>
          <w:sz w:val="24"/>
          <w:szCs w:val="24"/>
          <w:shd w:val="clear" w:color="auto" w:fill="FFFFFF"/>
        </w:rPr>
      </w:pPr>
      <w:r w:rsidRPr="00617675">
        <w:rPr>
          <w:rStyle w:val="Emphasis"/>
          <w:rFonts w:ascii="Times New Roman" w:hAnsi="Times New Roman" w:cs="Times New Roman"/>
          <w:i w:val="0"/>
          <w:iCs w:val="0"/>
          <w:color w:val="333333"/>
          <w:sz w:val="24"/>
          <w:szCs w:val="24"/>
          <w:shd w:val="clear" w:color="auto" w:fill="FFFFFF"/>
        </w:rPr>
        <w:t>To estimate the effect vertical integration has on opioid prescribing rates, we use Medicare Part D prescribing rates and map in group practice information from Physician Compare, using the broadest definition of group practice by provider</w:t>
      </w:r>
      <w:r w:rsidRPr="00617675">
        <w:rPr>
          <w:rStyle w:val="FootnoteReference"/>
          <w:rFonts w:ascii="Times New Roman" w:hAnsi="Times New Roman" w:cs="Times New Roman"/>
          <w:color w:val="333333"/>
          <w:sz w:val="24"/>
          <w:szCs w:val="24"/>
          <w:shd w:val="clear" w:color="auto" w:fill="FFFFFF"/>
        </w:rPr>
        <w:footnoteReference w:id="1"/>
      </w:r>
      <w:r w:rsidRPr="00617675">
        <w:rPr>
          <w:rStyle w:val="Emphasis"/>
          <w:rFonts w:ascii="Times New Roman" w:hAnsi="Times New Roman" w:cs="Times New Roman"/>
          <w:i w:val="0"/>
          <w:iCs w:val="0"/>
          <w:color w:val="333333"/>
          <w:sz w:val="24"/>
          <w:szCs w:val="24"/>
          <w:shd w:val="clear" w:color="auto" w:fill="FFFFFF"/>
        </w:rPr>
        <w:t xml:space="preserve">. We are unable to run a standard OLS regression as our dependent variable is a percent, meaning it is bound between 0 and 1, and face a two-fold selection problem with our sample. First, our prescribing rates are based on a providers’ prescribing patterns for their patients who are in Medicare Part D, limiting our sample to patients over the age of 65 which may not be wholly representative of a providers practice. Second, not all specialties who can prescribe do prescribe opioids (e.g. allergist), resulting in nearly 30% of the dependent datapoints having a zero value. These reasons make using a standard linear regression model inappropriate. </w:t>
      </w:r>
    </w:p>
    <w:p w14:paraId="25F4666B" w14:textId="77777777" w:rsidR="00617675" w:rsidRPr="00617675" w:rsidRDefault="00617675" w:rsidP="00617675">
      <w:pPr>
        <w:spacing w:line="480" w:lineRule="auto"/>
        <w:rPr>
          <w:rStyle w:val="Emphasis"/>
          <w:rFonts w:ascii="Times New Roman" w:hAnsi="Times New Roman" w:cs="Times New Roman"/>
          <w:i w:val="0"/>
          <w:iCs w:val="0"/>
          <w:color w:val="333333"/>
          <w:sz w:val="24"/>
          <w:szCs w:val="24"/>
          <w:shd w:val="clear" w:color="auto" w:fill="FFFFFF"/>
        </w:rPr>
      </w:pPr>
      <w:r w:rsidRPr="00617675">
        <w:rPr>
          <w:rStyle w:val="Emphasis"/>
          <w:rFonts w:ascii="Times New Roman" w:hAnsi="Times New Roman" w:cs="Times New Roman"/>
          <w:i w:val="0"/>
          <w:iCs w:val="0"/>
          <w:color w:val="333333"/>
          <w:sz w:val="24"/>
          <w:szCs w:val="24"/>
          <w:shd w:val="clear" w:color="auto" w:fill="FFFFFF"/>
        </w:rPr>
        <w:t xml:space="preserve">To correct the sample selection problem while simultaneously adjusting the model for the bounded dependent variable, we use a two-part model that is commonly used for datasets with similar characteristics </w:t>
      </w:r>
      <w:r w:rsidRPr="00617675">
        <w:rPr>
          <w:rStyle w:val="Emphasis"/>
          <w:rFonts w:ascii="Times New Roman" w:hAnsi="Times New Roman" w:cs="Times New Roman"/>
          <w:i w:val="0"/>
          <w:iCs w:val="0"/>
          <w:color w:val="333333"/>
          <w:sz w:val="24"/>
          <w:szCs w:val="24"/>
          <w:shd w:val="clear" w:color="auto" w:fill="FFFFFF"/>
        </w:rPr>
        <w:fldChar w:fldCharType="begin" w:fldLock="1"/>
      </w:r>
      <w:r w:rsidRPr="00617675">
        <w:rPr>
          <w:rStyle w:val="Emphasis"/>
          <w:rFonts w:ascii="Times New Roman" w:hAnsi="Times New Roman" w:cs="Times New Roman"/>
          <w:i w:val="0"/>
          <w:iCs w:val="0"/>
          <w:color w:val="333333"/>
          <w:sz w:val="24"/>
          <w:szCs w:val="24"/>
          <w:shd w:val="clear" w:color="auto" w:fill="FFFFFF"/>
        </w:rPr>
        <w:instrText>ADDIN CSL_CITATION {"citationItems":[{"id":"ITEM-1","itemData":{"DOI":"10.1002/hec","author":[{"dropping-particle":"","family":"Borislava Mihaylova, Andrew Briggs, Anthony O'Hagan","given":"Simon Thompson","non-dropping-particle":"","parse-names":false,"suffix":""}],"container-title":"Health Economics","id":"ITEM-1","issue":"8","issued":{"date-parts":[["2011"]]},"page":"897-916","title":"Review of Stati","type":"article-journal","volume":"20"},"uris":["http://www.mendeley.com/documents/?uuid=e83159c3-269b-4154-9b93-882ae07f1536"]},{"id":"ITEM-2","itemData":{"DOI":"10.1177/1536867x1501500102","ISSN":"1536867X","abstract":"In this article, we describe twopm, a command for fitting two-part models for mixed discrete-continuous outcomes. In the two-part model, a binary choice model is fit for the probability of observing a positive-versus-zero outcome. Then, conditional on a positive outcome, an appropriate regression model is fit for the positive outcome. The twopm command allows the user to leverage the capabilities of predict and margins to calculate predictions and marginal effects and their standard errors from the combined first- and second-part models.","author":[{"dropping-particle":"","family":"Belotti","given":"Federico","non-dropping-particle":"","parse-names":false,"suffix":""},{"dropping-particle":"","family":"Deb","given":"Partha","non-dropping-particle":"","parse-names":false,"suffix":""},{"dropping-particle":"","family":"Manning","given":"Willard G.","non-dropping-particle":"","parse-names":false,"suffix":""},{"dropping-particle":"","family":"Norton","given":"Edward C.","non-dropping-particle":"","parse-names":false,"suffix":""}],"container-title":"Stata Journal","id":"ITEM-2","issue":"1","issued":{"date-parts":[["2015"]]},"page":"3-20","title":"twopm: Two-part models","type":"article-journal","volume":"15"},"uris":["http://www.mendeley.com/documents/?uuid=9d1d4c98-8386-4e08-a87a-b1349baee925"]},{"id":"ITEM-3","itemData":{"author":[{"dropping-particle":"","family":"Leung","given":"Siu Fai","non-dropping-particle":"","parse-names":false,"suffix":""},{"dropping-particle":"","family":"Yu","given":"Shihti","non-dropping-particle":"","parse-names":false,"suffix":""}],"container-title":"Journal of Econometrics","id":"ITEM-3","issue":"72","issued":{"date-parts":[["1996"]]},"page":"197-229","title":"and Two-Part Models","type":"article-journal"},"uris":["http://www.mendeley.com/documents/?uuid=1b5149e2-ef6a-467c-8f4d-2e5be5c9abf8"]},{"id":"ITEM-4","itemData":{"DOI":"10.1080/07350015.1984.10509396","ISSN":"15372707","abstract":"Hay and Olsen (1984) incorrectly argue that a multi-part model, the two-part model used in Duan et al. (1982,1983), is nested within the sample-selection model. Their proof relies on an unmentioned restrictive assumption that cannot be satisfied. We provide a counterexample to show that the propensity to use medical care and the level of expense can be positively associated in the two-part model, contrary to their assertion. The conditional specification in the multi-part model is preferable to the unconditional specification in the selection model for modeling actual (v. potential) outcomes. The selection model also has poor statistical and numerical properties and relies on untestable assumptions. Empirically the multi-part estimators perform as well as or better than the sample selection estimator for the data set analyzed in Duan et al. (1982,1983). © 1984 Taylor &amp; Francis Group, LLC.","author":[{"dropping-particle":"","family":"Duan","given":"Naihua","non-dropping-particle":"","parse-names":false,"suffix":""},{"dropping-particle":"","family":"Manning","given":"Willard G.","non-dropping-particle":"","parse-names":false,"suffix":""},{"dropping-particle":"","family":"Morris","given":"Carl N.","non-dropping-particle":"","parse-names":false,"suffix":""},{"dropping-particle":"","family":"Newhouse","given":"Joseph P.","non-dropping-particle":"","parse-names":false,"suffix":""}],"container-title":"Journal of Business and Economic Statistics","id":"ITEM-4","issue":"3","issued":{"date-parts":[["1984"]]},"page":"283-289","title":"Choosing between the sample-selection model and the multi-part model","type":"article-journal","volume":"2"},"uris":["http://www.mendeley.com/documents/?uuid=0c30d0e7-1100-42c3-8bd7-4e3d3fd04e0b"]}],"mendeley":{"formattedCitation":"(Borislava Mihaylova, Andrew Briggs, Anthony O’Hagan 2011; Belotti et al. 2015; Leung and Yu 1996; Duan et al. 1984)","plainTextFormattedCitation":"(Borislava Mihaylova, Andrew Briggs, Anthony O’Hagan 2011; Belotti et al. 2015; Leung and Yu 1996; Duan et al. 1984)","previouslyFormattedCitation":"(Borislava Mihaylova, Andrew Briggs, Anthony O’Hagan 2011; Belotti et al. 2015; Leung and Yu 1996; Duan et al. 1984)"},"properties":{"noteIndex":0},"schema":"https://github.com/citation-style-language/schema/raw/master/csl-citation.json"}</w:instrText>
      </w:r>
      <w:r w:rsidRPr="00617675">
        <w:rPr>
          <w:rStyle w:val="Emphasis"/>
          <w:rFonts w:ascii="Times New Roman" w:hAnsi="Times New Roman" w:cs="Times New Roman"/>
          <w:i w:val="0"/>
          <w:iCs w:val="0"/>
          <w:color w:val="333333"/>
          <w:sz w:val="24"/>
          <w:szCs w:val="24"/>
          <w:shd w:val="clear" w:color="auto" w:fill="FFFFFF"/>
        </w:rPr>
        <w:fldChar w:fldCharType="separate"/>
      </w:r>
      <w:r w:rsidRPr="00617675">
        <w:rPr>
          <w:rStyle w:val="Emphasis"/>
          <w:rFonts w:ascii="Times New Roman" w:hAnsi="Times New Roman" w:cs="Times New Roman"/>
          <w:i w:val="0"/>
          <w:iCs w:val="0"/>
          <w:noProof/>
          <w:color w:val="333333"/>
          <w:sz w:val="24"/>
          <w:szCs w:val="24"/>
          <w:shd w:val="clear" w:color="auto" w:fill="FFFFFF"/>
        </w:rPr>
        <w:t>(Borislava Mihaylova, Andrew Briggs, Anthony O’Hagan 2011; Belotti et al. 2015; Leung and Yu 1996; Duan et al. 1984)</w:t>
      </w:r>
      <w:r w:rsidRPr="00617675">
        <w:rPr>
          <w:rStyle w:val="Emphasis"/>
          <w:rFonts w:ascii="Times New Roman" w:hAnsi="Times New Roman" w:cs="Times New Roman"/>
          <w:i w:val="0"/>
          <w:iCs w:val="0"/>
          <w:color w:val="333333"/>
          <w:sz w:val="24"/>
          <w:szCs w:val="24"/>
          <w:shd w:val="clear" w:color="auto" w:fill="FFFFFF"/>
        </w:rPr>
        <w:fldChar w:fldCharType="end"/>
      </w:r>
      <w:r w:rsidRPr="00617675">
        <w:rPr>
          <w:rStyle w:val="Emphasis"/>
          <w:rFonts w:ascii="Times New Roman" w:hAnsi="Times New Roman" w:cs="Times New Roman"/>
          <w:i w:val="0"/>
          <w:iCs w:val="0"/>
          <w:color w:val="333333"/>
          <w:sz w:val="24"/>
          <w:szCs w:val="24"/>
          <w:shd w:val="clear" w:color="auto" w:fill="FFFFFF"/>
        </w:rPr>
        <w:t xml:space="preserve">. As the name suggests, our two-part model has two stages. First, we use a logistical regression to create a probability a provider prescribes an opioid. Second, we use these probabilities as a weight for each observation, and then use OLS with a logged dependent variable to calculate the coefficients </w:t>
      </w:r>
      <w:r w:rsidRPr="00617675">
        <w:rPr>
          <w:rStyle w:val="Emphasis"/>
          <w:rFonts w:ascii="Times New Roman" w:hAnsi="Times New Roman" w:cs="Times New Roman"/>
          <w:i w:val="0"/>
          <w:iCs w:val="0"/>
          <w:color w:val="333333"/>
          <w:sz w:val="24"/>
          <w:szCs w:val="24"/>
          <w:shd w:val="clear" w:color="auto" w:fill="FFFFFF"/>
        </w:rPr>
        <w:fldChar w:fldCharType="begin" w:fldLock="1"/>
      </w:r>
      <w:r w:rsidRPr="00617675">
        <w:rPr>
          <w:rStyle w:val="Emphasis"/>
          <w:rFonts w:ascii="Times New Roman" w:hAnsi="Times New Roman" w:cs="Times New Roman"/>
          <w:i w:val="0"/>
          <w:iCs w:val="0"/>
          <w:color w:val="333333"/>
          <w:sz w:val="24"/>
          <w:szCs w:val="24"/>
          <w:shd w:val="clear" w:color="auto" w:fill="FFFFFF"/>
        </w:rPr>
        <w:instrText>ADDIN CSL_CITATION {"citationItems":[{"id":"ITEM-1","itemData":{"DOI":"10.1080/07350015.1984.10509396","ISSN":"15372707","abstract":"Hay and Olsen (1984) incorrectly argue that a multi-part model, the two-part model used in Duan et al. (1982,1983), is nested within the sample-selection model. Their proof relies on an unmentioned restrictive assumption that cannot be satisfied. We provide a counterexample to show that the propensity to use medical care and the level of expense can be positively associated in the two-part model, contrary to their assertion. The conditional specification in the multi-part model is preferable to the unconditional specification in the selection model for modeling actual (v. potential) outcomes. The selection model also has poor statistical and numerical properties and relies on untestable assumptions. Empirically the multi-part estimators perform as well as or better than the sample selection estimator for the data set analyzed in Duan et al. (1982,1983). © 1984 Taylor &amp; Francis Group, LLC.","author":[{"dropping-particle":"","family":"Duan","given":"Naihua","non-dropping-particle":"","parse-names":false,"suffix":""},{"dropping-particle":"","family":"Manning","given":"Willard G.","non-dropping-particle":"","parse-names":false,"suffix":""},{"dropping-particle":"","family":"Morris","given":"Carl N.","non-dropping-particle":"","parse-names":false,"suffix":""},{"dropping-particle":"","family":"Newhouse","given":"Joseph P.","non-dropping-particle":"","parse-names":false,"suffix":""}],"container-title":"Journal of Business and Economic Statistics","id":"ITEM-1","issue":"3","issued":{"date-parts":[["1984"]]},"page":"283-289","title":"Choosing between the sample-selection model and the multi-part model","type":"article-journal","volume":"2"},"uris":["http://www.mendeley.com/documents/?uuid=0c30d0e7-1100-42c3-8bd7-4e3d3fd04e0b"]},{"id":"ITEM-2","itemData":{"DOI":"10.1177/1536867x1501500102","ISSN":"1536867X","abstract":"In this article, we describe twopm, a command for fitting two-part models for mixed discrete-continuous outcomes. In the two-part model, a binary choice model is fit for the probability of observing a positive-versus-zero outcome. Then, conditional on a positive outcome, an appropriate regression model is fit for the positive outcome. The twopm command allows the user to leverage the capabilities of predict and margins to calculate predictions and marginal effects and their standard errors from the combined first- and second-part models.","author":[{"dropping-particle":"","family":"Belotti","given":"Federico","non-dropping-particle":"","parse-names":false,"suffix":""},{"dropping-particle":"","family":"Deb","given":"Partha","non-dropping-particle":"","parse-names":false,"suffix":""},{"dropping-particle":"","family":"Manning","given":"Willard G.","non-dropping-particle":"","parse-names":false,"suffix":""},{"dropping-particle":"","family":"Norton","given":"Edward C.","non-dropping-particle":"","parse-names":false,"suffix":""}],"container-title":"Stata Journal","id":"ITEM-2","issue":"1","issued":{"date-parts":[["2015"]]},"page":"3-20","title":"twopm: Two-part models","type":"article-journal","volume":"15"},"uris":["http://www.mendeley.com/documents/?uuid=9d1d4c98-8386-4e08-a87a-b1349baee925"]}],"mendeley":{"formattedCitation":"(Duan et al. 1984; Belotti et al. 2015)","plainTextFormattedCitation":"(Duan et al. 1984; Belotti et al. 2015)","previouslyFormattedCitation":"(Duan et al. 1984; Belotti et al. 2015)"},"properties":{"noteIndex":0},"schema":"https://github.com/citation-style-language/schema/raw/master/csl-citation.json"}</w:instrText>
      </w:r>
      <w:r w:rsidRPr="00617675">
        <w:rPr>
          <w:rStyle w:val="Emphasis"/>
          <w:rFonts w:ascii="Times New Roman" w:hAnsi="Times New Roman" w:cs="Times New Roman"/>
          <w:i w:val="0"/>
          <w:iCs w:val="0"/>
          <w:color w:val="333333"/>
          <w:sz w:val="24"/>
          <w:szCs w:val="24"/>
          <w:shd w:val="clear" w:color="auto" w:fill="FFFFFF"/>
        </w:rPr>
        <w:fldChar w:fldCharType="separate"/>
      </w:r>
      <w:r w:rsidRPr="00617675">
        <w:rPr>
          <w:rStyle w:val="Emphasis"/>
          <w:rFonts w:ascii="Times New Roman" w:hAnsi="Times New Roman" w:cs="Times New Roman"/>
          <w:i w:val="0"/>
          <w:iCs w:val="0"/>
          <w:noProof/>
          <w:color w:val="333333"/>
          <w:sz w:val="24"/>
          <w:szCs w:val="24"/>
          <w:shd w:val="clear" w:color="auto" w:fill="FFFFFF"/>
        </w:rPr>
        <w:t>(Duan et al. 1984; Belotti et al. 2015)</w:t>
      </w:r>
      <w:r w:rsidRPr="00617675">
        <w:rPr>
          <w:rStyle w:val="Emphasis"/>
          <w:rFonts w:ascii="Times New Roman" w:hAnsi="Times New Roman" w:cs="Times New Roman"/>
          <w:i w:val="0"/>
          <w:iCs w:val="0"/>
          <w:color w:val="333333"/>
          <w:sz w:val="24"/>
          <w:szCs w:val="24"/>
          <w:shd w:val="clear" w:color="auto" w:fill="FFFFFF"/>
        </w:rPr>
        <w:fldChar w:fldCharType="end"/>
      </w:r>
      <w:r w:rsidRPr="00617675">
        <w:rPr>
          <w:rStyle w:val="Emphasis"/>
          <w:rFonts w:ascii="Times New Roman" w:hAnsi="Times New Roman" w:cs="Times New Roman"/>
          <w:i w:val="0"/>
          <w:iCs w:val="0"/>
          <w:color w:val="333333"/>
          <w:sz w:val="24"/>
          <w:szCs w:val="24"/>
          <w:shd w:val="clear" w:color="auto" w:fill="FFFFFF"/>
        </w:rPr>
        <w:t xml:space="preserve">. The first stage of the model provides the extensive margin (logit model, if any opioid prescriptions) whereas the second stage provides the intensive marge (OLS, percentage of opioid prescribed, if provider prescribed at least one opioid.) To transform the coefficients back into the </w:t>
      </w:r>
      <w:r w:rsidRPr="00617675">
        <w:rPr>
          <w:rStyle w:val="Emphasis"/>
          <w:rFonts w:ascii="Times New Roman" w:hAnsi="Times New Roman" w:cs="Times New Roman"/>
          <w:i w:val="0"/>
          <w:iCs w:val="0"/>
          <w:color w:val="333333"/>
          <w:sz w:val="24"/>
          <w:szCs w:val="24"/>
          <w:shd w:val="clear" w:color="auto" w:fill="FFFFFF"/>
        </w:rPr>
        <w:lastRenderedPageBreak/>
        <w:t xml:space="preserve">original units, we apply a </w:t>
      </w:r>
      <w:proofErr w:type="spellStart"/>
      <w:r w:rsidRPr="00617675">
        <w:rPr>
          <w:rStyle w:val="Emphasis"/>
          <w:rFonts w:ascii="Times New Roman" w:hAnsi="Times New Roman" w:cs="Times New Roman"/>
          <w:i w:val="0"/>
          <w:iCs w:val="0"/>
          <w:color w:val="333333"/>
          <w:sz w:val="24"/>
          <w:szCs w:val="24"/>
          <w:shd w:val="clear" w:color="auto" w:fill="FFFFFF"/>
        </w:rPr>
        <w:t>Duan</w:t>
      </w:r>
      <w:proofErr w:type="spellEnd"/>
      <w:r w:rsidRPr="00617675">
        <w:rPr>
          <w:rStyle w:val="Emphasis"/>
          <w:rFonts w:ascii="Times New Roman" w:hAnsi="Times New Roman" w:cs="Times New Roman"/>
          <w:i w:val="0"/>
          <w:iCs w:val="0"/>
          <w:color w:val="333333"/>
          <w:sz w:val="24"/>
          <w:szCs w:val="24"/>
          <w:shd w:val="clear" w:color="auto" w:fill="FFFFFF"/>
        </w:rPr>
        <w:t xml:space="preserve"> Smearing technique</w:t>
      </w:r>
      <w:r w:rsidRPr="00617675">
        <w:rPr>
          <w:rStyle w:val="FootnoteReference"/>
          <w:rFonts w:ascii="Times New Roman" w:hAnsi="Times New Roman" w:cs="Times New Roman"/>
          <w:color w:val="333333"/>
          <w:sz w:val="24"/>
          <w:szCs w:val="24"/>
          <w:shd w:val="clear" w:color="auto" w:fill="FFFFFF"/>
        </w:rPr>
        <w:footnoteReference w:id="2"/>
      </w:r>
      <w:r w:rsidRPr="00617675">
        <w:rPr>
          <w:rStyle w:val="Emphasis"/>
          <w:rFonts w:ascii="Times New Roman" w:hAnsi="Times New Roman" w:cs="Times New Roman"/>
          <w:i w:val="0"/>
          <w:iCs w:val="0"/>
          <w:color w:val="333333"/>
          <w:sz w:val="24"/>
          <w:szCs w:val="24"/>
          <w:shd w:val="clear" w:color="auto" w:fill="FFFFFF"/>
        </w:rPr>
        <w:t xml:space="preserve">. An added benefit of applying this technique is that it removes any distributional assumptions of the conditional error term </w:t>
      </w:r>
      <w:r w:rsidRPr="00617675">
        <w:rPr>
          <w:rStyle w:val="Emphasis"/>
          <w:rFonts w:ascii="Times New Roman" w:hAnsi="Times New Roman" w:cs="Times New Roman"/>
          <w:i w:val="0"/>
          <w:iCs w:val="0"/>
          <w:color w:val="333333"/>
          <w:sz w:val="24"/>
          <w:szCs w:val="24"/>
          <w:shd w:val="clear" w:color="auto" w:fill="FFFFFF"/>
        </w:rPr>
        <w:fldChar w:fldCharType="begin" w:fldLock="1"/>
      </w:r>
      <w:r w:rsidRPr="00617675">
        <w:rPr>
          <w:rStyle w:val="Emphasis"/>
          <w:rFonts w:ascii="Times New Roman" w:hAnsi="Times New Roman" w:cs="Times New Roman"/>
          <w:i w:val="0"/>
          <w:iCs w:val="0"/>
          <w:color w:val="333333"/>
          <w:sz w:val="24"/>
          <w:szCs w:val="24"/>
          <w:shd w:val="clear" w:color="auto" w:fill="FFFFFF"/>
        </w:rPr>
        <w:instrText>ADDIN CSL_CITATION {"citationItems":[{"id":"ITEM-1","itemData":{"DOI":"10.1080/07350015.1984.10509396","ISSN":"15372707","abstract":"Hay and Olsen (1984) incorrectly argue that a multi-part model, the two-part model used in Duan et al. (1982,1983), is nested within the sample-selection model. Their proof relies on an unmentioned restrictive assumption that cannot be satisfied. We provide a counterexample to show that the propensity to use medical care and the level of expense can be positively associated in the two-part model, contrary to their assertion. The conditional specification in the multi-part model is preferable to the unconditional specification in the selection model for modeling actual (v. potential) outcomes. The selection model also has poor statistical and numerical properties and relies on untestable assumptions. Empirically the multi-part estimators perform as well as or better than the sample selection estimator for the data set analyzed in Duan et al. (1982,1983). © 1984 Taylor &amp; Francis Group, LLC.","author":[{"dropping-particle":"","family":"Duan","given":"Naihua","non-dropping-particle":"","parse-names":false,"suffix":""},{"dropping-particle":"","family":"Manning","given":"Willard G.","non-dropping-particle":"","parse-names":false,"suffix":""},{"dropping-particle":"","family":"Morris","given":"Carl N.","non-dropping-particle":"","parse-names":false,"suffix":""},{"dropping-particle":"","family":"Newhouse","given":"Joseph P.","non-dropping-particle":"","parse-names":false,"suffix":""}],"container-title":"Journal of Business and Economic Statistics","id":"ITEM-1","issue":"3","issued":{"date-parts":[["1984"]]},"page":"283-289","title":"Choosing between the sample-selection model and the multi-part model","type":"article-journal","volume":"2"},"uris":["http://www.mendeley.com/documents/?uuid=0c30d0e7-1100-42c3-8bd7-4e3d3fd04e0b"]}],"mendeley":{"formattedCitation":"(Duan et al. 1984)","plainTextFormattedCitation":"(Duan et al. 1984)","previouslyFormattedCitation":"(Duan et al. 1984)"},"properties":{"noteIndex":0},"schema":"https://github.com/citation-style-language/schema/raw/master/csl-citation.json"}</w:instrText>
      </w:r>
      <w:r w:rsidRPr="00617675">
        <w:rPr>
          <w:rStyle w:val="Emphasis"/>
          <w:rFonts w:ascii="Times New Roman" w:hAnsi="Times New Roman" w:cs="Times New Roman"/>
          <w:i w:val="0"/>
          <w:iCs w:val="0"/>
          <w:color w:val="333333"/>
          <w:sz w:val="24"/>
          <w:szCs w:val="24"/>
          <w:shd w:val="clear" w:color="auto" w:fill="FFFFFF"/>
        </w:rPr>
        <w:fldChar w:fldCharType="separate"/>
      </w:r>
      <w:r w:rsidRPr="00617675">
        <w:rPr>
          <w:rStyle w:val="Emphasis"/>
          <w:rFonts w:ascii="Times New Roman" w:hAnsi="Times New Roman" w:cs="Times New Roman"/>
          <w:i w:val="0"/>
          <w:iCs w:val="0"/>
          <w:noProof/>
          <w:color w:val="333333"/>
          <w:sz w:val="24"/>
          <w:szCs w:val="24"/>
          <w:shd w:val="clear" w:color="auto" w:fill="FFFFFF"/>
        </w:rPr>
        <w:t>(Duan et al. 1984)</w:t>
      </w:r>
      <w:r w:rsidRPr="00617675">
        <w:rPr>
          <w:rStyle w:val="Emphasis"/>
          <w:rFonts w:ascii="Times New Roman" w:hAnsi="Times New Roman" w:cs="Times New Roman"/>
          <w:i w:val="0"/>
          <w:iCs w:val="0"/>
          <w:color w:val="333333"/>
          <w:sz w:val="24"/>
          <w:szCs w:val="24"/>
          <w:shd w:val="clear" w:color="auto" w:fill="FFFFFF"/>
        </w:rPr>
        <w:fldChar w:fldCharType="end"/>
      </w:r>
      <w:r w:rsidRPr="00617675">
        <w:rPr>
          <w:rStyle w:val="Emphasis"/>
          <w:rFonts w:ascii="Times New Roman" w:hAnsi="Times New Roman" w:cs="Times New Roman"/>
          <w:i w:val="0"/>
          <w:iCs w:val="0"/>
          <w:color w:val="333333"/>
          <w:sz w:val="24"/>
          <w:szCs w:val="24"/>
          <w:shd w:val="clear" w:color="auto" w:fill="FFFFFF"/>
        </w:rPr>
        <w:t>.  We will compare alternative models to the two-part model; the Heckman Selection model and a generalized linear model (GLM) with logit link and provide justifications for our selection.</w:t>
      </w:r>
    </w:p>
    <w:p w14:paraId="2C09D9EF" w14:textId="77777777" w:rsidR="00617675" w:rsidRPr="00617675" w:rsidRDefault="00617675" w:rsidP="00617675">
      <w:pPr>
        <w:spacing w:line="480" w:lineRule="auto"/>
        <w:rPr>
          <w:rFonts w:ascii="Times New Roman" w:hAnsi="Times New Roman" w:cs="Times New Roman"/>
          <w:sz w:val="24"/>
          <w:szCs w:val="24"/>
        </w:rPr>
      </w:pPr>
      <w:r w:rsidRPr="00617675">
        <w:rPr>
          <w:rFonts w:ascii="Times New Roman" w:hAnsi="Times New Roman" w:cs="Times New Roman"/>
          <w:sz w:val="24"/>
          <w:szCs w:val="24"/>
        </w:rPr>
        <w:t xml:space="preserve">The two-part model is </w:t>
      </w:r>
      <w:proofErr w:type="gramStart"/>
      <w:r w:rsidRPr="00617675">
        <w:rPr>
          <w:rFonts w:ascii="Times New Roman" w:hAnsi="Times New Roman" w:cs="Times New Roman"/>
          <w:sz w:val="24"/>
          <w:szCs w:val="24"/>
        </w:rPr>
        <w:t>similar to</w:t>
      </w:r>
      <w:proofErr w:type="gramEnd"/>
      <w:r w:rsidRPr="00617675">
        <w:rPr>
          <w:rFonts w:ascii="Times New Roman" w:hAnsi="Times New Roman" w:cs="Times New Roman"/>
          <w:sz w:val="24"/>
          <w:szCs w:val="24"/>
        </w:rPr>
        <w:t xml:space="preserve"> the Heckman selection model</w:t>
      </w:r>
      <w:r w:rsidRPr="00617675">
        <w:rPr>
          <w:rStyle w:val="FootnoteReference"/>
          <w:rFonts w:ascii="Times New Roman" w:hAnsi="Times New Roman" w:cs="Times New Roman"/>
          <w:sz w:val="24"/>
          <w:szCs w:val="24"/>
        </w:rPr>
        <w:footnoteReference w:id="3"/>
      </w:r>
      <w:r w:rsidRPr="00617675">
        <w:rPr>
          <w:rFonts w:ascii="Times New Roman" w:hAnsi="Times New Roman" w:cs="Times New Roman"/>
          <w:sz w:val="24"/>
          <w:szCs w:val="24"/>
        </w:rPr>
        <w:t xml:space="preserve"> but has several key differences. The two-part model is designed to predict the actual outcome y and not the potential outcome, which is what the Heckman selection model predicts </w:t>
      </w:r>
      <w:r w:rsidRPr="00617675">
        <w:rPr>
          <w:rFonts w:ascii="Times New Roman" w:hAnsi="Times New Roman" w:cs="Times New Roman"/>
          <w:sz w:val="24"/>
          <w:szCs w:val="24"/>
        </w:rPr>
        <w:fldChar w:fldCharType="begin" w:fldLock="1"/>
      </w:r>
      <w:r w:rsidRPr="00617675">
        <w:rPr>
          <w:rFonts w:ascii="Times New Roman" w:hAnsi="Times New Roman" w:cs="Times New Roman"/>
          <w:sz w:val="24"/>
          <w:szCs w:val="24"/>
        </w:rPr>
        <w:instrText>ADDIN CSL_CITATION {"citationItems":[{"id":"ITEM-1","itemData":{"DOI":"10.1080/07350015.1984.10509396","ISSN":"15372707","abstract":"Hay and Olsen (1984) incorrectly argue that a multi-part model, the two-part model used in Duan et al. (1982,1983), is nested within the sample-selection model. Their proof relies on an unmentioned restrictive assumption that cannot be satisfied. We provide a counterexample to show that the propensity to use medical care and the level of expense can be positively associated in the two-part model, contrary to their assertion. The conditional specification in the multi-part model is preferable to the unconditional specification in the selection model for modeling actual (v. potential) outcomes. The selection model also has poor statistical and numerical properties and relies on untestable assumptions. Empirically the multi-part estimators perform as well as or better than the sample selection estimator for the data set analyzed in Duan et al. (1982,1983). © 1984 Taylor &amp; Francis Group, LLC.","author":[{"dropping-particle":"","family":"Duan","given":"Naihua","non-dropping-particle":"","parse-names":false,"suffix":""},{"dropping-particle":"","family":"Manning","given":"Willard G.","non-dropping-particle":"","parse-names":false,"suffix":""},{"dropping-particle":"","family":"Morris","given":"Carl N.","non-dropping-particle":"","parse-names":false,"suffix":""},{"dropping-particle":"","family":"Newhouse","given":"Joseph P.","non-dropping-particle":"","parse-names":false,"suffix":""}],"container-title":"Journal of Business and Economic Statistics","id":"ITEM-1","issue":"3","issued":{"date-parts":[["1984"]]},"page":"283-289","title":"Choosing between the sample-selection model and the multi-part model","type":"article-journal","volume":"2"},"uris":["http://www.mendeley.com/documents/?uuid=0c30d0e7-1100-42c3-8bd7-4e3d3fd04e0b"]}],"mendeley":{"formattedCitation":"(Duan et al. 1984)","plainTextFormattedCitation":"(Duan et al. 1984)","previouslyFormattedCitation":"(Duan et al. 1984)"},"properties":{"noteIndex":0},"schema":"https://github.com/citation-style-language/schema/raw/master/csl-citation.json"}</w:instrText>
      </w:r>
      <w:r w:rsidRPr="00617675">
        <w:rPr>
          <w:rFonts w:ascii="Times New Roman" w:hAnsi="Times New Roman" w:cs="Times New Roman"/>
          <w:sz w:val="24"/>
          <w:szCs w:val="24"/>
        </w:rPr>
        <w:fldChar w:fldCharType="separate"/>
      </w:r>
      <w:r w:rsidRPr="00617675">
        <w:rPr>
          <w:rFonts w:ascii="Times New Roman" w:hAnsi="Times New Roman" w:cs="Times New Roman"/>
          <w:noProof/>
          <w:sz w:val="24"/>
          <w:szCs w:val="24"/>
        </w:rPr>
        <w:t>(Duan et al. 1984)</w:t>
      </w:r>
      <w:r w:rsidRPr="00617675">
        <w:rPr>
          <w:rFonts w:ascii="Times New Roman" w:hAnsi="Times New Roman" w:cs="Times New Roman"/>
          <w:sz w:val="24"/>
          <w:szCs w:val="24"/>
        </w:rPr>
        <w:fldChar w:fldCharType="end"/>
      </w:r>
      <w:r w:rsidRPr="00617675">
        <w:rPr>
          <w:rFonts w:ascii="Times New Roman" w:hAnsi="Times New Roman" w:cs="Times New Roman"/>
          <w:sz w:val="24"/>
          <w:szCs w:val="24"/>
        </w:rPr>
        <w:t xml:space="preserve"> One of the added benefits of the Heckman Selection model is that it is able to test and correct for potential biases created from non-random missingness in the dependent variable </w:t>
      </w:r>
      <w:r w:rsidRPr="00617675">
        <w:rPr>
          <w:rFonts w:ascii="Times New Roman" w:hAnsi="Times New Roman" w:cs="Times New Roman"/>
          <w:sz w:val="24"/>
          <w:szCs w:val="24"/>
        </w:rPr>
        <w:fldChar w:fldCharType="begin" w:fldLock="1"/>
      </w:r>
      <w:r w:rsidRPr="00617675">
        <w:rPr>
          <w:rFonts w:ascii="Times New Roman" w:hAnsi="Times New Roman" w:cs="Times New Roman"/>
          <w:sz w:val="24"/>
          <w:szCs w:val="24"/>
        </w:rPr>
        <w:instrText>ADDIN CSL_CITATION {"citationItems":[{"id":"ITEM-1","itemData":{"DOI":"10.1186/s12874-019-0840-7","ISSN":"14712288","abstract":"Background: In low-income settings, key outcomes such as biomarkers or clinical assessments are often missing for a substantial proportion of the study population. The aim of this study was to assess the extent to which Heckman-type selection models can create unbiased estimates in such settings. Methods: We introduce the basic Heckman model in a first stage, and then use simulation models to compare the performance of the model to alternative approaches used in the literature for missing outcome data, including complete case analysis (CCA), multiple imputations by chained equations (MICE) and pattern imputation with delta adjustment (PIDA). Last, we use a large population-representative data set on antenatal supplementation (AS) and birth outcomes from Côte d'Ivoire to illustrate the empirical relevance of this method. Results: All models performed well when data were missing at random. When missingness in the outcome data was related to unobserved determinants of the outcome, large and systematic biases were found for CCA and MICE, while Heckman-style selection models yielded unbiased estimates. Using Heckman-type selection models to correct for missingness in our empirical application, we found supplementation effect sizes that were very close to those reported in the most recent systematic review of clinical AS trials. Conclusion: Missingness in health outcome can lead to substantial bias. Heckman-selection models can correct for this selection bias and yield unbiased estimates, even when the proportion of missing data is substantial.","author":[{"dropping-particle":"","family":"Koné","given":"Siaka","non-dropping-particle":"","parse-names":false,"suffix":""},{"dropping-particle":"","family":"Bonfoh","given":"Bassirou","non-dropping-particle":"","parse-names":false,"suffix":""},{"dropping-particle":"","family":"Dao","given":"Daouda","non-dropping-particle":"","parse-names":false,"suffix":""},{"dropping-particle":"","family":"Koné","given":"Inza","non-dropping-particle":"","parse-names":false,"suffix":""},{"dropping-particle":"","family":"Fink","given":"Günther","non-dropping-particle":"","parse-names":false,"suffix":""}],"container-title":"BMC Medical Research Methodology","id":"ITEM-1","issue":"1","issued":{"date-parts":[["2019"]]},"page":"1-13","publisher":"BMC Medical Research Methodology","title":"Heckman-type selection models to obtain unbiased estimates with missing measures outcome: Theoretical considerations and an application to missing birth weight data","type":"article-journal","volume":"19"},"uris":["http://www.mendeley.com/documents/?uuid=6eb5cd5c-e4a3-4282-b1e4-13fe2f7f9e1a"]}],"mendeley":{"formattedCitation":"(Koné et al. 2019)","plainTextFormattedCitation":"(Koné et al. 2019)","previouslyFormattedCitation":"(Koné et al. 2019)"},"properties":{"noteIndex":0},"schema":"https://github.com/citation-style-language/schema/raw/master/csl-citation.json"}</w:instrText>
      </w:r>
      <w:r w:rsidRPr="00617675">
        <w:rPr>
          <w:rFonts w:ascii="Times New Roman" w:hAnsi="Times New Roman" w:cs="Times New Roman"/>
          <w:sz w:val="24"/>
          <w:szCs w:val="24"/>
        </w:rPr>
        <w:fldChar w:fldCharType="separate"/>
      </w:r>
      <w:r w:rsidRPr="00617675">
        <w:rPr>
          <w:rFonts w:ascii="Times New Roman" w:hAnsi="Times New Roman" w:cs="Times New Roman"/>
          <w:noProof/>
          <w:sz w:val="24"/>
          <w:szCs w:val="24"/>
        </w:rPr>
        <w:t>(Koné et al. 2019)</w:t>
      </w:r>
      <w:r w:rsidRPr="00617675">
        <w:rPr>
          <w:rFonts w:ascii="Times New Roman" w:hAnsi="Times New Roman" w:cs="Times New Roman"/>
          <w:sz w:val="24"/>
          <w:szCs w:val="24"/>
        </w:rPr>
        <w:fldChar w:fldCharType="end"/>
      </w:r>
      <w:r w:rsidRPr="00617675">
        <w:rPr>
          <w:rFonts w:ascii="Times New Roman" w:hAnsi="Times New Roman" w:cs="Times New Roman"/>
          <w:sz w:val="24"/>
          <w:szCs w:val="24"/>
        </w:rPr>
        <w:t xml:space="preserve">. Our dataset does not have missing dependent variables, as a zero represents a true zero, so these benefits do not apply. A shortcoming of the Heckman selection model is that it makes an additional assumption of correlation of error terms from the first and second part of the model, whereas the two-part model does not </w:t>
      </w:r>
      <w:r w:rsidRPr="00617675">
        <w:rPr>
          <w:rFonts w:ascii="Times New Roman" w:hAnsi="Times New Roman" w:cs="Times New Roman"/>
          <w:sz w:val="24"/>
          <w:szCs w:val="24"/>
        </w:rPr>
        <w:fldChar w:fldCharType="begin" w:fldLock="1"/>
      </w:r>
      <w:r w:rsidRPr="00617675">
        <w:rPr>
          <w:rFonts w:ascii="Times New Roman" w:hAnsi="Times New Roman" w:cs="Times New Roman"/>
          <w:sz w:val="24"/>
          <w:szCs w:val="24"/>
        </w:rPr>
        <w:instrText>ADDIN CSL_CITATION {"citationItems":[{"id":"ITEM-1","itemData":{"DOI":"10.1177/1536867x1501500102","ISSN":"1536867X","abstract":"In this article, we describe twopm, a command for fitting two-part models for mixed discrete-continuous outcomes. In the two-part model, a binary choice model is fit for the probability of observing a positive-versus-zero outcome. Then, conditional on a positive outcome, an appropriate regression model is fit for the positive outcome. The twopm command allows the user to leverage the capabilities of predict and margins to calculate predictions and marginal effects and their standard errors from the combined first- and second-part models.","author":[{"dropping-particle":"","family":"Belotti","given":"Federico","non-dropping-particle":"","parse-names":false,"suffix":""},{"dropping-particle":"","family":"Deb","given":"Partha","non-dropping-particle":"","parse-names":false,"suffix":""},{"dropping-particle":"","family":"Manning","given":"Willard G.","non-dropping-particle":"","parse-names":false,"suffix":""},{"dropping-particle":"","family":"Norton","given":"Edward C.","non-dropping-particle":"","parse-names":false,"suffix":""}],"container-title":"Stata Journal","id":"ITEM-1","issue":"1","issued":{"date-parts":[["2015"]]},"page":"3-20","title":"twopm: Two-part models","type":"article-journal","volume":"15"},"uris":["http://www.mendeley.com/documents/?uuid=9d1d4c98-8386-4e08-a87a-b1349baee925"]}],"mendeley":{"formattedCitation":"(Belotti et al. 2015)","plainTextFormattedCitation":"(Belotti et al. 2015)","previouslyFormattedCitation":"(Belotti et al. 2015)"},"properties":{"noteIndex":0},"schema":"https://github.com/citation-style-language/schema/raw/master/csl-citation.json"}</w:instrText>
      </w:r>
      <w:r w:rsidRPr="00617675">
        <w:rPr>
          <w:rFonts w:ascii="Times New Roman" w:hAnsi="Times New Roman" w:cs="Times New Roman"/>
          <w:sz w:val="24"/>
          <w:szCs w:val="24"/>
        </w:rPr>
        <w:fldChar w:fldCharType="separate"/>
      </w:r>
      <w:r w:rsidRPr="00617675">
        <w:rPr>
          <w:rFonts w:ascii="Times New Roman" w:hAnsi="Times New Roman" w:cs="Times New Roman"/>
          <w:noProof/>
          <w:sz w:val="24"/>
          <w:szCs w:val="24"/>
        </w:rPr>
        <w:t>(Belotti et al. 2015)</w:t>
      </w:r>
      <w:r w:rsidRPr="00617675">
        <w:rPr>
          <w:rFonts w:ascii="Times New Roman" w:hAnsi="Times New Roman" w:cs="Times New Roman"/>
          <w:sz w:val="24"/>
          <w:szCs w:val="24"/>
        </w:rPr>
        <w:fldChar w:fldCharType="end"/>
      </w:r>
      <w:r w:rsidRPr="00617675">
        <w:rPr>
          <w:rFonts w:ascii="Times New Roman" w:hAnsi="Times New Roman" w:cs="Times New Roman"/>
          <w:sz w:val="24"/>
          <w:szCs w:val="24"/>
        </w:rPr>
        <w:t xml:space="preserve"> In addition to using less assumptions than the Heckman selection model, the two-part model has shown to outperform the former in terms of parameter squared error and perform comparable in terms of mean prediction bias and mean squared error </w:t>
      </w:r>
      <w:r w:rsidRPr="00617675">
        <w:rPr>
          <w:rFonts w:ascii="Times New Roman" w:hAnsi="Times New Roman" w:cs="Times New Roman"/>
          <w:sz w:val="24"/>
          <w:szCs w:val="24"/>
        </w:rPr>
        <w:fldChar w:fldCharType="begin" w:fldLock="1"/>
      </w:r>
      <w:r w:rsidRPr="00617675">
        <w:rPr>
          <w:rFonts w:ascii="Times New Roman" w:hAnsi="Times New Roman" w:cs="Times New Roman"/>
          <w:sz w:val="24"/>
          <w:szCs w:val="24"/>
        </w:rPr>
        <w:instrText>ADDIN CSL_CITATION {"citationItems":[{"id":"ITEM-1","itemData":{"author":[{"dropping-particle":"","family":"Leung","given":"Siu Fai","non-dropping-particle":"","parse-names":false,"suffix":""},{"dropping-particle":"","family":"Yu","given":"Shihti","non-dropping-particle":"","parse-names":false,"suffix":""}],"container-title":"Journal of Econometrics","id":"ITEM-1","issue":"72","issued":{"date-parts":[["1996"]]},"page":"197-229","title":"and Two-Part Models","type":"article-journal"},"uris":["http://www.mendeley.com/documents/?uuid=1b5149e2-ef6a-467c-8f4d-2e5be5c9abf8"]}],"mendeley":{"formattedCitation":"(Leung and Yu 1996)","plainTextFormattedCitation":"(Leung and Yu 1996)","previouslyFormattedCitation":"(Leung and Yu 1996)"},"properties":{"noteIndex":0},"schema":"https://github.com/citation-style-language/schema/raw/master/csl-citation.json"}</w:instrText>
      </w:r>
      <w:r w:rsidRPr="00617675">
        <w:rPr>
          <w:rFonts w:ascii="Times New Roman" w:hAnsi="Times New Roman" w:cs="Times New Roman"/>
          <w:sz w:val="24"/>
          <w:szCs w:val="24"/>
        </w:rPr>
        <w:fldChar w:fldCharType="separate"/>
      </w:r>
      <w:r w:rsidRPr="00617675">
        <w:rPr>
          <w:rFonts w:ascii="Times New Roman" w:hAnsi="Times New Roman" w:cs="Times New Roman"/>
          <w:noProof/>
          <w:sz w:val="24"/>
          <w:szCs w:val="24"/>
        </w:rPr>
        <w:t>(Leung and Yu 1996)</w:t>
      </w:r>
      <w:r w:rsidRPr="00617675">
        <w:rPr>
          <w:rFonts w:ascii="Times New Roman" w:hAnsi="Times New Roman" w:cs="Times New Roman"/>
          <w:sz w:val="24"/>
          <w:szCs w:val="24"/>
        </w:rPr>
        <w:fldChar w:fldCharType="end"/>
      </w:r>
      <w:r w:rsidRPr="00617675">
        <w:rPr>
          <w:rFonts w:ascii="Times New Roman" w:hAnsi="Times New Roman" w:cs="Times New Roman"/>
          <w:sz w:val="24"/>
          <w:szCs w:val="24"/>
        </w:rPr>
        <w:t xml:space="preserve">. Due to the two-part model using less assumptions and </w:t>
      </w:r>
      <w:proofErr w:type="spellStart"/>
      <w:proofErr w:type="gramStart"/>
      <w:r w:rsidRPr="00617675">
        <w:rPr>
          <w:rFonts w:ascii="Times New Roman" w:hAnsi="Times New Roman" w:cs="Times New Roman"/>
          <w:sz w:val="24"/>
          <w:szCs w:val="24"/>
        </w:rPr>
        <w:t>out performing</w:t>
      </w:r>
      <w:proofErr w:type="spellEnd"/>
      <w:proofErr w:type="gramEnd"/>
      <w:r w:rsidRPr="00617675">
        <w:rPr>
          <w:rFonts w:ascii="Times New Roman" w:hAnsi="Times New Roman" w:cs="Times New Roman"/>
          <w:sz w:val="24"/>
          <w:szCs w:val="24"/>
        </w:rPr>
        <w:t xml:space="preserve"> the Heckman selection model we opted to use a two-part model over the Heckman selection model.</w:t>
      </w:r>
    </w:p>
    <w:p w14:paraId="10FA6F1B" w14:textId="166EDCC0" w:rsidR="00617675" w:rsidRPr="00617675" w:rsidRDefault="00617675" w:rsidP="00617675">
      <w:pPr>
        <w:spacing w:line="480" w:lineRule="auto"/>
        <w:rPr>
          <w:rStyle w:val="Emphasis"/>
          <w:rFonts w:ascii="Times New Roman" w:hAnsi="Times New Roman" w:cs="Times New Roman"/>
          <w:i w:val="0"/>
          <w:iCs w:val="0"/>
          <w:sz w:val="24"/>
          <w:szCs w:val="24"/>
        </w:rPr>
      </w:pPr>
      <w:r w:rsidRPr="00617675">
        <w:rPr>
          <w:rFonts w:ascii="Times New Roman" w:hAnsi="Times New Roman" w:cs="Times New Roman"/>
          <w:sz w:val="24"/>
          <w:szCs w:val="24"/>
        </w:rPr>
        <w:lastRenderedPageBreak/>
        <w:t xml:space="preserve">A variant of the two-part model is to use a GLM with a logit link in the second part instead of using OLS on a logged dependent variable. A benefit of this method is that by applying a GLM to the second part of the model, this maintains the original units of the dependent variable, therefore removing the need to transform the variables back to the original unit </w:t>
      </w:r>
      <w:r w:rsidRPr="00617675">
        <w:rPr>
          <w:rFonts w:ascii="Times New Roman" w:hAnsi="Times New Roman" w:cs="Times New Roman"/>
          <w:sz w:val="24"/>
          <w:szCs w:val="24"/>
        </w:rPr>
        <w:fldChar w:fldCharType="begin" w:fldLock="1"/>
      </w:r>
      <w:r w:rsidRPr="00617675">
        <w:rPr>
          <w:rFonts w:ascii="Times New Roman" w:hAnsi="Times New Roman" w:cs="Times New Roman"/>
          <w:sz w:val="24"/>
          <w:szCs w:val="24"/>
        </w:rPr>
        <w:instrText>ADDIN CSL_CITATION {"citationItems":[{"id":"ITEM-1","itemData":{"DOI":"10.1016/S0167-6296(98)00032-0","ISSN":"01676296","abstract":"Traditionally, linear regression has been the technique of choice for predicting medical risk. This paper presents a new approach to modeling the second part of two-part models utilizing extensions of the generalized linear model. The primary method of estimation for this model is maximum likelihood. This method as well as the generalizations quasi-likelihood and extended quasi-likelihood are discussed. An example using medical expense data from Washington State employees is used to illustrate the methods. The model includes demographic variables as well as an Ambulatory Care Group variable to account for prior health status.","author":[{"dropping-particle":"","family":"Blough","given":"David K.","non-dropping-particle":"","parse-names":false,"suffix":""},{"dropping-particle":"","family":"Madden","given":"Carolyn W.","non-dropping-particle":"","parse-names":false,"suffix":""},{"dropping-particle":"","family":"Hornbrook","given":"Mark C.","non-dropping-particle":"","parse-names":false,"suffix":""}],"container-title":"Journal of Health Economics","id":"ITEM-1","issue":"2","issued":{"date-parts":[["1999"]]},"page":"153-171","title":"Modeling risk using generalized linear models","type":"article-journal","volume":"18"},"uris":["http://www.mendeley.com/documents/?uuid=6dc2df54-c806-48be-9691-55cd7d5344c4"]}],"mendeley":{"formattedCitation":"(Blough, Madden, and Hornbrook 1999)","plainTextFormattedCitation":"(Blough, Madden, and Hornbrook 1999)","previouslyFormattedCitation":"(Blough, Madden, and Hornbrook 1999)"},"properties":{"noteIndex":0},"schema":"https://github.com/citation-style-language/schema/raw/master/csl-citation.json"}</w:instrText>
      </w:r>
      <w:r w:rsidRPr="00617675">
        <w:rPr>
          <w:rFonts w:ascii="Times New Roman" w:hAnsi="Times New Roman" w:cs="Times New Roman"/>
          <w:sz w:val="24"/>
          <w:szCs w:val="24"/>
        </w:rPr>
        <w:fldChar w:fldCharType="separate"/>
      </w:r>
      <w:r w:rsidRPr="00617675">
        <w:rPr>
          <w:rFonts w:ascii="Times New Roman" w:hAnsi="Times New Roman" w:cs="Times New Roman"/>
          <w:noProof/>
          <w:sz w:val="24"/>
          <w:szCs w:val="24"/>
        </w:rPr>
        <w:t>(Blough, Madden, and Hornbrook 1999)</w:t>
      </w:r>
      <w:r w:rsidRPr="00617675">
        <w:rPr>
          <w:rFonts w:ascii="Times New Roman" w:hAnsi="Times New Roman" w:cs="Times New Roman"/>
          <w:sz w:val="24"/>
          <w:szCs w:val="24"/>
        </w:rPr>
        <w:fldChar w:fldCharType="end"/>
      </w:r>
      <w:r w:rsidRPr="00617675">
        <w:rPr>
          <w:rFonts w:ascii="Times New Roman" w:hAnsi="Times New Roman" w:cs="Times New Roman"/>
          <w:sz w:val="24"/>
          <w:szCs w:val="24"/>
        </w:rPr>
        <w:t xml:space="preserve">. In addition, the GLM approach can be broadened to a quasi-likelihood estimation that removes the need for specifying the distribution of the dependent variable </w:t>
      </w:r>
      <w:r w:rsidRPr="00617675">
        <w:rPr>
          <w:rFonts w:ascii="Times New Roman" w:hAnsi="Times New Roman" w:cs="Times New Roman"/>
          <w:sz w:val="24"/>
          <w:szCs w:val="24"/>
        </w:rPr>
        <w:fldChar w:fldCharType="begin" w:fldLock="1"/>
      </w:r>
      <w:r w:rsidRPr="00617675">
        <w:rPr>
          <w:rFonts w:ascii="Times New Roman" w:hAnsi="Times New Roman" w:cs="Times New Roman"/>
          <w:sz w:val="24"/>
          <w:szCs w:val="24"/>
        </w:rPr>
        <w:instrText>ADDIN CSL_CITATION {"citationItems":[{"id":"ITEM-1","itemData":{"DOI":"10.1016/S0167-6296(98)00032-0","ISSN":"01676296","abstract":"Traditionally, linear regression has been the technique of choice for predicting medical risk. This paper presents a new approach to modeling the second part of two-part models utilizing extensions of the generalized linear model. The primary method of estimation for this model is maximum likelihood. This method as well as the generalizations quasi-likelihood and extended quasi-likelihood are discussed. An example using medical expense data from Washington State employees is used to illustrate the methods. The model includes demographic variables as well as an Ambulatory Care Group variable to account for prior health status.","author":[{"dropping-particle":"","family":"Blough","given":"David K.","non-dropping-particle":"","parse-names":false,"suffix":""},{"dropping-particle":"","family":"Madden","given":"Carolyn W.","non-dropping-particle":"","parse-names":false,"suffix":""},{"dropping-particle":"","family":"Hornbrook","given":"Mark C.","non-dropping-particle":"","parse-names":false,"suffix":""}],"container-title":"Journal of Health Economics","id":"ITEM-1","issue":"2","issued":{"date-parts":[["1999"]]},"page":"153-171","title":"Modeling risk using generalized linear models","type":"article-journal","volume":"18"},"uris":["http://www.mendeley.com/documents/?uuid=6dc2df54-c806-48be-9691-55cd7d5344c4"]}],"mendeley":{"formattedCitation":"(Blough, Madden, and Hornbrook 1999)","plainTextFormattedCitation":"(Blough, Madden, and Hornbrook 1999)","previouslyFormattedCitation":"(Blough, Madden, and Hornbrook 1999)"},"properties":{"noteIndex":0},"schema":"https://github.com/citation-style-language/schema/raw/master/csl-citation.json"}</w:instrText>
      </w:r>
      <w:r w:rsidRPr="00617675">
        <w:rPr>
          <w:rFonts w:ascii="Times New Roman" w:hAnsi="Times New Roman" w:cs="Times New Roman"/>
          <w:sz w:val="24"/>
          <w:szCs w:val="24"/>
        </w:rPr>
        <w:fldChar w:fldCharType="separate"/>
      </w:r>
      <w:r w:rsidRPr="00617675">
        <w:rPr>
          <w:rFonts w:ascii="Times New Roman" w:hAnsi="Times New Roman" w:cs="Times New Roman"/>
          <w:noProof/>
          <w:sz w:val="24"/>
          <w:szCs w:val="24"/>
        </w:rPr>
        <w:t>(Blough, Madden, and Hornbrook 1999)</w:t>
      </w:r>
      <w:r w:rsidRPr="00617675">
        <w:rPr>
          <w:rFonts w:ascii="Times New Roman" w:hAnsi="Times New Roman" w:cs="Times New Roman"/>
          <w:sz w:val="24"/>
          <w:szCs w:val="24"/>
        </w:rPr>
        <w:fldChar w:fldCharType="end"/>
      </w:r>
      <w:r w:rsidRPr="00617675">
        <w:rPr>
          <w:rFonts w:ascii="Times New Roman" w:hAnsi="Times New Roman" w:cs="Times New Roman"/>
          <w:sz w:val="24"/>
          <w:szCs w:val="24"/>
        </w:rPr>
        <w:t xml:space="preserve">. However, while this method is flexible and removes the need for the </w:t>
      </w:r>
      <w:proofErr w:type="spellStart"/>
      <w:r w:rsidRPr="00617675">
        <w:rPr>
          <w:rFonts w:ascii="Times New Roman" w:hAnsi="Times New Roman" w:cs="Times New Roman"/>
          <w:sz w:val="24"/>
          <w:szCs w:val="24"/>
        </w:rPr>
        <w:t>Duan</w:t>
      </w:r>
      <w:proofErr w:type="spellEnd"/>
      <w:r w:rsidRPr="00617675">
        <w:rPr>
          <w:rFonts w:ascii="Times New Roman" w:hAnsi="Times New Roman" w:cs="Times New Roman"/>
          <w:sz w:val="24"/>
          <w:szCs w:val="24"/>
        </w:rPr>
        <w:t xml:space="preserve"> Smearing transformation, it has shown to suffer efficiency losses and major losses in precision if a less than appropriate estimator is selected </w:t>
      </w:r>
      <w:r w:rsidRPr="00617675">
        <w:rPr>
          <w:rFonts w:ascii="Times New Roman" w:hAnsi="Times New Roman" w:cs="Times New Roman"/>
          <w:sz w:val="24"/>
          <w:szCs w:val="24"/>
        </w:rPr>
        <w:fldChar w:fldCharType="begin" w:fldLock="1"/>
      </w:r>
      <w:r w:rsidRPr="00617675">
        <w:rPr>
          <w:rFonts w:ascii="Times New Roman" w:hAnsi="Times New Roman" w:cs="Times New Roman"/>
          <w:sz w:val="24"/>
          <w:szCs w:val="24"/>
        </w:rPr>
        <w:instrText>ADDIN CSL_CITATION {"citationItems":[{"id":"ITEM-1","itemData":{"DOI":"10.1016/S0167-6296(01)00086-8","ISSN":"01676296","PMID":"11469231","abstract":"Health economists often use log models to deal with skewed outcomes, such as health utilization or health expenditures. The literature provides a number of alternative estimation approaches for log models, including ordinary least-squares on ln(y) and generalized linear models. This study examines how well the alternative estimators behave econometrically in terms of bias and precision when the data are skewed or have other common data problems (heteroscedasticity, heavy tails, etc.). No single alternative is best under all conditions examined. The paper provides a straightforward algorithm for choosing among the alternative estimators. Even if the estimators considered are consistent, there can be major losses in precision from selecting a less appropriate estimator. Copyright © 2001 Elsevier Science B.V.","author":[{"dropping-particle":"","family":"Manning","given":"Willard G.","non-dropping-particle":"","parse-names":false,"suffix":""},{"dropping-particle":"","family":"Mullahy","given":"John","non-dropping-particle":"","parse-names":false,"suffix":""}],"container-title":"Journal of Health Economics","id":"ITEM-1","issue":"4","issued":{"date-parts":[["2001"]]},"page":"461-494","title":"Estimating log models: To transform or not to transform?","type":"article-journal","volume":"20"},"uris":["http://www.mendeley.com/documents/?uuid=192d2771-844f-4d63-b9cf-e7e659fe4594"]}],"mendeley":{"formattedCitation":"(Manning and Mullahy 2001)","plainTextFormattedCitation":"(Manning and Mullahy 2001)","previouslyFormattedCitation":"(Manning and Mullahy 2001)"},"properties":{"noteIndex":0},"schema":"https://github.com/citation-style-language/schema/raw/master/csl-citation.json"}</w:instrText>
      </w:r>
      <w:r w:rsidRPr="00617675">
        <w:rPr>
          <w:rFonts w:ascii="Times New Roman" w:hAnsi="Times New Roman" w:cs="Times New Roman"/>
          <w:sz w:val="24"/>
          <w:szCs w:val="24"/>
        </w:rPr>
        <w:fldChar w:fldCharType="separate"/>
      </w:r>
      <w:r w:rsidRPr="00617675">
        <w:rPr>
          <w:rFonts w:ascii="Times New Roman" w:hAnsi="Times New Roman" w:cs="Times New Roman"/>
          <w:noProof/>
          <w:sz w:val="24"/>
          <w:szCs w:val="24"/>
        </w:rPr>
        <w:t>(Manning and Mullahy 2001)</w:t>
      </w:r>
      <w:r w:rsidRPr="00617675">
        <w:rPr>
          <w:rFonts w:ascii="Times New Roman" w:hAnsi="Times New Roman" w:cs="Times New Roman"/>
          <w:sz w:val="24"/>
          <w:szCs w:val="24"/>
        </w:rPr>
        <w:fldChar w:fldCharType="end"/>
      </w:r>
      <w:r w:rsidRPr="00617675">
        <w:rPr>
          <w:rFonts w:ascii="Times New Roman" w:hAnsi="Times New Roman" w:cs="Times New Roman"/>
          <w:sz w:val="24"/>
          <w:szCs w:val="24"/>
        </w:rPr>
        <w:t xml:space="preserve">. Applying a GLM with a logit links opens the study to precision errors if not executed correctly, and as our final dataset is large (n </w:t>
      </w:r>
      <m:oMath>
        <m:r>
          <m:rPr>
            <m:sty m:val="p"/>
          </m:rPr>
          <w:rPr>
            <w:rFonts w:ascii="Cambria Math" w:hAnsi="Cambria Math" w:cs="Times New Roman"/>
            <w:sz w:val="24"/>
            <w:szCs w:val="24"/>
          </w:rPr>
          <m:t xml:space="preserve">≥ </m:t>
        </m:r>
      </m:oMath>
      <w:r w:rsidRPr="00617675">
        <w:rPr>
          <w:rFonts w:ascii="Times New Roman" w:hAnsi="Times New Roman" w:cs="Times New Roman"/>
          <w:sz w:val="24"/>
          <w:szCs w:val="24"/>
        </w:rPr>
        <w:t>400,000)</w:t>
      </w:r>
      <w:r w:rsidRPr="00617675">
        <w:rPr>
          <w:rStyle w:val="FootnoteReference"/>
          <w:rFonts w:ascii="Times New Roman" w:hAnsi="Times New Roman" w:cs="Times New Roman"/>
          <w:sz w:val="24"/>
          <w:szCs w:val="24"/>
        </w:rPr>
        <w:footnoteReference w:id="4"/>
      </w:r>
      <w:r w:rsidRPr="00617675">
        <w:rPr>
          <w:rFonts w:ascii="Times New Roman" w:hAnsi="Times New Roman" w:cs="Times New Roman"/>
          <w:sz w:val="24"/>
          <w:szCs w:val="24"/>
        </w:rPr>
        <w:t>, the final estimates between the two-part model and the GLM with logit link would not differ significantly. For these reasons we selected to use the two-part model with OLS on a logged dependent variable for its reliability and flexibility.</w:t>
      </w:r>
    </w:p>
    <w:p w14:paraId="72852B02" w14:textId="77777777" w:rsidR="00617675" w:rsidRPr="00617675" w:rsidRDefault="00617675" w:rsidP="00617675">
      <w:pPr>
        <w:pStyle w:val="Heading3"/>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General Framework of model</w:t>
      </w:r>
    </w:p>
    <w:p w14:paraId="79CFE183" w14:textId="77777777" w:rsidR="00617675" w:rsidRPr="00617675" w:rsidRDefault="00617675" w:rsidP="00617675">
      <w:pPr>
        <w:spacing w:line="480" w:lineRule="auto"/>
        <w:rPr>
          <w:rFonts w:ascii="Times New Roman" w:hAnsi="Times New Roman" w:cs="Times New Roman"/>
          <w:sz w:val="24"/>
          <w:szCs w:val="24"/>
        </w:rPr>
      </w:pPr>
      <w:r w:rsidRPr="00617675">
        <w:rPr>
          <w:rFonts w:ascii="Times New Roman" w:hAnsi="Times New Roman" w:cs="Times New Roman"/>
          <w:sz w:val="24"/>
          <w:szCs w:val="24"/>
        </w:rPr>
        <w:t>We apply a two-part model for each of our regressions, all regressions have the same general framework but have varied data samples and explanatory variables. The first part of the model captures the extensive margin using a dummy variable indicating that a provider has given at least one opioid prescription. The second part captures the intensive margin using the log of the percentage of opioid prescriptions. The first part of the model is specified as logit:</w:t>
      </w:r>
    </w:p>
    <w:p w14:paraId="370B4D1C" w14:textId="77777777" w:rsidR="00617675" w:rsidRPr="00617675" w:rsidRDefault="00617675" w:rsidP="00617675">
      <w:pPr>
        <w:spacing w:line="480" w:lineRule="auto"/>
        <w:rPr>
          <w:rFonts w:ascii="Times New Roman" w:hAnsi="Times New Roman" w:cs="Times New Roman"/>
          <w:sz w:val="24"/>
          <w:szCs w:val="24"/>
        </w:rPr>
      </w:pPr>
    </w:p>
    <w:p w14:paraId="479A0203" w14:textId="77777777" w:rsidR="00617675" w:rsidRPr="00617675" w:rsidRDefault="00617675" w:rsidP="00617675">
      <w:pPr>
        <w:pStyle w:val="Heading4"/>
        <w:rPr>
          <w:rStyle w:val="Emphasis"/>
          <w:rFonts w:ascii="Times New Roman" w:hAnsi="Times New Roman" w:cs="Times New Roman"/>
          <w:color w:val="333333"/>
          <w:sz w:val="24"/>
          <w:szCs w:val="24"/>
          <w:shd w:val="clear" w:color="auto" w:fill="FFFFFF"/>
        </w:rPr>
      </w:pPr>
      <w:r w:rsidRPr="00617675">
        <w:rPr>
          <w:rStyle w:val="Emphasis"/>
          <w:rFonts w:ascii="Times New Roman" w:hAnsi="Times New Roman" w:cs="Times New Roman"/>
          <w:color w:val="333333"/>
          <w:sz w:val="24"/>
          <w:szCs w:val="24"/>
          <w:shd w:val="clear" w:color="auto" w:fill="FFFFFF"/>
        </w:rPr>
        <w:lastRenderedPageBreak/>
        <w:t>First Part</w:t>
      </w:r>
    </w:p>
    <w:p w14:paraId="7A4C1AEE" w14:textId="5FFFF627" w:rsidR="00617675" w:rsidRPr="00617675" w:rsidRDefault="00617675" w:rsidP="00617675">
      <w:pPr>
        <w:spacing w:line="480" w:lineRule="auto"/>
        <w:rPr>
          <w:rFonts w:ascii="Times New Roman"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pr(Y</m:t>
            </m:r>
          </m:e>
          <m:sub>
            <m:r>
              <m:rPr>
                <m:sty m:val="p"/>
              </m:rPr>
              <w:rPr>
                <w:rFonts w:ascii="Cambria Math" w:hAnsi="Cambria Math" w:cs="Times New Roman"/>
                <w:sz w:val="20"/>
                <w:szCs w:val="20"/>
              </w:rPr>
              <m:t>npi</m:t>
            </m:r>
          </m:sub>
        </m:sSub>
        <m:r>
          <m:rPr>
            <m:sty m:val="p"/>
          </m:rPr>
          <w:rPr>
            <w:rFonts w:ascii="Cambria Math" w:hAnsi="Cambria Math" w:cs="Times New Roman"/>
            <w:sz w:val="20"/>
            <w:szCs w:val="20"/>
          </w:rPr>
          <m:t>&gt;0)=Λ</m:t>
        </m:r>
        <m:sSub>
          <m:sSubPr>
            <m:ctrlPr>
              <w:rPr>
                <w:rFonts w:ascii="Cambria Math" w:hAnsi="Cambria Math" w:cs="Times New Roman"/>
                <w:sz w:val="20"/>
                <w:szCs w:val="20"/>
              </w:rPr>
            </m:ctrlPr>
          </m:sSubPr>
          <m:e>
            <m:r>
              <m:rPr>
                <m:sty m:val="p"/>
              </m:rPr>
              <w:rPr>
                <w:rFonts w:ascii="Cambria Math" w:hAnsi="Cambria Math" w:cs="Times New Roman"/>
                <w:sz w:val="20"/>
                <w:szCs w:val="20"/>
              </w:rPr>
              <m:t>( 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2</m:t>
                </m:r>
              </m:sub>
            </m:sSub>
            <m:r>
              <m:rPr>
                <m:sty m:val="p"/>
              </m:rPr>
              <w:rPr>
                <w:rFonts w:ascii="Cambria Math" w:hAnsi="Cambria Math" w:cs="Times New Roman"/>
                <w:sz w:val="20"/>
                <w:szCs w:val="20"/>
              </w:rPr>
              <m:t>S</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3</m:t>
                </m:r>
              </m:sub>
            </m:sSub>
            <m:r>
              <m:rPr>
                <m:sty m:val="p"/>
              </m:rPr>
              <w:rPr>
                <w:rFonts w:ascii="Cambria Math" w:hAnsi="Cambria Math" w:cs="Times New Roman"/>
                <w:sz w:val="20"/>
                <w:szCs w:val="20"/>
              </w:rPr>
              <m:t>N</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+γZ+</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s</m:t>
            </m:r>
          </m:sub>
        </m:sSub>
        <m:r>
          <m:rPr>
            <m:sty m:val="p"/>
          </m:rPr>
          <w:rPr>
            <w:rFonts w:ascii="Cambria Math" w:hAnsi="Cambria Math" w:cs="Times New Roman"/>
            <w:sz w:val="20"/>
            <w:szCs w:val="20"/>
          </w:rPr>
          <m:t xml:space="preserve">) </m:t>
        </m:r>
      </m:oMath>
      <w:r w:rsidRPr="00617675">
        <w:rPr>
          <w:rFonts w:ascii="Times New Roman" w:eastAsiaTheme="minorEastAsia" w:hAnsi="Times New Roman" w:cs="Times New Roman"/>
          <w:sz w:val="20"/>
          <w:szCs w:val="20"/>
        </w:rPr>
        <w:tab/>
      </w:r>
      <w:r w:rsidRPr="00617675">
        <w:rPr>
          <w:rFonts w:ascii="Times New Roman" w:eastAsiaTheme="minorEastAsia" w:hAnsi="Times New Roman" w:cs="Times New Roman"/>
          <w:sz w:val="20"/>
          <w:szCs w:val="20"/>
        </w:rPr>
        <w:tab/>
      </w:r>
      <w:r w:rsidRPr="00617675">
        <w:rPr>
          <w:rFonts w:ascii="Times New Roman" w:eastAsiaTheme="minorEastAsia" w:hAnsi="Times New Roman" w:cs="Times New Roman"/>
          <w:sz w:val="20"/>
          <w:szCs w:val="20"/>
        </w:rPr>
        <w:tab/>
      </w:r>
      <w:r w:rsidRPr="00617675">
        <w:rPr>
          <w:rFonts w:ascii="Times New Roman" w:eastAsiaTheme="minorEastAsia" w:hAnsi="Times New Roman" w:cs="Times New Roman"/>
          <w:sz w:val="20"/>
          <w:szCs w:val="20"/>
        </w:rPr>
        <w:tab/>
      </w:r>
      <w:r w:rsidRPr="00617675">
        <w:rPr>
          <w:rFonts w:ascii="Times New Roman" w:eastAsiaTheme="minorEastAsia" w:hAnsi="Times New Roman" w:cs="Times New Roman"/>
          <w:sz w:val="20"/>
          <w:szCs w:val="20"/>
        </w:rPr>
        <w:tab/>
        <w:t xml:space="preserve">      (2.1)</w:t>
      </w:r>
    </w:p>
    <w:p w14:paraId="54B2279A" w14:textId="0929EDD7" w:rsidR="00617675" w:rsidRPr="00617675" w:rsidRDefault="00617675" w:rsidP="00617675">
      <w:pPr>
        <w:spacing w:line="480" w:lineRule="auto"/>
        <w:rPr>
          <w:rFonts w:ascii="Times New Roman"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pr(Y</m:t>
            </m:r>
          </m:e>
          <m:sub>
            <m:r>
              <m:rPr>
                <m:sty m:val="p"/>
              </m:rPr>
              <w:rPr>
                <w:rFonts w:ascii="Cambria Math" w:hAnsi="Cambria Math" w:cs="Times New Roman"/>
                <w:sz w:val="20"/>
                <w:szCs w:val="20"/>
              </w:rPr>
              <m:t>npi</m:t>
            </m:r>
          </m:sub>
        </m:sSub>
        <m:r>
          <m:rPr>
            <m:sty m:val="p"/>
          </m:rPr>
          <w:rPr>
            <w:rFonts w:ascii="Cambria Math" w:hAnsi="Cambria Math" w:cs="Times New Roman"/>
            <w:sz w:val="20"/>
            <w:szCs w:val="20"/>
          </w:rPr>
          <m:t>&gt;0)=Λ(</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2</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3</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N</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4</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5</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6</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 xml:space="preserve">+γZ+ </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s</m:t>
            </m:r>
          </m:sub>
        </m:sSub>
        <m:r>
          <m:rPr>
            <m:sty m:val="p"/>
          </m:rPr>
          <w:rPr>
            <w:rFonts w:ascii="Cambria Math" w:hAnsi="Cambria Math" w:cs="Times New Roman"/>
            <w:sz w:val="20"/>
            <w:szCs w:val="20"/>
          </w:rPr>
          <m:t>)</m:t>
        </m:r>
      </m:oMath>
      <w:r w:rsidRPr="00617675">
        <w:rPr>
          <w:rFonts w:ascii="Times New Roman" w:eastAsiaTheme="minorEastAsia" w:hAnsi="Times New Roman" w:cs="Times New Roman"/>
          <w:sz w:val="20"/>
          <w:szCs w:val="20"/>
        </w:rPr>
        <w:t xml:space="preserve">         (2.2)</w:t>
      </w:r>
    </w:p>
    <w:p w14:paraId="51A6249F" w14:textId="69E4EBAF" w:rsidR="00617675" w:rsidRPr="00617675" w:rsidRDefault="00617675" w:rsidP="00617675">
      <w:pPr>
        <w:spacing w:line="480" w:lineRule="auto"/>
        <w:rPr>
          <w:rFonts w:ascii="Times New Roman" w:eastAsiaTheme="minorEastAsia"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pr(Y</m:t>
            </m:r>
          </m:e>
          <m:sub>
            <m:r>
              <m:rPr>
                <m:sty m:val="p"/>
              </m:rPr>
              <w:rPr>
                <w:rFonts w:ascii="Cambria Math" w:hAnsi="Cambria Math" w:cs="Times New Roman"/>
                <w:sz w:val="20"/>
                <w:szCs w:val="20"/>
              </w:rPr>
              <m:t>npi</m:t>
            </m:r>
          </m:sub>
        </m:sSub>
        <m:r>
          <m:rPr>
            <m:sty m:val="p"/>
          </m:rPr>
          <w:rPr>
            <w:rFonts w:ascii="Cambria Math" w:hAnsi="Cambria Math" w:cs="Times New Roman"/>
            <w:sz w:val="20"/>
            <w:szCs w:val="20"/>
          </w:rPr>
          <m:t xml:space="preserve">&gt;0 | </m:t>
        </m:r>
        <m:sSub>
          <m:sSubPr>
            <m:ctrlPr>
              <w:rPr>
                <w:rFonts w:ascii="Cambria Math" w:hAnsi="Cambria Math" w:cs="Times New Roman"/>
                <w:sz w:val="20"/>
                <w:szCs w:val="20"/>
              </w:rPr>
            </m:ctrlPr>
          </m:sSubPr>
          <m:e>
            <m:r>
              <m:rPr>
                <m:sty m:val="p"/>
              </m:rPr>
              <w:rPr>
                <w:rFonts w:ascii="Cambria Math" w:hAnsi="Cambria Math" w:cs="Times New Roman"/>
                <w:sz w:val="20"/>
                <w:szCs w:val="20"/>
              </w:rPr>
              <m:t>N</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=1)=</m:t>
        </m:r>
        <m:sSub>
          <m:sSubPr>
            <m:ctrlPr>
              <w:rPr>
                <w:rFonts w:ascii="Cambria Math" w:hAnsi="Cambria Math" w:cs="Times New Roman"/>
                <w:sz w:val="20"/>
                <w:szCs w:val="20"/>
              </w:rPr>
            </m:ctrlPr>
          </m:sSubPr>
          <m:e>
            <m:r>
              <m:rPr>
                <m:sty m:val="p"/>
              </m:rPr>
              <w:rPr>
                <w:rFonts w:ascii="Cambria Math" w:hAnsi="Cambria Math" w:cs="Times New Roman"/>
                <w:sz w:val="20"/>
                <w:szCs w:val="20"/>
              </w:rPr>
              <m:t>Λ(β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N</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2</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3</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practic</m:t>
            </m:r>
          </m:sub>
        </m:sSub>
        <m:r>
          <m:rPr>
            <m:sty m:val="p"/>
          </m:rPr>
          <w:rPr>
            <w:rFonts w:ascii="Cambria Math" w:hAnsi="Cambria Math" w:cs="Times New Roman"/>
            <w:sz w:val="20"/>
            <w:szCs w:val="20"/>
          </w:rPr>
          <m:t xml:space="preserve">+  γZ+ </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s</m:t>
            </m:r>
          </m:sub>
        </m:sSub>
      </m:oMath>
      <w:r w:rsidRPr="00617675">
        <w:rPr>
          <w:rFonts w:ascii="Times New Roman" w:eastAsiaTheme="minorEastAsia" w:hAnsi="Times New Roman" w:cs="Times New Roman"/>
          <w:sz w:val="20"/>
          <w:szCs w:val="20"/>
        </w:rPr>
        <w:t>)</w:t>
      </w:r>
      <w:r w:rsidRPr="00617675">
        <w:rPr>
          <w:rFonts w:ascii="Times New Roman" w:eastAsiaTheme="minorEastAsia" w:hAnsi="Times New Roman" w:cs="Times New Roman"/>
          <w:sz w:val="20"/>
          <w:szCs w:val="20"/>
        </w:rPr>
        <w:tab/>
      </w:r>
      <w:r w:rsidRPr="00617675">
        <w:rPr>
          <w:rFonts w:ascii="Times New Roman" w:eastAsiaTheme="minorEastAsia" w:hAnsi="Times New Roman" w:cs="Times New Roman"/>
          <w:sz w:val="20"/>
          <w:szCs w:val="20"/>
        </w:rPr>
        <w:tab/>
      </w:r>
      <w:r w:rsidRPr="00617675">
        <w:rPr>
          <w:rFonts w:ascii="Times New Roman" w:eastAsiaTheme="minorEastAsia" w:hAnsi="Times New Roman" w:cs="Times New Roman"/>
          <w:sz w:val="20"/>
          <w:szCs w:val="20"/>
        </w:rPr>
        <w:tab/>
        <w:t xml:space="preserve">   </w:t>
      </w:r>
      <w:proofErr w:type="gramStart"/>
      <w:r w:rsidRPr="00617675">
        <w:rPr>
          <w:rFonts w:ascii="Times New Roman" w:eastAsiaTheme="minorEastAsia" w:hAnsi="Times New Roman" w:cs="Times New Roman"/>
          <w:sz w:val="20"/>
          <w:szCs w:val="20"/>
        </w:rPr>
        <w:t xml:space="preserve">   (</w:t>
      </w:r>
      <w:proofErr w:type="gramEnd"/>
      <w:r w:rsidRPr="00617675">
        <w:rPr>
          <w:rFonts w:ascii="Times New Roman" w:eastAsiaTheme="minorEastAsia" w:hAnsi="Times New Roman" w:cs="Times New Roman"/>
          <w:sz w:val="20"/>
          <w:szCs w:val="20"/>
        </w:rPr>
        <w:t>2.3)</w:t>
      </w:r>
    </w:p>
    <w:p w14:paraId="6DD7D441" w14:textId="77777777" w:rsidR="00617675" w:rsidRPr="00617675" w:rsidRDefault="00617675" w:rsidP="00617675">
      <w:pPr>
        <w:pStyle w:val="Heading4"/>
        <w:rPr>
          <w:rStyle w:val="Emphasis"/>
          <w:rFonts w:ascii="Times New Roman" w:hAnsi="Times New Roman" w:cs="Times New Roman"/>
          <w:color w:val="333333"/>
          <w:sz w:val="24"/>
          <w:szCs w:val="24"/>
          <w:shd w:val="clear" w:color="auto" w:fill="FFFFFF"/>
        </w:rPr>
      </w:pPr>
      <w:r w:rsidRPr="00617675">
        <w:rPr>
          <w:rStyle w:val="Emphasis"/>
          <w:rFonts w:ascii="Times New Roman" w:hAnsi="Times New Roman" w:cs="Times New Roman"/>
          <w:color w:val="333333"/>
          <w:sz w:val="24"/>
          <w:szCs w:val="24"/>
          <w:shd w:val="clear" w:color="auto" w:fill="FFFFFF"/>
        </w:rPr>
        <w:t>Second Part</w:t>
      </w:r>
    </w:p>
    <w:p w14:paraId="0BF6C26B" w14:textId="77777777" w:rsidR="00617675" w:rsidRPr="00617675" w:rsidRDefault="00617675" w:rsidP="00617675">
      <w:pPr>
        <w:rPr>
          <w:rStyle w:val="Emphasis"/>
          <w:rFonts w:ascii="Times New Roman" w:hAnsi="Times New Roman" w:cs="Times New Roman"/>
          <w:i w:val="0"/>
          <w:iCs w:val="0"/>
          <w:color w:val="333333"/>
          <w:sz w:val="24"/>
          <w:szCs w:val="24"/>
          <w:shd w:val="clear" w:color="auto" w:fill="FFFFFF"/>
        </w:rPr>
      </w:pPr>
      <w:r w:rsidRPr="00617675">
        <w:rPr>
          <w:rStyle w:val="Emphasis"/>
          <w:rFonts w:ascii="Times New Roman" w:hAnsi="Times New Roman" w:cs="Times New Roman"/>
          <w:i w:val="0"/>
          <w:iCs w:val="0"/>
          <w:color w:val="333333"/>
          <w:sz w:val="24"/>
          <w:szCs w:val="24"/>
          <w:shd w:val="clear" w:color="auto" w:fill="FFFFFF"/>
        </w:rPr>
        <w:t>The second part of the model is an OLS regression with a logged dependent variable</w:t>
      </w:r>
    </w:p>
    <w:p w14:paraId="148D3FA4" w14:textId="1E05D39C" w:rsidR="00617675" w:rsidRPr="00617675" w:rsidRDefault="00617675" w:rsidP="00617675">
      <w:pPr>
        <w:spacing w:line="480" w:lineRule="auto"/>
        <w:rPr>
          <w:rFonts w:ascii="Times New Roman" w:hAnsi="Times New Roman" w:cs="Times New Roman"/>
          <w:sz w:val="20"/>
          <w:szCs w:val="20"/>
        </w:rPr>
      </w:pPr>
      <m:oMath>
        <m:r>
          <m:rPr>
            <m:sty m:val="p"/>
          </m:rPr>
          <w:rPr>
            <w:rFonts w:ascii="Cambria Math" w:hAnsi="Cambria Math" w:cs="Times New Roman"/>
            <w:sz w:val="20"/>
            <w:szCs w:val="20"/>
          </w:rPr>
          <m:t>ln(</m:t>
        </m:r>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npi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2</m:t>
                </m:r>
              </m:sub>
            </m:sSub>
            <m:r>
              <m:rPr>
                <m:sty m:val="p"/>
              </m:rPr>
              <w:rPr>
                <w:rFonts w:ascii="Cambria Math" w:hAnsi="Cambria Math" w:cs="Times New Roman"/>
                <w:sz w:val="20"/>
                <w:szCs w:val="20"/>
              </w:rPr>
              <m:t>S</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3</m:t>
                </m:r>
              </m:sub>
            </m:sSub>
            <m:r>
              <m:rPr>
                <m:sty m:val="p"/>
              </m:rPr>
              <w:rPr>
                <w:rFonts w:ascii="Cambria Math" w:hAnsi="Cambria Math" w:cs="Times New Roman"/>
                <w:sz w:val="20"/>
                <w:szCs w:val="20"/>
              </w:rPr>
              <m:t>N</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+γZ+</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s</m:t>
            </m:r>
          </m:sub>
        </m:sSub>
      </m:oMath>
      <w:r w:rsidRPr="00617675">
        <w:rPr>
          <w:rFonts w:ascii="Times New Roman" w:hAnsi="Times New Roman" w:cs="Times New Roman"/>
          <w:sz w:val="20"/>
          <w:szCs w:val="20"/>
        </w:rPr>
        <w:t xml:space="preserve"> </w:t>
      </w:r>
      <w:r w:rsidRPr="00617675">
        <w:rPr>
          <w:rFonts w:ascii="Times New Roman" w:hAnsi="Times New Roman" w:cs="Times New Roman"/>
          <w:sz w:val="20"/>
          <w:szCs w:val="20"/>
        </w:rPr>
        <w:tab/>
      </w:r>
      <w:r w:rsidRPr="00617675">
        <w:rPr>
          <w:rFonts w:ascii="Times New Roman" w:hAnsi="Times New Roman" w:cs="Times New Roman"/>
          <w:sz w:val="20"/>
          <w:szCs w:val="20"/>
        </w:rPr>
        <w:tab/>
      </w:r>
      <w:r w:rsidRPr="00617675">
        <w:rPr>
          <w:rFonts w:ascii="Times New Roman" w:hAnsi="Times New Roman" w:cs="Times New Roman"/>
          <w:sz w:val="20"/>
          <w:szCs w:val="20"/>
        </w:rPr>
        <w:tab/>
      </w:r>
      <w:r w:rsidRPr="00617675">
        <w:rPr>
          <w:rFonts w:ascii="Times New Roman" w:hAnsi="Times New Roman" w:cs="Times New Roman"/>
          <w:sz w:val="20"/>
          <w:szCs w:val="20"/>
        </w:rPr>
        <w:tab/>
      </w:r>
      <w:r w:rsidRPr="00617675">
        <w:rPr>
          <w:rFonts w:ascii="Times New Roman" w:hAnsi="Times New Roman" w:cs="Times New Roman"/>
          <w:sz w:val="20"/>
          <w:szCs w:val="20"/>
        </w:rPr>
        <w:tab/>
      </w:r>
      <w:r w:rsidRPr="00617675">
        <w:rPr>
          <w:rFonts w:ascii="Times New Roman" w:hAnsi="Times New Roman" w:cs="Times New Roman"/>
          <w:sz w:val="20"/>
          <w:szCs w:val="20"/>
        </w:rPr>
        <w:tab/>
        <w:t xml:space="preserve">      (3.1)</w:t>
      </w:r>
    </w:p>
    <w:p w14:paraId="09CF35F9" w14:textId="7E506D3B" w:rsidR="00617675" w:rsidRPr="00617675" w:rsidRDefault="00617675" w:rsidP="00617675">
      <w:pPr>
        <w:spacing w:line="480" w:lineRule="auto"/>
        <w:rPr>
          <w:rFonts w:ascii="Times New Roman" w:hAnsi="Times New Roman" w:cs="Times New Roman"/>
          <w:sz w:val="20"/>
          <w:szCs w:val="20"/>
        </w:rPr>
      </w:pPr>
      <m:oMath>
        <m:r>
          <m:rPr>
            <m:sty m:val="p"/>
          </m:rPr>
          <w:rPr>
            <w:rFonts w:ascii="Cambria Math" w:hAnsi="Cambria Math" w:cs="Times New Roman"/>
            <w:sz w:val="20"/>
            <w:szCs w:val="20"/>
          </w:rPr>
          <m:t>ln(</m:t>
        </m:r>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npi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2</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3</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N</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4</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5</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6</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 xml:space="preserve">+γZ+ </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s</m:t>
            </m:r>
          </m:sub>
        </m:sSub>
      </m:oMath>
      <w:r w:rsidRPr="00617675">
        <w:rPr>
          <w:rFonts w:ascii="Times New Roman" w:eastAsiaTheme="minorEastAsia" w:hAnsi="Times New Roman" w:cs="Times New Roman"/>
          <w:sz w:val="20"/>
          <w:szCs w:val="20"/>
        </w:rPr>
        <w:t xml:space="preserve"> </w:t>
      </w:r>
      <w:r w:rsidRPr="00617675">
        <w:rPr>
          <w:rFonts w:ascii="Times New Roman" w:eastAsiaTheme="minorEastAsia" w:hAnsi="Times New Roman" w:cs="Times New Roman"/>
          <w:sz w:val="20"/>
          <w:szCs w:val="20"/>
        </w:rPr>
        <w:tab/>
      </w:r>
      <w:r w:rsidRPr="00617675">
        <w:rPr>
          <w:rFonts w:ascii="Times New Roman" w:eastAsiaTheme="minorEastAsia" w:hAnsi="Times New Roman" w:cs="Times New Roman"/>
          <w:sz w:val="20"/>
          <w:szCs w:val="20"/>
        </w:rPr>
        <w:tab/>
        <w:t xml:space="preserve">      (3.2)</w:t>
      </w:r>
    </w:p>
    <w:p w14:paraId="6D563831" w14:textId="545F5A53" w:rsidR="00617675" w:rsidRPr="00617675" w:rsidRDefault="00617675" w:rsidP="00617675">
      <w:pPr>
        <w:spacing w:line="480" w:lineRule="auto"/>
        <w:rPr>
          <w:rFonts w:ascii="Times New Roman"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ln(Y</m:t>
            </m:r>
          </m:e>
          <m:sub>
            <m:r>
              <m:rPr>
                <m:sty m:val="p"/>
              </m:rPr>
              <w:rPr>
                <w:rFonts w:ascii="Cambria Math" w:hAnsi="Cambria Math" w:cs="Times New Roman"/>
                <w:sz w:val="20"/>
                <w:szCs w:val="20"/>
              </w:rPr>
              <m:t>npi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N</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=1 )=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N</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2</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3</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practic</m:t>
            </m:r>
          </m:sub>
        </m:sSub>
        <m:r>
          <m:rPr>
            <m:sty m:val="p"/>
          </m:rPr>
          <w:rPr>
            <w:rFonts w:ascii="Cambria Math" w:hAnsi="Cambria Math" w:cs="Times New Roman"/>
            <w:sz w:val="20"/>
            <w:szCs w:val="20"/>
          </w:rPr>
          <m:t xml:space="preserve">+  γZ+ </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s</m:t>
            </m:r>
          </m:sub>
        </m:sSub>
      </m:oMath>
      <w:r w:rsidRPr="00617675">
        <w:rPr>
          <w:rFonts w:ascii="Times New Roman" w:eastAsiaTheme="minorEastAsia" w:hAnsi="Times New Roman" w:cs="Times New Roman"/>
          <w:sz w:val="20"/>
          <w:szCs w:val="20"/>
        </w:rPr>
        <w:t xml:space="preserve"> </w:t>
      </w:r>
      <w:r w:rsidRPr="00617675">
        <w:rPr>
          <w:rFonts w:ascii="Times New Roman" w:eastAsiaTheme="minorEastAsia" w:hAnsi="Times New Roman" w:cs="Times New Roman"/>
          <w:sz w:val="20"/>
          <w:szCs w:val="20"/>
        </w:rPr>
        <w:tab/>
      </w:r>
      <w:r w:rsidRPr="00617675">
        <w:rPr>
          <w:rFonts w:ascii="Times New Roman" w:eastAsiaTheme="minorEastAsia" w:hAnsi="Times New Roman" w:cs="Times New Roman"/>
          <w:sz w:val="20"/>
          <w:szCs w:val="20"/>
        </w:rPr>
        <w:tab/>
      </w:r>
      <w:r w:rsidRPr="00617675">
        <w:rPr>
          <w:rFonts w:ascii="Times New Roman" w:eastAsiaTheme="minorEastAsia" w:hAnsi="Times New Roman" w:cs="Times New Roman"/>
          <w:sz w:val="20"/>
          <w:szCs w:val="20"/>
        </w:rPr>
        <w:tab/>
      </w:r>
      <w:r w:rsidRPr="00617675">
        <w:rPr>
          <w:rFonts w:ascii="Times New Roman" w:eastAsiaTheme="minorEastAsia" w:hAnsi="Times New Roman" w:cs="Times New Roman"/>
          <w:sz w:val="20"/>
          <w:szCs w:val="20"/>
        </w:rPr>
        <w:tab/>
        <w:t xml:space="preserve">      (3.3)</w:t>
      </w:r>
    </w:p>
    <w:p w14:paraId="1FB6AC7C" w14:textId="77777777" w:rsidR="00617675" w:rsidRPr="00617675" w:rsidRDefault="00617675" w:rsidP="00617675">
      <w:pPr>
        <w:pStyle w:val="Heading4"/>
        <w:rPr>
          <w:rStyle w:val="Emphasis"/>
          <w:rFonts w:ascii="Times New Roman" w:hAnsi="Times New Roman" w:cs="Times New Roman"/>
          <w:color w:val="333333"/>
          <w:sz w:val="24"/>
          <w:szCs w:val="24"/>
          <w:shd w:val="clear" w:color="auto" w:fill="FFFFFF"/>
        </w:rPr>
      </w:pPr>
      <w:r w:rsidRPr="00617675">
        <w:rPr>
          <w:rStyle w:val="Emphasis"/>
          <w:rFonts w:ascii="Times New Roman" w:hAnsi="Times New Roman" w:cs="Times New Roman"/>
          <w:color w:val="333333"/>
          <w:sz w:val="24"/>
          <w:szCs w:val="24"/>
          <w:shd w:val="clear" w:color="auto" w:fill="FFFFFF"/>
        </w:rPr>
        <w:t>Complete Model</w:t>
      </w:r>
    </w:p>
    <w:p w14:paraId="3E03CE1D" w14:textId="77777777" w:rsidR="00617675" w:rsidRPr="00617675" w:rsidRDefault="00617675" w:rsidP="00617675">
      <w:pPr>
        <w:spacing w:line="480" w:lineRule="auto"/>
        <w:rPr>
          <w:rFonts w:ascii="Times New Roman" w:hAnsi="Times New Roman" w:cs="Times New Roman"/>
          <w:sz w:val="24"/>
          <w:szCs w:val="24"/>
        </w:rPr>
      </w:pPr>
      <w:r w:rsidRPr="00617675">
        <w:rPr>
          <w:rFonts w:ascii="Times New Roman" w:hAnsi="Times New Roman" w:cs="Times New Roman"/>
          <w:sz w:val="24"/>
          <w:szCs w:val="24"/>
        </w:rPr>
        <w:t>The full two-part model is calculated using the predicted probability from the first part and used to estimate the conditional mean to the second part:</w:t>
      </w:r>
    </w:p>
    <w:p w14:paraId="330709CD" w14:textId="1766B56B" w:rsidR="00617675" w:rsidRPr="00617675" w:rsidRDefault="00617675" w:rsidP="00617675">
      <w:pPr>
        <w:spacing w:line="480" w:lineRule="auto"/>
        <w:jc w:val="right"/>
        <w:rPr>
          <w:rFonts w:ascii="Times New Roman" w:hAnsi="Times New Roman" w:cs="Times New Roman"/>
          <w:sz w:val="24"/>
          <w:szCs w:val="24"/>
        </w:rPr>
      </w:pPr>
      <m:oMath>
        <m:r>
          <m:rPr>
            <m:sty m:val="p"/>
          </m:rPr>
          <w:rPr>
            <w:rFonts w:ascii="Cambria Math" w:eastAsia="Times New Roman" w:hAnsi="Cambria Math" w:cs="Times New Roman"/>
            <w:sz w:val="24"/>
            <w:szCs w:val="24"/>
          </w:rPr>
          <m:t>ϕ</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y</m:t>
            </m:r>
          </m:e>
        </m:d>
        <m:r>
          <m:rPr>
            <m:sty m:val="p"/>
          </m:rPr>
          <w:rPr>
            <w:rFonts w:ascii="Cambria Math" w:eastAsia="Times New Roman" w:hAnsi="Cambria Math" w:cs="Times New Roman"/>
            <w:sz w:val="24"/>
            <w:szCs w:val="24"/>
          </w:rPr>
          <m:t>=</m:t>
        </m:r>
        <m:d>
          <m:dPr>
            <m:begChr m:val="{"/>
            <m:endChr m:val="}"/>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1-F</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xδ</m:t>
                </m:r>
              </m:e>
            </m:d>
          </m:e>
        </m:d>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xδ</m:t>
            </m:r>
          </m:e>
          <m:sup>
            <m:r>
              <m:rPr>
                <m:sty m:val="p"/>
              </m:rPr>
              <w:rPr>
                <w:rFonts w:ascii="Cambria Math" w:eastAsia="Times New Roman" w:hAnsi="Cambria Math" w:cs="Times New Roman"/>
                <w:sz w:val="24"/>
                <w:szCs w:val="24"/>
              </w:rPr>
              <m:t>i</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i=0</m:t>
                </m:r>
              </m:e>
            </m:d>
          </m:sup>
        </m:sSup>
        <m:r>
          <m:rPr>
            <m:sty m:val="p"/>
          </m:rP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{F</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xδ</m:t>
                </m:r>
              </m:e>
            </m:d>
            <m:r>
              <m:rPr>
                <m:sty m:val="p"/>
              </m:rPr>
              <w:rPr>
                <w:rFonts w:ascii="Cambria Math" w:eastAsia="Times New Roman" w:hAnsi="Cambria Math" w:cs="Times New Roman"/>
                <w:sz w:val="24"/>
                <w:szCs w:val="24"/>
              </w:rPr>
              <m:t>g</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xγ</m:t>
                </m:r>
              </m:e>
            </m:d>
            <m:r>
              <m:rPr>
                <m:sty m:val="p"/>
              </m:rPr>
              <w:rPr>
                <w:rFonts w:ascii="Cambria Math" w:eastAsia="Times New Roman" w:hAnsi="Cambria Math" w:cs="Times New Roman"/>
                <w:sz w:val="24"/>
                <w:szCs w:val="24"/>
              </w:rPr>
              <m:t>}</m:t>
            </m:r>
          </m:e>
          <m:sup>
            <m:r>
              <m:rPr>
                <m:sty m:val="p"/>
              </m:rPr>
              <w:rPr>
                <w:rFonts w:ascii="Cambria Math" w:eastAsia="Times New Roman" w:hAnsi="Cambria Math" w:cs="Times New Roman"/>
                <w:sz w:val="24"/>
                <w:szCs w:val="24"/>
              </w:rPr>
              <m:t>i(y&gt;0)</m:t>
            </m:r>
          </m:sup>
        </m:sSup>
      </m:oMath>
      <w:r w:rsidRPr="00617675">
        <w:rPr>
          <w:rFonts w:ascii="Times New Roman" w:eastAsiaTheme="minorEastAsia" w:hAnsi="Times New Roman" w:cs="Times New Roman"/>
          <w:sz w:val="24"/>
          <w:szCs w:val="24"/>
        </w:rPr>
        <w:t xml:space="preserve"> </w:t>
      </w:r>
      <w:r w:rsidRPr="00617675">
        <w:rPr>
          <w:rFonts w:ascii="Times New Roman" w:eastAsiaTheme="minorEastAsia" w:hAnsi="Times New Roman" w:cs="Times New Roman"/>
          <w:sz w:val="24"/>
          <w:szCs w:val="24"/>
        </w:rPr>
        <w:tab/>
      </w:r>
      <w:r w:rsidRPr="00617675">
        <w:rPr>
          <w:rFonts w:ascii="Times New Roman" w:eastAsiaTheme="minorEastAsia" w:hAnsi="Times New Roman" w:cs="Times New Roman"/>
          <w:sz w:val="24"/>
          <w:szCs w:val="24"/>
        </w:rPr>
        <w:tab/>
      </w:r>
      <w:r w:rsidRPr="00617675">
        <w:rPr>
          <w:rFonts w:ascii="Times New Roman" w:eastAsiaTheme="minorEastAsia" w:hAnsi="Times New Roman" w:cs="Times New Roman"/>
          <w:sz w:val="24"/>
          <w:szCs w:val="24"/>
        </w:rPr>
        <w:tab/>
      </w:r>
      <w:r w:rsidRPr="00617675">
        <w:rPr>
          <w:rFonts w:ascii="Times New Roman" w:eastAsiaTheme="minorEastAsia" w:hAnsi="Times New Roman" w:cs="Times New Roman"/>
          <w:sz w:val="24"/>
          <w:szCs w:val="24"/>
        </w:rPr>
        <w:tab/>
      </w:r>
      <w:r w:rsidRPr="00617675">
        <w:rPr>
          <w:rFonts w:ascii="Times New Roman" w:eastAsiaTheme="minorEastAsia" w:hAnsi="Times New Roman" w:cs="Times New Roman"/>
          <w:sz w:val="24"/>
          <w:szCs w:val="24"/>
        </w:rPr>
        <w:tab/>
        <w:t xml:space="preserve">  (4)</w:t>
      </w:r>
    </w:p>
    <w:p w14:paraId="300FBA17" w14:textId="77777777" w:rsidR="00617675" w:rsidRPr="00617675" w:rsidRDefault="00617675" w:rsidP="00617675">
      <w:pPr>
        <w:spacing w:line="480" w:lineRule="auto"/>
        <w:rPr>
          <w:rStyle w:val="Emphasis"/>
          <w:rFonts w:ascii="Times New Roman" w:eastAsia="Times New Roman" w:hAnsi="Times New Roman" w:cs="Times New Roman"/>
          <w:i w:val="0"/>
          <w:iCs w:val="0"/>
          <w:sz w:val="24"/>
          <w:szCs w:val="24"/>
        </w:rPr>
      </w:pPr>
      <w:r w:rsidRPr="00617675">
        <w:rPr>
          <w:rFonts w:ascii="Times New Roman" w:eastAsia="Times New Roman" w:hAnsi="Times New Roman" w:cs="Times New Roman"/>
          <w:sz w:val="24"/>
          <w:szCs w:val="24"/>
        </w:rPr>
        <w:t xml:space="preserve">When calculating the margins of the output, we transform the regressors from the log to raw value, using a </w:t>
      </w:r>
      <w:proofErr w:type="spellStart"/>
      <w:r w:rsidRPr="00617675">
        <w:rPr>
          <w:rFonts w:ascii="Times New Roman" w:eastAsia="Times New Roman" w:hAnsi="Times New Roman" w:cs="Times New Roman"/>
          <w:sz w:val="24"/>
          <w:szCs w:val="24"/>
        </w:rPr>
        <w:t>Duan</w:t>
      </w:r>
      <w:proofErr w:type="spellEnd"/>
      <w:r w:rsidRPr="00617675">
        <w:rPr>
          <w:rFonts w:ascii="Times New Roman" w:eastAsia="Times New Roman" w:hAnsi="Times New Roman" w:cs="Times New Roman"/>
          <w:sz w:val="24"/>
          <w:szCs w:val="24"/>
        </w:rPr>
        <w:t xml:space="preserve"> smearing transformation </w:t>
      </w:r>
      <w:sdt>
        <w:sdtPr>
          <w:rPr>
            <w:rFonts w:ascii="Times New Roman" w:eastAsia="Times New Roman" w:hAnsi="Times New Roman" w:cs="Times New Roman"/>
            <w:sz w:val="24"/>
            <w:szCs w:val="24"/>
          </w:rPr>
          <w:id w:val="1798946479"/>
          <w:citation/>
        </w:sdtPr>
        <w:sdtContent>
          <w:r w:rsidRPr="00617675">
            <w:rPr>
              <w:rFonts w:ascii="Times New Roman" w:eastAsia="Times New Roman" w:hAnsi="Times New Roman" w:cs="Times New Roman"/>
              <w:sz w:val="24"/>
              <w:szCs w:val="24"/>
            </w:rPr>
            <w:fldChar w:fldCharType="begin"/>
          </w:r>
          <w:r w:rsidRPr="00617675">
            <w:rPr>
              <w:rFonts w:ascii="Times New Roman" w:eastAsia="Times New Roman" w:hAnsi="Times New Roman" w:cs="Times New Roman"/>
              <w:sz w:val="24"/>
              <w:szCs w:val="24"/>
            </w:rPr>
            <w:instrText xml:space="preserve"> CITATION Nai84 \l 1033 </w:instrText>
          </w:r>
          <w:r w:rsidRPr="00617675">
            <w:rPr>
              <w:rFonts w:ascii="Times New Roman" w:eastAsia="Times New Roman" w:hAnsi="Times New Roman" w:cs="Times New Roman"/>
              <w:sz w:val="24"/>
              <w:szCs w:val="24"/>
            </w:rPr>
            <w:fldChar w:fldCharType="separate"/>
          </w:r>
          <w:r w:rsidRPr="00617675">
            <w:rPr>
              <w:rFonts w:ascii="Times New Roman" w:eastAsia="Times New Roman" w:hAnsi="Times New Roman" w:cs="Times New Roman"/>
              <w:noProof/>
              <w:sz w:val="24"/>
              <w:szCs w:val="24"/>
            </w:rPr>
            <w:t>(Duan, 1984)</w:t>
          </w:r>
          <w:r w:rsidRPr="00617675">
            <w:rPr>
              <w:rFonts w:ascii="Times New Roman" w:eastAsia="Times New Roman" w:hAnsi="Times New Roman" w:cs="Times New Roman"/>
              <w:sz w:val="24"/>
              <w:szCs w:val="24"/>
            </w:rPr>
            <w:fldChar w:fldCharType="end"/>
          </w:r>
        </w:sdtContent>
      </w:sdt>
    </w:p>
    <w:p w14:paraId="6662DC2B" w14:textId="77777777" w:rsidR="00617675" w:rsidRPr="00617675" w:rsidRDefault="00617675" w:rsidP="00617675">
      <w:pPr>
        <w:pStyle w:val="Heading2"/>
        <w:rPr>
          <w:rStyle w:val="Emphasis"/>
          <w:i w:val="0"/>
          <w:iCs w:val="0"/>
          <w:color w:val="333333"/>
          <w:shd w:val="clear" w:color="auto" w:fill="FFFFFF"/>
        </w:rPr>
      </w:pPr>
      <w:r w:rsidRPr="00617675">
        <w:rPr>
          <w:rStyle w:val="Emphasis"/>
          <w:i w:val="0"/>
          <w:iCs w:val="0"/>
          <w:color w:val="333333"/>
          <w:shd w:val="clear" w:color="auto" w:fill="FFFFFF"/>
        </w:rPr>
        <w:t>Description of Model</w:t>
      </w:r>
    </w:p>
    <w:p w14:paraId="79A55953" w14:textId="77777777" w:rsidR="00617675" w:rsidRPr="00617675" w:rsidRDefault="00617675" w:rsidP="00617675">
      <w:pPr>
        <w:spacing w:line="480" w:lineRule="auto"/>
        <w:rPr>
          <w:rFonts w:ascii="Times New Roman" w:hAnsi="Times New Roman" w:cs="Times New Roman"/>
        </w:rPr>
      </w:pPr>
      <w:r w:rsidRPr="00617675">
        <w:rPr>
          <w:rFonts w:ascii="Times New Roman" w:hAnsi="Times New Roman" w:cs="Times New Roman"/>
        </w:rPr>
        <w:t xml:space="preserve">Before we can estimate the </w:t>
      </w:r>
      <w:proofErr w:type="gramStart"/>
      <w:r w:rsidRPr="00617675">
        <w:rPr>
          <w:rFonts w:ascii="Times New Roman" w:hAnsi="Times New Roman" w:cs="Times New Roman"/>
        </w:rPr>
        <w:t>impact</w:t>
      </w:r>
      <w:proofErr w:type="gramEnd"/>
      <w:r w:rsidRPr="00617675">
        <w:rPr>
          <w:rFonts w:ascii="Times New Roman" w:hAnsi="Times New Roman" w:cs="Times New Roman"/>
        </w:rPr>
        <w:t xml:space="preserve"> vertical integration has on specialty prescribing rates, we first need to develop a baseline equation that modeled the effect specialty without controlling for any type of integration. We use this baseline equation to compare changes in coefficients by specialty groups for all subsequent equations:</w:t>
      </w:r>
    </w:p>
    <w:p w14:paraId="5760C115" w14:textId="26D0E3D6" w:rsidR="00617675" w:rsidRPr="00617675" w:rsidRDefault="00617675" w:rsidP="00617675">
      <w:pPr>
        <w:spacing w:line="480" w:lineRule="auto"/>
        <w:rPr>
          <w:rStyle w:val="Emphasis"/>
          <w:rFonts w:ascii="Times New Roman" w:hAnsi="Times New Roman" w:cs="Times New Roman"/>
          <w:i w:val="0"/>
          <w:iCs w:val="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npi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2</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3</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N</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 xml:space="preserve">+ γZ+ </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s</m:t>
              </m:r>
            </m:sub>
          </m:sSub>
        </m:oMath>
      </m:oMathPara>
    </w:p>
    <w:p w14:paraId="35DC2D41" w14:textId="32C20462" w:rsidR="00617675" w:rsidRPr="00617675" w:rsidRDefault="00617675" w:rsidP="00617675">
      <w:pPr>
        <w:spacing w:before="240" w:line="480" w:lineRule="auto"/>
        <w:rPr>
          <w:rStyle w:val="Emphasis"/>
          <w:rFonts w:ascii="Times New Roman" w:hAnsi="Times New Roman" w:cs="Times New Roman"/>
          <w:i w:val="0"/>
          <w:iCs w:val="0"/>
          <w:color w:val="333333"/>
          <w:shd w:val="clear" w:color="auto" w:fill="FFFFFF"/>
        </w:rPr>
      </w:pPr>
      <w:r w:rsidRPr="00617675">
        <w:rPr>
          <w:rFonts w:ascii="Times New Roman" w:hAnsi="Times New Roman" w:cs="Times New Roman"/>
        </w:rPr>
        <w:t xml:space="preserve">where our dependent variable, Y, is a percentage of opioid prescriptions by provider. For our specialties, </w:t>
      </w:r>
      <w:r w:rsidRPr="00617675">
        <w:rPr>
          <w:rStyle w:val="Emphasis"/>
          <w:rFonts w:ascii="Times New Roman" w:hAnsi="Times New Roman" w:cs="Times New Roman"/>
          <w:i w:val="0"/>
          <w:iCs w:val="0"/>
          <w:color w:val="333333"/>
          <w:shd w:val="clear" w:color="auto" w:fill="FFFFFF"/>
        </w:rPr>
        <w:t xml:space="preserve">we use primary care as the reference category and compare the prescribing rates of pain management </w:t>
      </w:r>
      <w:r w:rsidRPr="00617675">
        <w:rPr>
          <w:rStyle w:val="Emphasis"/>
          <w:rFonts w:ascii="Times New Roman" w:hAnsi="Times New Roman" w:cs="Times New Roman"/>
          <w:i w:val="0"/>
          <w:iCs w:val="0"/>
          <w:color w:val="333333"/>
          <w:shd w:val="clear" w:color="auto" w:fill="FFFFFF"/>
        </w:rPr>
        <w:lastRenderedPageBreak/>
        <w:t xml:space="preserve">specialists (M), specialists (S), and nurse practitioners (N). All other control variables, including state indicator variables and county level characteristics are designed as Z. Lastly our error term is designated as </w:t>
      </w:r>
      <m:oMath>
        <m:r>
          <m:rPr>
            <m:sty m:val="p"/>
          </m:rPr>
          <w:rPr>
            <w:rStyle w:val="Emphasis"/>
            <w:rFonts w:ascii="Cambria Math" w:hAnsi="Cambria Math" w:cs="Times New Roman"/>
            <w:color w:val="333333"/>
            <w:shd w:val="clear" w:color="auto" w:fill="FFFFFF"/>
          </w:rPr>
          <m:t>δ</m:t>
        </m:r>
      </m:oMath>
    </w:p>
    <w:p w14:paraId="5AC0DC4C"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 xml:space="preserve">We find with high significance that primary care specialties have the lowest likelihood of prescribing an opioid followed by nurse practitioners, specialists, and then pain management specialists, these findings match those of previous literature </w:t>
      </w:r>
      <w:r w:rsidRPr="00617675">
        <w:rPr>
          <w:rStyle w:val="Emphasis"/>
          <w:rFonts w:ascii="Times New Roman" w:hAnsi="Times New Roman" w:cs="Times New Roman"/>
          <w:b/>
          <w:bCs/>
          <w:i w:val="0"/>
          <w:iCs w:val="0"/>
          <w:color w:val="333333"/>
          <w:shd w:val="clear" w:color="auto" w:fill="FFFFFF"/>
        </w:rPr>
        <w:fldChar w:fldCharType="begin" w:fldLock="1"/>
      </w:r>
      <w:r w:rsidRPr="00617675">
        <w:rPr>
          <w:rStyle w:val="Emphasis"/>
          <w:rFonts w:ascii="Times New Roman" w:hAnsi="Times New Roman" w:cs="Times New Roman"/>
          <w:b/>
          <w:bCs/>
          <w:i w:val="0"/>
          <w:iCs w:val="0"/>
          <w:color w:val="333333"/>
          <w:shd w:val="clear" w:color="auto" w:fill="FFFFFF"/>
        </w:rPr>
        <w:instrText>ADDIN CSL_CITATION {"citationItems":[{"id":"ITEM-1","itemData":{"DOI":"10.1093/pm/pnz005","ISSN":"15264637","PMID":"25896191","abstract":"OBJECTIVE: To determine if there are differences in opioid prescribing among generalist physicians, nurse practitioners (NPs), and physician assistants (PAs) to Medicare Part D beneficiaries. DESIGN: Serial cross-sectional analysis of prescription claims from 2013 to 2016 using publicly available data from the Centers for Medicare and Medicaid Services. SUBJECTS: All generalist physicians, NPs, and PAs who provided more than 10 total prescription claims between 2013 and 2016 were included. These prescribers were subsetted as practicing in a primary care, urgent care, or hospital-based setting. METHODS: The main outcomes were total opioid claims and opioid claims as a proportion of all claims in patients treated by these prescribers in each of the three settings of interest. Binomial regression was used to generate marginal estimates to allow comparison of the volume of claims by these prescribers with adjustment for practice setting, gender, years of practice, median income of the ZIP code, state fixed effects, and relevant interaction terms. RESULTS: There were 36,999 generalist clinicians (physicians, NPs, and PAs) with at least one year of Part D prescription drug claims data between 2013 and 2016. The number of adjusted total opioid claims across these four years for physicians was 660 (95% confidence interval [CI] = 660-661), for NPs was 755 (95% CI = 753-757), and for PAs was 812 (95% CI = 811-814). CONCLUSIONS: We find relatively high rates of opioid prescribing among NPs and PAs, especially at the upper margins. This suggests that well-designed interventions to improve the safety of NP and PA opioid prescribing, along with that of their physician colleagues, could be especially beneficial.","author":[{"dropping-particle":"","family":"Mark","given":"Tami L","non-dropping-particle":"","parse-names":false,"suffix":""},{"dropping-particle":"","family":"Levy","given":"Benjamin","non-dropping-particle":"","parse-names":false,"suffix":""},{"dropping-particle":"","family":"Paulozzi","given":"Leonard","non-dropping-particle":"","parse-names":false,"suffix":""},{"dropping-particle":"","family":"Mack","given":"Karin A.","non-dropping-particle":"","parse-names":false,"suffix":""},{"dropping-particle":"","family":"Jones","given":"Christopher M.","non-dropping-particle":"","parse-names":false,"suffix":""},{"dropping-particle":"","family":"Franklin","given":"Gary M.","non-dropping-particle":"","parse-names":false,"suffix":""},{"dropping-particle":"","family":"Fulton-Kehoe","given":"Deborah","non-dropping-particle":"","parse-names":false,"suffix":""},{"dropping-particle":"","family":"Turner","given":"Judith A.","non-dropping-particle":"","parse-names":false,"suffix":""},{"dropping-particle":"","family":"Sullivan","given":"Mark D.","non-dropping-particle":"","parse-names":false,"suffix":""},{"dropping-particle":"","family":"Wickizer","given":"Thomas M.","non-dropping-particle":"","parse-names":false,"suffix":""},{"dropping-particle":"","family":"Kohr","given":"Rosemary","non-dropping-particle":"","parse-names":false,"suffix":""},{"dropping-particle":"","family":"Sawhney","given":"Mona","non-dropping-particle":"","parse-names":false,"suffix":""},{"dropping-particle":"","family":"Search","given":"Advanced","non-dropping-particle":"","parse-names":false,"suffix":""},{"dropping-particle":"","family":"Europe","given":"About","non-dropping-particle":"","parse-names":false,"suffix":""},{"dropping-particle":"","family":"Europe","given":"Joining","non-dropping-particle":"","parse-names":false,"suffix":""},{"dropping-particle":"","family":"Ellenbogen","given":"Michael I.","non-dropping-particle":"","parse-names":false,"suffix":""},{"dropping-particle":"","family":"Segal","given":"Jodi B.","non-dropping-particle":"","parse-names":false,"suffix":""},{"dropping-particle":"","family":"Chen","given":"Jonathan H.","non-dropping-particle":"","parse-names":false,"suffix":""},{"dropping-particle":"","family":"Humphreys","given":"Keith","non-dropping-particle":"","parse-names":false,"suffix":""},{"dropping-particle":"","family":"Shah","given":"Nigam H.","non-dropping-particle":"","parse-names":false,"suffix":""},{"dropping-particle":"","family":"Lembke","given":"Anna","non-dropping-particle":"","parse-names":false,"suffix":""},{"dropping-particle":"","family":"Pasteur","given":"Luis","non-dropping-particle":"","parse-names":false,"suffix":""},{"dropping-particle":"","family":"Koch","given":"Robert","non-dropping-particle":"","parse-names":false,"suffix":""},{"dropping-particle":"","family":"Ellenbogen","given":"Michael I.","non-dropping-particle":"","parse-names":false,"suffix":""},{"dropping-particle":"","family":"Segal","given":"Jodi B.","non-dropping-particle":"","parse-names":false,"suffix":""},{"dropping-particle":"","family":"Nurse","given":"Many","non-dropping-particle":"","parse-names":false,"suffix":""},{"dropping-particle":"","family":"Cannot","given":"Practitioners","non-dropping-particle":"","parse-names":false,"suffix":""},{"dropping-particle":"","family":"Medications","given":"Provide","non-dropping-particle":"","parse-names":false,"suffix":""},{"dropping-particle":"","family":"Addiction","given":"Treat Opioid","non-dropping-particle":"","parse-names":false,"suffix":""},{"dropping-particle":"","family":"Francisco","given":"U C San","non-dropping-particle":"","parse-names":false,"suffix":""},{"dropping-particle":"","family":"Practitioner","given":"Nurse","non-dropping-particle":"","parse-names":false,"suffix":""},{"dropping-particle":"","family":"Cipher","given":"Daisha J.","non-dropping-particle":"","parse-names":false,"suffix":""},{"dropping-particle":"","family":"Hooker","given":"Roderick S.","non-dropping-particle":"","parse-names":false,"suffix":""},{"dropping-particle":"","family":"Guerra","given":"Patricia","non-dropping-particle":"","parse-names":false,"suffix":""},{"dropping-particle":"","family":"Phillips","given":"Janice","non-dropping-particle":"","parse-names":false,"suffix":""},{"dropping-particle":"","family":"Hackman","given":"Daniel T.","non-dropping-particle":"","parse-names":false,"suffix":""},{"dropping-particle":"","family":"Greene","given":"Marion S.","non-dropping-particle":"","parse-names":false,"suffix":""},{"dropping-particle":"","family":"Fernandes","given":"Taya J.","non-dropping-particle":"","parse-names":false,"suffix":""},{"dropping-particle":"","family":"Brown","given":"Ashley M.","non-dropping-particle":"","parse-names":false,"suffix":""},{"dropping-particle":"","family":"Wright","given":"Eric R.","non-dropping-particle":"","parse-names":false,"suffix":""},{"dropping-particle":"","family":"Chambers","given":"R. Andrew","non-dropping-particle":"","parse-names":false,"suffix":""},{"dropping-particle":"","family":"Meyer","given":"Roxanne","non-dropping-particle":"","parse-names":false,"suffix":""},{"dropping-particle":"","family":"Patel","given":"Anisha M.","non-dropping-particle":"","parse-names":false,"suffix":""},{"dropping-particle":"","family":"Rattana","given":"Stacy K.","non-dropping-particle":"","parse-names":false,"suffix":""},{"dropping-particle":"","family":"Quock","given":"Tiffany P.","non-dropping-particle":"","parse-names":false,"suffix":""},{"dropping-particle":"","family":"Mody","given":"Samir H.","non-dropping-particle":"","parse-names":false,"suffix":""},{"dropping-particle":"","family":"Lenz","given":"Elizabeth R.","non-dropping-particle":"","parse-names":false,"suffix":""},{"dropping-particle":"","family":"Mundinger","given":"Mary O.Neil","non-dropping-particle":"","parse-names":false,"suffix":""},{"dropping-particle":"","family":"Kane","given":"Robert L.","non-dropping-particle":"","parse-names":false,"suffix":""},{"dropping-particle":"","family":"Hopkins","given":"Sarah C.","non-dropping-particle":"","parse-names":false,"suffix":""},{"dropping-particle":"","family":"Lin","given":"Susan X.","non-dropping-particle":"","parse-names":false,"suffix":""},{"dropping-particle":"","family":"Surratt","given":"Hilary L.","non-dropping-particle":"","parse-names":false,"suffix":""},{"dropping-particle":"","family":"O'Grady","given":"Catherine","non-dropping-particle":"","parse-names":false,"suffix":""},{"dropping-particle":"","family":"Kurtz","given":"Steven P.","non-dropping-particle":"","parse-names":false,"suffix":""},{"dropping-particle":"","family":"Stivers","given":"Yamilka","non-dropping-particle":"","parse-names":false,"suffix":""},{"dropping-particle":"","family":"Cicero","given":"Theodore J.","non-dropping-particle":"","parse-names":false,"suffix":""},{"dropping-particle":"","family":"Dart","given":"Richard C.","non-dropping-particle":"","parse-names":false,"suffix":""},{"dropping-particle":"","family":"Chen","given":"Minxing","non-dropping-particle":"","parse-names":false,"suffix":""},{"dropping-particle":"","family":"Schirle","given":"Lori","non-dropping-particle":"","parse-names":false,"suffix":""},{"dropping-particle":"","family":"McCabe","given":"Brian E.","non-dropping-particle":"","parse-names":false,"suffix":""},{"dropping-particle":"","family":"Fontana","given":"Joyce S.","non-dropping-particle":"","parse-names":false,"suffix":""}],"container-title":"Pain medicine (Malden, Mass.)","id":"ITEM-1","issue":"1","issued":{"date-parts":[["2019"]]},"page":"76-83","publisher":"Elsevier","title":"Differences in Opioid Prescribing Among Generalist Physicians, Nurse Practitioners, and Physician Assistants","type":"article-journal","volume":"21"},"uris":["http://www.mendeley.com/documents/?uuid=1863a5c2-9ba0-4a57-b09a-70cb8ed9a205"]},{"id":"ITEM-2","itemData":{"DOI":"10.1001/jama.2007.64","ISSN":"00987484","PMID":"18167408","abstract":"Context: National quality improvement initiatives implemented in the late 1990s were followed by substantial increases in opioid prescribing in the United States, but it is unknown whether opioid prescribing for treatment of pain in the emergency department has increased and whether differences in opioid prescribing by race/ethnicity have decreased. Objectives: To determine whether opioid prescribing in emergency departments has increased, whether non-Hispanic white patients are more likely to receive an opioid than other racial/ethnic groups, and whether differential prescribing by race/ethnicity has diminished since 2000. Design and Setting: Pain-related visits to US emergency departments were identified using reason-for-visit and physician diagnosis codes from 13 years (1993-2005) of the National Hospital Ambulatory Medical Care Survey. Main Outcome Measure: Prescription of an opioid analgesic. Results: Pain-related visits accounted for 156 729 of 374 891 (42%) emergency department visits. Opioid prescribing for pain-related visits increased from 23% (95% confidence interval [CI], 21%-24%) in 1993 to 37% (95% CI, 34%-39%) in 2005 (P&lt;.001 for trend), and this trend was more pronounced in 2001-2005 (P=.02). Over all years, white patients with pain were more likely to receive an opioid (31%) than black (23%), Hispanic (24%), or Asian/other patients (28%) (P&lt;.001 for trend), and differences did not diminish over time (P=.44), with opioid prescribing rates of 40% for white patients and 32% for all other patients in 2005. Differential prescribing by race/ethnicity was evident for all types of pain visits, was more pronounced with increasing pain severity, and was detectable for long-bone fracture and nephrolithiasis as well as among children. Statistical adjustment for pain severity and other factors did not substantially attenuate these differences, with white patients remaining significantly more likely to receive an opioid prescription than black patients (adjusted odds ratio, 0.66; 95% CI, 0.62-0.70), Hispanic patients (0.67; 95% CI, 0.63-0.72), and Asian/other patients (0.79; 95% CI, 0.67-0.93). Conclusion: Opioid prescribing for patients making a pain-related visit to the emergency department increased after national quality improvement initiatives in the late 1990s, but differences in opioid prescribing by race/ethnicity have not diminished. ©2008 American Medical Association. All rights reserved.","author":[{"dropping-particle":"","family":"Pletcher","given":"Mark J.","non-dropping-particle":"","parse-names":false,"suffix":""},{"dropping-particle":"","family":"Kertesz","given":"Stefan G.","non-dropping-particle":"","parse-names":false,"suffix":""},{"dropping-particle":"","family":"Kohn","given":"Michael A.","non-dropping-particle":"","parse-names":false,"suffix":""},{"dropping-particle":"","family":"Gonzales","given":"Ralph","non-dropping-particle":"","parse-names":false,"suffix":""}],"container-title":"JAMA - Journal of the American Medical Association","id":"ITEM-2","issue":"1","issued":{"date-parts":[["2008"]]},"page":"70-78","title":"Trends in opioid prescribing by race/ethnicity for patients seeking care in US emergency departments","type":"article-journal","volume":"299"},"uris":["http://www.mendeley.com/documents/?uuid=8194ecc9-998c-4ce8-8f35-71b9259206cd"]}],"mendeley":{"formattedCitation":"(Mark et al. 2019; Pletcher et al. 2008)","plainTextFormattedCitation":"(Mark et al. 2019; Pletcher et al. 2008)","previouslyFormattedCitation":"(Mark et al. 2019; Pletcher et al. 2008)"},"properties":{"noteIndex":0},"schema":"https://github.com/citation-style-language/schema/raw/master/csl-citation.json"}</w:instrText>
      </w:r>
      <w:r w:rsidRPr="00617675">
        <w:rPr>
          <w:rStyle w:val="Emphasis"/>
          <w:rFonts w:ascii="Times New Roman" w:hAnsi="Times New Roman" w:cs="Times New Roman"/>
          <w:b/>
          <w:bCs/>
          <w:i w:val="0"/>
          <w:iCs w:val="0"/>
          <w:color w:val="333333"/>
          <w:shd w:val="clear" w:color="auto" w:fill="FFFFFF"/>
        </w:rPr>
        <w:fldChar w:fldCharType="separate"/>
      </w:r>
      <w:r w:rsidRPr="00617675">
        <w:rPr>
          <w:rStyle w:val="Emphasis"/>
          <w:rFonts w:ascii="Times New Roman" w:hAnsi="Times New Roman" w:cs="Times New Roman"/>
          <w:b/>
          <w:bCs/>
          <w:i w:val="0"/>
          <w:iCs w:val="0"/>
          <w:noProof/>
          <w:color w:val="333333"/>
          <w:shd w:val="clear" w:color="auto" w:fill="FFFFFF"/>
        </w:rPr>
        <w:t>(Mark et al. 2019; Pletcher et al. 2008)</w:t>
      </w:r>
      <w:r w:rsidRPr="00617675">
        <w:rPr>
          <w:rStyle w:val="Emphasis"/>
          <w:rFonts w:ascii="Times New Roman" w:hAnsi="Times New Roman" w:cs="Times New Roman"/>
          <w:b/>
          <w:bCs/>
          <w:i w:val="0"/>
          <w:iCs w:val="0"/>
          <w:color w:val="333333"/>
          <w:shd w:val="clear" w:color="auto" w:fill="FFFFFF"/>
        </w:rPr>
        <w:fldChar w:fldCharType="end"/>
      </w:r>
      <w:r w:rsidRPr="00617675">
        <w:rPr>
          <w:rStyle w:val="Emphasis"/>
          <w:rFonts w:ascii="Times New Roman" w:hAnsi="Times New Roman" w:cs="Times New Roman"/>
          <w:b/>
          <w:bCs/>
          <w:i w:val="0"/>
          <w:iCs w:val="0"/>
          <w:color w:val="333333"/>
          <w:shd w:val="clear" w:color="auto" w:fill="FFFFFF"/>
        </w:rPr>
        <w:t xml:space="preserve"> </w:t>
      </w:r>
      <w:r w:rsidRPr="00617675">
        <w:rPr>
          <w:rStyle w:val="Emphasis"/>
          <w:rFonts w:ascii="Times New Roman" w:hAnsi="Times New Roman" w:cs="Times New Roman"/>
          <w:i w:val="0"/>
          <w:iCs w:val="0"/>
          <w:color w:val="333333"/>
          <w:shd w:val="clear" w:color="auto" w:fill="FFFFFF"/>
        </w:rPr>
        <w:t>and unsurprisingly show that provider specialty has an impact on prescribing rates.</w:t>
      </w:r>
    </w:p>
    <w:p w14:paraId="33D0269A"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 xml:space="preserve">Now that we established our baseline impact specialty has on prescribing rates and rank order of specialties, our next question is how prescribing rates change when specialties work together. We hypothesize that through spillover effects of specialties with higher baselines working with specialties of lower baselines, an individual provider prescribing rate will </w:t>
      </w:r>
      <w:proofErr w:type="gramStart"/>
      <w:r w:rsidRPr="00617675">
        <w:rPr>
          <w:rStyle w:val="Emphasis"/>
          <w:rFonts w:ascii="Times New Roman" w:hAnsi="Times New Roman" w:cs="Times New Roman"/>
          <w:i w:val="0"/>
          <w:iCs w:val="0"/>
          <w:color w:val="333333"/>
          <w:shd w:val="clear" w:color="auto" w:fill="FFFFFF"/>
        </w:rPr>
        <w:t>actually be</w:t>
      </w:r>
      <w:proofErr w:type="gramEnd"/>
      <w:r w:rsidRPr="00617675">
        <w:rPr>
          <w:rStyle w:val="Emphasis"/>
          <w:rFonts w:ascii="Times New Roman" w:hAnsi="Times New Roman" w:cs="Times New Roman"/>
          <w:i w:val="0"/>
          <w:iCs w:val="0"/>
          <w:color w:val="333333"/>
          <w:shd w:val="clear" w:color="auto" w:fill="FFFFFF"/>
        </w:rPr>
        <w:t xml:space="preserve"> a weighted average of the types of specialties they work with. This leads us to our second equation, which builds on equation one by adding various forms of integration:</w:t>
      </w:r>
    </w:p>
    <w:p w14:paraId="5365B75D" w14:textId="2E5D1F1A" w:rsidR="00617675" w:rsidRPr="00617675" w:rsidRDefault="00617675" w:rsidP="00617675">
      <w:pPr>
        <w:pStyle w:val="Heading3"/>
        <w:spacing w:line="480" w:lineRule="auto"/>
        <w:jc w:val="center"/>
        <w:rPr>
          <w:rFonts w:ascii="Times New Roman" w:hAnsi="Times New Roman" w:cs="Times New Roman"/>
          <w:color w:val="auto"/>
          <w:sz w:val="20"/>
          <w:szCs w:val="20"/>
        </w:rPr>
      </w:pPr>
      <m:oMathPara>
        <m:oMath>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Y</m:t>
              </m:r>
            </m:e>
            <m:sub>
              <m:r>
                <m:rPr>
                  <m:sty m:val="p"/>
                </m:rPr>
                <w:rPr>
                  <w:rFonts w:ascii="Cambria Math" w:hAnsi="Cambria Math" w:cs="Times New Roman"/>
                  <w:color w:val="auto"/>
                  <w:sz w:val="20"/>
                  <w:szCs w:val="20"/>
                </w:rPr>
                <m:t>npi</m:t>
              </m:r>
            </m:sub>
          </m:sSub>
          <m:r>
            <m:rPr>
              <m:sty m:val="p"/>
            </m:rPr>
            <w:rPr>
              <w:rFonts w:ascii="Cambria Math" w:hAnsi="Cambria Math" w:cs="Times New Roman"/>
              <w:color w:val="auto"/>
              <w:sz w:val="20"/>
              <w:szCs w:val="20"/>
            </w:rPr>
            <m:t>=</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0</m:t>
              </m:r>
            </m:sub>
          </m:sSub>
          <m:r>
            <m:rPr>
              <m:sty m:val="p"/>
            </m:rPr>
            <w:rPr>
              <w:rFonts w:ascii="Cambria Math" w:hAnsi="Cambria Math" w:cs="Times New Roman"/>
              <w:color w:val="auto"/>
              <w:sz w:val="20"/>
              <w:szCs w:val="20"/>
            </w:rPr>
            <m:t xml:space="preserve">+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1</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M</m:t>
              </m:r>
            </m:e>
            <m:sub>
              <m:r>
                <m:rPr>
                  <m:sty m:val="p"/>
                </m:rPr>
                <w:rPr>
                  <w:rFonts w:ascii="Cambria Math" w:hAnsi="Cambria Math" w:cs="Times New Roman"/>
                  <w:color w:val="auto"/>
                  <w:sz w:val="20"/>
                  <w:szCs w:val="20"/>
                </w:rPr>
                <m:t>spec</m:t>
              </m:r>
            </m:sub>
          </m:sSub>
          <m:r>
            <m:rPr>
              <m:sty m:val="p"/>
            </m:rPr>
            <w:rPr>
              <w:rFonts w:ascii="Cambria Math" w:hAnsi="Cambria Math" w:cs="Times New Roman"/>
              <w:color w:val="auto"/>
              <w:sz w:val="20"/>
              <w:szCs w:val="20"/>
            </w:rPr>
            <m:t xml:space="preserve"> +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2</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S</m:t>
              </m:r>
            </m:e>
            <m:sub>
              <m:r>
                <m:rPr>
                  <m:sty m:val="p"/>
                </m:rPr>
                <w:rPr>
                  <w:rFonts w:ascii="Cambria Math" w:hAnsi="Cambria Math" w:cs="Times New Roman"/>
                  <w:color w:val="auto"/>
                  <w:sz w:val="20"/>
                  <w:szCs w:val="20"/>
                </w:rPr>
                <m:t>spec</m:t>
              </m:r>
            </m:sub>
          </m:sSub>
          <m:r>
            <m:rPr>
              <m:sty m:val="p"/>
            </m:rPr>
            <w:rPr>
              <w:rFonts w:ascii="Cambria Math" w:hAnsi="Cambria Math" w:cs="Times New Roman"/>
              <w:color w:val="auto"/>
              <w:sz w:val="20"/>
              <w:szCs w:val="20"/>
            </w:rPr>
            <m:t xml:space="preserve"> +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3</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N</m:t>
              </m:r>
            </m:e>
            <m:sub>
              <m:r>
                <m:rPr>
                  <m:sty m:val="p"/>
                </m:rPr>
                <w:rPr>
                  <w:rFonts w:ascii="Cambria Math" w:hAnsi="Cambria Math" w:cs="Times New Roman"/>
                  <w:color w:val="auto"/>
                  <w:sz w:val="20"/>
                  <w:szCs w:val="20"/>
                </w:rPr>
                <m:t>spec</m:t>
              </m:r>
            </m:sub>
          </m:sSub>
          <m:r>
            <m:rPr>
              <m:sty m:val="p"/>
            </m:rPr>
            <w:rPr>
              <w:rFonts w:ascii="Cambria Math" w:hAnsi="Cambria Math" w:cs="Times New Roman"/>
              <w:color w:val="auto"/>
              <w:sz w:val="20"/>
              <w:szCs w:val="20"/>
            </w:rPr>
            <m:t>+</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4</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M</m:t>
              </m:r>
            </m:e>
            <m:sub>
              <m:r>
                <m:rPr>
                  <m:sty m:val="p"/>
                </m:rPr>
                <w:rPr>
                  <w:rFonts w:ascii="Cambria Math" w:hAnsi="Cambria Math" w:cs="Times New Roman"/>
                  <w:color w:val="auto"/>
                  <w:sz w:val="20"/>
                  <w:szCs w:val="20"/>
                </w:rPr>
                <m:t>pract</m:t>
              </m:r>
            </m:sub>
          </m:sSub>
          <m:r>
            <m:rPr>
              <m:sty m:val="p"/>
            </m:rPr>
            <w:rPr>
              <w:rFonts w:ascii="Cambria Math" w:hAnsi="Cambria Math" w:cs="Times New Roman"/>
              <w:color w:val="auto"/>
              <w:sz w:val="20"/>
              <w:szCs w:val="20"/>
            </w:rPr>
            <m:t xml:space="preserve">+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5</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S</m:t>
              </m:r>
            </m:e>
            <m:sub>
              <m:r>
                <m:rPr>
                  <m:sty m:val="p"/>
                </m:rPr>
                <w:rPr>
                  <w:rFonts w:ascii="Cambria Math" w:hAnsi="Cambria Math" w:cs="Times New Roman"/>
                  <w:color w:val="auto"/>
                  <w:sz w:val="20"/>
                  <w:szCs w:val="20"/>
                </w:rPr>
                <m:t>pract</m:t>
              </m:r>
            </m:sub>
          </m:sSub>
          <m:r>
            <m:rPr>
              <m:sty m:val="p"/>
            </m:rPr>
            <w:rPr>
              <w:rFonts w:ascii="Cambria Math" w:hAnsi="Cambria Math" w:cs="Times New Roman"/>
              <w:color w:val="auto"/>
              <w:sz w:val="20"/>
              <w:szCs w:val="20"/>
            </w:rPr>
            <m:t>+</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6</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X</m:t>
              </m:r>
            </m:e>
            <m:sub>
              <m:r>
                <m:rPr>
                  <m:sty m:val="p"/>
                </m:rPr>
                <w:rPr>
                  <w:rFonts w:ascii="Cambria Math" w:hAnsi="Cambria Math" w:cs="Times New Roman"/>
                  <w:color w:val="auto"/>
                  <w:sz w:val="20"/>
                  <w:szCs w:val="20"/>
                </w:rPr>
                <m:t>pract</m:t>
              </m:r>
            </m:sub>
          </m:sSub>
          <m:r>
            <m:rPr>
              <m:sty m:val="p"/>
            </m:rPr>
            <w:rPr>
              <w:rFonts w:ascii="Cambria Math" w:hAnsi="Cambria Math" w:cs="Times New Roman"/>
              <w:color w:val="auto"/>
              <w:sz w:val="20"/>
              <w:szCs w:val="20"/>
            </w:rPr>
            <m:t xml:space="preserve">+γZ+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δ</m:t>
              </m:r>
            </m:e>
            <m:sub>
              <m:r>
                <m:rPr>
                  <m:sty m:val="p"/>
                </m:rPr>
                <w:rPr>
                  <w:rFonts w:ascii="Cambria Math" w:hAnsi="Cambria Math" w:cs="Times New Roman"/>
                  <w:color w:val="auto"/>
                  <w:sz w:val="20"/>
                  <w:szCs w:val="20"/>
                </w:rPr>
                <m:t>s</m:t>
              </m:r>
            </m:sub>
          </m:sSub>
        </m:oMath>
      </m:oMathPara>
    </w:p>
    <w:p w14:paraId="00384753"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 xml:space="preserve">We add an inclusive set of group practices containing varied specialties to estimate the impact integration has on prescribing rates. </w:t>
      </w:r>
      <w:proofErr w:type="gramStart"/>
      <w:r w:rsidRPr="00617675">
        <w:rPr>
          <w:rStyle w:val="Emphasis"/>
          <w:rFonts w:ascii="Times New Roman" w:hAnsi="Times New Roman" w:cs="Times New Roman"/>
          <w:i w:val="0"/>
          <w:iCs w:val="0"/>
          <w:color w:val="333333"/>
          <w:shd w:val="clear" w:color="auto" w:fill="FFFFFF"/>
        </w:rPr>
        <w:t>In order to</w:t>
      </w:r>
      <w:proofErr w:type="gramEnd"/>
      <w:r w:rsidRPr="00617675">
        <w:rPr>
          <w:rStyle w:val="Emphasis"/>
          <w:rFonts w:ascii="Times New Roman" w:hAnsi="Times New Roman" w:cs="Times New Roman"/>
          <w:i w:val="0"/>
          <w:iCs w:val="0"/>
          <w:color w:val="333333"/>
          <w:shd w:val="clear" w:color="auto" w:fill="FFFFFF"/>
        </w:rPr>
        <w:t xml:space="preserve"> parse out vertical integration from horizontal integration, we divided group practices into either horizontally or vertically integrated classifications. Horizontally integrated group practices consist of single-specialty practices that may or may not have a nurse practitioner, these are represented by coefficients </w:t>
      </w:r>
      <w:proofErr w:type="spellStart"/>
      <w:r w:rsidRPr="00617675">
        <w:rPr>
          <w:rStyle w:val="Emphasis"/>
          <w:rFonts w:ascii="Times New Roman" w:hAnsi="Times New Roman" w:cs="Times New Roman"/>
          <w:i w:val="0"/>
          <w:iCs w:val="0"/>
          <w:color w:val="333333"/>
          <w:shd w:val="clear" w:color="auto" w:fill="FFFFFF"/>
        </w:rPr>
        <w:t>M</w:t>
      </w:r>
      <w:r w:rsidRPr="00617675">
        <w:rPr>
          <w:rStyle w:val="Emphasis"/>
          <w:rFonts w:ascii="Times New Roman" w:hAnsi="Times New Roman" w:cs="Times New Roman"/>
          <w:i w:val="0"/>
          <w:iCs w:val="0"/>
          <w:color w:val="333333"/>
          <w:shd w:val="clear" w:color="auto" w:fill="FFFFFF"/>
          <w:vertAlign w:val="subscript"/>
        </w:rPr>
        <w:t>practice</w:t>
      </w:r>
      <w:proofErr w:type="spellEnd"/>
      <w:r w:rsidRPr="00617675">
        <w:rPr>
          <w:rStyle w:val="Emphasis"/>
          <w:rFonts w:ascii="Times New Roman" w:hAnsi="Times New Roman" w:cs="Times New Roman"/>
          <w:i w:val="0"/>
          <w:iCs w:val="0"/>
          <w:color w:val="333333"/>
          <w:shd w:val="clear" w:color="auto" w:fill="FFFFFF"/>
        </w:rPr>
        <w:t xml:space="preserve"> and </w:t>
      </w:r>
      <w:proofErr w:type="spellStart"/>
      <w:r w:rsidRPr="00617675">
        <w:rPr>
          <w:rStyle w:val="Emphasis"/>
          <w:rFonts w:ascii="Times New Roman" w:hAnsi="Times New Roman" w:cs="Times New Roman"/>
          <w:i w:val="0"/>
          <w:iCs w:val="0"/>
          <w:color w:val="333333"/>
          <w:shd w:val="clear" w:color="auto" w:fill="FFFFFF"/>
        </w:rPr>
        <w:t>S</w:t>
      </w:r>
      <w:r w:rsidRPr="00617675">
        <w:rPr>
          <w:rStyle w:val="Emphasis"/>
          <w:rFonts w:ascii="Times New Roman" w:hAnsi="Times New Roman" w:cs="Times New Roman"/>
          <w:i w:val="0"/>
          <w:iCs w:val="0"/>
          <w:color w:val="333333"/>
          <w:shd w:val="clear" w:color="auto" w:fill="FFFFFF"/>
          <w:vertAlign w:val="subscript"/>
        </w:rPr>
        <w:t>practice</w:t>
      </w:r>
      <w:proofErr w:type="spellEnd"/>
      <w:r w:rsidRPr="00617675">
        <w:rPr>
          <w:rStyle w:val="Emphasis"/>
          <w:rFonts w:ascii="Times New Roman" w:hAnsi="Times New Roman" w:cs="Times New Roman"/>
          <w:i w:val="0"/>
          <w:iCs w:val="0"/>
          <w:color w:val="333333"/>
          <w:shd w:val="clear" w:color="auto" w:fill="FFFFFF"/>
        </w:rPr>
        <w:t xml:space="preserve">. Where M is single-specialty pain management practices and S is specialist practices, with single-specialty primary care practices as our reference group. Our vertically integrated group is </w:t>
      </w:r>
      <w:proofErr w:type="spellStart"/>
      <w:r w:rsidRPr="00617675">
        <w:rPr>
          <w:rStyle w:val="Emphasis"/>
          <w:rFonts w:ascii="Times New Roman" w:hAnsi="Times New Roman" w:cs="Times New Roman"/>
          <w:i w:val="0"/>
          <w:iCs w:val="0"/>
          <w:color w:val="333333"/>
          <w:shd w:val="clear" w:color="auto" w:fill="FFFFFF"/>
        </w:rPr>
        <w:t>X</w:t>
      </w:r>
      <w:r w:rsidRPr="00617675">
        <w:rPr>
          <w:rStyle w:val="Emphasis"/>
          <w:rFonts w:ascii="Times New Roman" w:hAnsi="Times New Roman" w:cs="Times New Roman"/>
          <w:i w:val="0"/>
          <w:iCs w:val="0"/>
          <w:color w:val="333333"/>
          <w:shd w:val="clear" w:color="auto" w:fill="FFFFFF"/>
          <w:vertAlign w:val="subscript"/>
        </w:rPr>
        <w:t>practice</w:t>
      </w:r>
      <w:proofErr w:type="spellEnd"/>
      <w:r w:rsidRPr="00617675">
        <w:rPr>
          <w:rStyle w:val="Emphasis"/>
          <w:rFonts w:ascii="Times New Roman" w:hAnsi="Times New Roman" w:cs="Times New Roman"/>
          <w:i w:val="0"/>
          <w:iCs w:val="0"/>
          <w:color w:val="333333"/>
          <w:shd w:val="clear" w:color="auto" w:fill="FFFFFF"/>
        </w:rPr>
        <w:t>, which are any group practices that are some combination of M, S, and single-specialty primary care groups. Group X may or may not have nurse practitioners included</w:t>
      </w:r>
    </w:p>
    <w:p w14:paraId="0A14FB25"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 xml:space="preserve">By incorporating types of group practice in the regression, we find that the magnitude of all specialties, in comparison to primary care, decrease. The ranked order of specialty remains the same, except for nurse </w:t>
      </w:r>
      <w:r w:rsidRPr="00617675">
        <w:rPr>
          <w:rStyle w:val="Emphasis"/>
          <w:rFonts w:ascii="Times New Roman" w:hAnsi="Times New Roman" w:cs="Times New Roman"/>
          <w:i w:val="0"/>
          <w:iCs w:val="0"/>
          <w:color w:val="333333"/>
          <w:shd w:val="clear" w:color="auto" w:fill="FFFFFF"/>
        </w:rPr>
        <w:lastRenderedPageBreak/>
        <w:t>practitioners whose prescribing rates become slightly negative. We find that providers who are in specialist group practices are the least likely to prescribe opioids, followed by primary care practices (reference category), vertically integrated practices (Group X), and pain specialist practices</w:t>
      </w:r>
    </w:p>
    <w:p w14:paraId="61F37290"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The vertically integrated practices reside between our specialist, primary care, and pain management practices. This supports our hypothesis that prescribing rates are a weighted average of specialties that comprise the group practice.</w:t>
      </w:r>
    </w:p>
    <w:p w14:paraId="537EE867"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To validate the robustness of our results from equation two, we wanted to test the impact vertical integration has on one specialty type. In selecting a specialty type, it is necessary for the specialty to commonly work in a variety of settings, as selecting a specialty that works heavily in one type of integrated group practice could skew the results. In this case, nurse practitioners</w:t>
      </w:r>
      <w:r w:rsidRPr="00617675">
        <w:rPr>
          <w:rStyle w:val="FootnoteReference"/>
          <w:rFonts w:ascii="Times New Roman" w:hAnsi="Times New Roman" w:cs="Times New Roman"/>
          <w:color w:val="333333"/>
          <w:shd w:val="clear" w:color="auto" w:fill="FFFFFF"/>
        </w:rPr>
        <w:footnoteReference w:id="5"/>
      </w:r>
      <w:r w:rsidRPr="00617675">
        <w:rPr>
          <w:rStyle w:val="Emphasis"/>
          <w:rFonts w:ascii="Times New Roman" w:hAnsi="Times New Roman" w:cs="Times New Roman"/>
          <w:i w:val="0"/>
          <w:iCs w:val="0"/>
          <w:color w:val="333333"/>
          <w:shd w:val="clear" w:color="auto" w:fill="FFFFFF"/>
        </w:rPr>
        <w:t xml:space="preserve"> were the logical choice as they operate in independent practices, under supervision of medical doctors, and a flexible specialty that can work with all other specialties. For equation three, we limit the sample to only nurse practitioners and keep all the control variables the same (by reducing the sample to nurse practitioner removes any other specialty):</w:t>
      </w:r>
    </w:p>
    <w:p w14:paraId="46A689C4" w14:textId="4BA76349" w:rsidR="00617675" w:rsidRPr="00617675" w:rsidRDefault="00617675" w:rsidP="00617675">
      <w:pPr>
        <w:pStyle w:val="Heading3"/>
        <w:spacing w:line="480" w:lineRule="auto"/>
        <w:jc w:val="center"/>
        <w:rPr>
          <w:rFonts w:ascii="Times New Roman" w:hAnsi="Times New Roman" w:cs="Times New Roman"/>
          <w:color w:val="auto"/>
          <w:sz w:val="20"/>
          <w:szCs w:val="20"/>
        </w:rPr>
      </w:pPr>
      <m:oMathPara>
        <m:oMath>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(Y</m:t>
              </m:r>
            </m:e>
            <m:sub>
              <m:r>
                <m:rPr>
                  <m:sty m:val="p"/>
                </m:rPr>
                <w:rPr>
                  <w:rFonts w:ascii="Cambria Math" w:hAnsi="Cambria Math" w:cs="Times New Roman"/>
                  <w:color w:val="auto"/>
                  <w:sz w:val="20"/>
                  <w:szCs w:val="20"/>
                </w:rPr>
                <m:t>npi</m:t>
              </m:r>
            </m:sub>
          </m:sSub>
          <m:r>
            <m:rPr>
              <m:sty m:val="p"/>
            </m:rPr>
            <w:rPr>
              <w:rFonts w:ascii="Cambria Math" w:hAnsi="Cambria Math" w:cs="Times New Roman"/>
              <w:color w:val="auto"/>
              <w:sz w:val="20"/>
              <w:szCs w:val="20"/>
            </w:rPr>
            <m:t>|</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N</m:t>
              </m:r>
            </m:e>
            <m:sub>
              <m:r>
                <m:rPr>
                  <m:sty m:val="p"/>
                </m:rPr>
                <w:rPr>
                  <w:rFonts w:ascii="Cambria Math" w:hAnsi="Cambria Math" w:cs="Times New Roman"/>
                  <w:color w:val="auto"/>
                  <w:sz w:val="20"/>
                  <w:szCs w:val="20"/>
                </w:rPr>
                <m:t>spec</m:t>
              </m:r>
            </m:sub>
          </m:sSub>
          <m:r>
            <m:rPr>
              <m:sty m:val="p"/>
            </m:rPr>
            <w:rPr>
              <w:rFonts w:ascii="Cambria Math" w:hAnsi="Cambria Math" w:cs="Times New Roman"/>
              <w:color w:val="auto"/>
              <w:sz w:val="20"/>
              <w:szCs w:val="20"/>
            </w:rPr>
            <m:t>=1 )=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0</m:t>
              </m:r>
            </m:sub>
          </m:sSub>
          <m:r>
            <m:rPr>
              <m:sty m:val="p"/>
            </m:rPr>
            <w:rPr>
              <w:rFonts w:ascii="Cambria Math" w:hAnsi="Cambria Math" w:cs="Times New Roman"/>
              <w:color w:val="auto"/>
              <w:sz w:val="20"/>
              <w:szCs w:val="20"/>
            </w:rPr>
            <m:t xml:space="preserve">+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1</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N</m:t>
              </m:r>
            </m:e>
            <m:sub>
              <m:r>
                <m:rPr>
                  <m:sty m:val="p"/>
                </m:rPr>
                <w:rPr>
                  <w:rFonts w:ascii="Cambria Math" w:hAnsi="Cambria Math" w:cs="Times New Roman"/>
                  <w:color w:val="auto"/>
                  <w:sz w:val="20"/>
                  <w:szCs w:val="20"/>
                </w:rPr>
                <m:t>pract</m:t>
              </m:r>
            </m:sub>
          </m:sSub>
          <m:r>
            <m:rPr>
              <m:sty m:val="p"/>
            </m:rPr>
            <w:rPr>
              <w:rFonts w:ascii="Cambria Math" w:hAnsi="Cambria Math" w:cs="Times New Roman"/>
              <w:color w:val="auto"/>
              <w:sz w:val="20"/>
              <w:szCs w:val="20"/>
            </w:rPr>
            <m:t xml:space="preserve"> +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2</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M</m:t>
              </m:r>
            </m:e>
            <m:sub>
              <m:r>
                <m:rPr>
                  <m:sty m:val="p"/>
                </m:rPr>
                <w:rPr>
                  <w:rFonts w:ascii="Cambria Math" w:hAnsi="Cambria Math" w:cs="Times New Roman"/>
                  <w:color w:val="auto"/>
                  <w:sz w:val="20"/>
                  <w:szCs w:val="20"/>
                </w:rPr>
                <m:t>pract</m:t>
              </m:r>
            </m:sub>
          </m:sSub>
          <m:r>
            <m:rPr>
              <m:sty m:val="p"/>
            </m:rPr>
            <w:rPr>
              <w:rFonts w:ascii="Cambria Math" w:hAnsi="Cambria Math" w:cs="Times New Roman"/>
              <w:color w:val="auto"/>
              <w:sz w:val="20"/>
              <w:szCs w:val="20"/>
            </w:rPr>
            <m:t xml:space="preserve"> +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3</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S</m:t>
              </m:r>
            </m:e>
            <m:sub>
              <m:r>
                <m:rPr>
                  <m:sty m:val="p"/>
                </m:rPr>
                <w:rPr>
                  <w:rFonts w:ascii="Cambria Math" w:hAnsi="Cambria Math" w:cs="Times New Roman"/>
                  <w:color w:val="auto"/>
                  <w:sz w:val="20"/>
                  <w:szCs w:val="20"/>
                </w:rPr>
                <m:t>practic</m:t>
              </m:r>
            </m:sub>
          </m:sSub>
          <m:r>
            <m:rPr>
              <m:sty m:val="p"/>
            </m:rPr>
            <w:rPr>
              <w:rFonts w:ascii="Cambria Math" w:hAnsi="Cambria Math" w:cs="Times New Roman"/>
              <w:color w:val="auto"/>
              <w:sz w:val="20"/>
              <w:szCs w:val="20"/>
            </w:rPr>
            <m:t xml:space="preserve">+  γZ+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δ</m:t>
              </m:r>
            </m:e>
            <m:sub>
              <m:r>
                <m:rPr>
                  <m:sty m:val="p"/>
                </m:rPr>
                <w:rPr>
                  <w:rFonts w:ascii="Cambria Math" w:hAnsi="Cambria Math" w:cs="Times New Roman"/>
                  <w:color w:val="auto"/>
                  <w:sz w:val="20"/>
                  <w:szCs w:val="20"/>
                </w:rPr>
                <m:t xml:space="preserve">s </m:t>
              </m:r>
            </m:sub>
          </m:sSub>
        </m:oMath>
      </m:oMathPara>
    </w:p>
    <w:p w14:paraId="7DFFEF94" w14:textId="77777777" w:rsidR="00617675" w:rsidRPr="00617675" w:rsidRDefault="00617675" w:rsidP="00617675">
      <w:pPr>
        <w:spacing w:line="480" w:lineRule="auto"/>
        <w:rPr>
          <w:rFonts w:ascii="Times New Roman" w:hAnsi="Times New Roman" w:cs="Times New Roman"/>
        </w:rPr>
      </w:pPr>
    </w:p>
    <w:p w14:paraId="5E96F6A0"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We find that when nurse practitioners working only with other nurse practitioners prescribe the least amount of opioid prescriptions followed by, in increasing order, nurse practitioners who work in vertically integrated systems, primary care practices (reference category), specialist practices, and pain management practices.</w:t>
      </w:r>
    </w:p>
    <w:p w14:paraId="60804DB0"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lastRenderedPageBreak/>
        <w:t xml:space="preserve">By incorporating nurse practitioner practices, this slightly changes the ranking of the remaining group practices from regression two, switching the vertically integrated practices with the specialist practices. </w:t>
      </w:r>
    </w:p>
    <w:p w14:paraId="3531328D"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This supports the results that were found in equation two – vertically integrated groups are a weighted average of the various specialties they interact with</w:t>
      </w:r>
    </w:p>
    <w:p w14:paraId="3B6D2E5A" w14:textId="77777777" w:rsidR="00617675" w:rsidRPr="00617675" w:rsidRDefault="00617675" w:rsidP="00617675">
      <w:pPr>
        <w:rPr>
          <w:rFonts w:ascii="Times New Roman" w:hAnsi="Times New Roman" w:cs="Times New Roman"/>
          <w:sz w:val="24"/>
          <w:szCs w:val="24"/>
        </w:rPr>
      </w:pPr>
      <w:r w:rsidRPr="00617675">
        <w:rPr>
          <w:rFonts w:ascii="Times New Roman" w:hAnsi="Times New Roman" w:cs="Times New Roman"/>
          <w:sz w:val="24"/>
          <w:szCs w:val="24"/>
        </w:rPr>
        <w:br w:type="page"/>
      </w:r>
    </w:p>
    <w:p w14:paraId="40DB562D" w14:textId="77777777" w:rsidR="007614EA" w:rsidRPr="00617675" w:rsidRDefault="007614EA"/>
    <w:sectPr w:rsidR="007614EA" w:rsidRPr="006176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6C105" w14:textId="77777777" w:rsidR="00617675" w:rsidRDefault="00617675" w:rsidP="00617675">
      <w:pPr>
        <w:spacing w:after="0" w:line="240" w:lineRule="auto"/>
      </w:pPr>
      <w:r>
        <w:separator/>
      </w:r>
    </w:p>
  </w:endnote>
  <w:endnote w:type="continuationSeparator" w:id="0">
    <w:p w14:paraId="4A6F66C6" w14:textId="77777777" w:rsidR="00617675" w:rsidRDefault="00617675" w:rsidP="00617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CAB09" w14:textId="77777777" w:rsidR="00617675" w:rsidRDefault="00617675" w:rsidP="00617675">
      <w:pPr>
        <w:spacing w:after="0" w:line="240" w:lineRule="auto"/>
      </w:pPr>
      <w:r>
        <w:separator/>
      </w:r>
    </w:p>
  </w:footnote>
  <w:footnote w:type="continuationSeparator" w:id="0">
    <w:p w14:paraId="73A49B5C" w14:textId="77777777" w:rsidR="00617675" w:rsidRDefault="00617675" w:rsidP="00617675">
      <w:pPr>
        <w:spacing w:after="0" w:line="240" w:lineRule="auto"/>
      </w:pPr>
      <w:r>
        <w:continuationSeparator/>
      </w:r>
    </w:p>
  </w:footnote>
  <w:footnote w:id="1">
    <w:p w14:paraId="66981872" w14:textId="77777777" w:rsidR="00617675" w:rsidRDefault="00617675" w:rsidP="00617675">
      <w:pPr>
        <w:pStyle w:val="FootnoteText"/>
      </w:pPr>
      <w:r>
        <w:rPr>
          <w:rStyle w:val="FootnoteReference"/>
        </w:rPr>
        <w:footnoteRef/>
      </w:r>
      <w:r>
        <w:t xml:space="preserve"> For example, if a provider is listed in a primary care group practice and then again in a group practice of mixed specialties, they are indicated as a mixed specialty group practice</w:t>
      </w:r>
    </w:p>
  </w:footnote>
  <w:footnote w:id="2">
    <w:p w14:paraId="73EEC0E0" w14:textId="77777777" w:rsidR="00617675" w:rsidRDefault="00617675" w:rsidP="00617675">
      <w:pPr>
        <w:pStyle w:val="FootnoteText"/>
      </w:pPr>
      <w:r>
        <w:rPr>
          <w:rStyle w:val="FootnoteReference"/>
        </w:rPr>
        <w:footnoteRef/>
      </w:r>
      <w:r>
        <w:t xml:space="preserve"> The </w:t>
      </w:r>
      <w:proofErr w:type="spellStart"/>
      <w:r>
        <w:t>Duan</w:t>
      </w:r>
      <w:proofErr w:type="spellEnd"/>
      <w:r>
        <w:t xml:space="preserve"> Smearing technique is a nonparametric method of retransforming the data to the original values </w:t>
      </w:r>
      <w:r w:rsidRPr="00961BC5">
        <w:rPr>
          <w:b/>
          <w:bCs/>
        </w:rPr>
        <w:t>(</w:t>
      </w:r>
      <w:proofErr w:type="spellStart"/>
      <w:r w:rsidRPr="00961BC5">
        <w:rPr>
          <w:b/>
          <w:bCs/>
        </w:rPr>
        <w:t>duan</w:t>
      </w:r>
      <w:proofErr w:type="spellEnd"/>
      <w:r w:rsidRPr="00961BC5">
        <w:rPr>
          <w:b/>
          <w:bCs/>
        </w:rPr>
        <w:t xml:space="preserve"> 1983)</w:t>
      </w:r>
    </w:p>
  </w:footnote>
  <w:footnote w:id="3">
    <w:p w14:paraId="296A4E0F" w14:textId="77777777" w:rsidR="00617675" w:rsidRPr="00F678B7" w:rsidRDefault="00617675" w:rsidP="00617675">
      <w:pPr>
        <w:pStyle w:val="FootnoteText"/>
        <w:rPr>
          <w:b/>
          <w:bCs/>
        </w:rPr>
      </w:pPr>
      <w:r>
        <w:rPr>
          <w:rStyle w:val="FootnoteReference"/>
        </w:rPr>
        <w:footnoteRef/>
      </w:r>
      <w:r>
        <w:t xml:space="preserve"> Heckman selection model is also referred to as adjusted or generalized </w:t>
      </w:r>
      <w:proofErr w:type="spellStart"/>
      <w:r>
        <w:t>tobit</w:t>
      </w:r>
      <w:proofErr w:type="spellEnd"/>
      <w:r>
        <w:t xml:space="preserve"> </w:t>
      </w:r>
      <w:r>
        <w:fldChar w:fldCharType="begin" w:fldLock="1"/>
      </w:r>
      <w:r>
        <w:instrText>ADDIN CSL_CITATION {"citationItems":[{"id":"ITEM-1","itemData":{"DOI":"10.1177/1536867x1501500102","ISSN":"1536867X","abstract":"In this article, we describe twopm, a command for fitting two-part models for mixed discrete-continuous outcomes. In the two-part model, a binary choice model is fit for the probability of observing a positive-versus-zero outcome. Then, conditional on a positive outcome, an appropriate regression model is fit for the positive outcome. The twopm command allows the user to leverage the capabilities of predict and margins to calculate predictions and marginal effects and their standard errors from the combined first- and second-part models.","author":[{"dropping-particle":"","family":"Belotti","given":"Federico","non-dropping-particle":"","parse-names":false,"suffix":""},{"dropping-particle":"","family":"Deb","given":"Partha","non-dropping-particle":"","parse-names":false,"suffix":""},{"dropping-particle":"","family":"Manning","given":"Willard G.","non-dropping-particle":"","parse-names":false,"suffix":""},{"dropping-particle":"","family":"Norton","given":"Edward C.","non-dropping-particle":"","parse-names":false,"suffix":""}],"container-title":"Stata Journal","id":"ITEM-1","issue":"1","issued":{"date-parts":[["2015"]]},"page":"3-20","title":"twopm: Two-part models","type":"article-journal","volume":"15"},"uris":["http://www.mendeley.com/documents/?uuid=9d1d4c98-8386-4e08-a87a-b1349baee925"]}],"mendeley":{"formattedCitation":"(Belotti et al. 2015)","manualFormatting":"(Belotti et al. 2015; Amemiya 1985; Maddala 1983)","plainTextFormattedCitation":"(Belotti et al. 2015)","previouslyFormattedCitation":"(Belotti et al. 2015)"},"properties":{"noteIndex":0},"schema":"https://github.com/citation-style-language/schema/raw/master/csl-citation.json"}</w:instrText>
      </w:r>
      <w:r>
        <w:fldChar w:fldCharType="separate"/>
      </w:r>
      <w:r w:rsidRPr="00E36A43">
        <w:rPr>
          <w:noProof/>
        </w:rPr>
        <w:t>(Belotti et al. 2015</w:t>
      </w:r>
      <w:r>
        <w:rPr>
          <w:noProof/>
        </w:rPr>
        <w:t>;</w:t>
      </w:r>
      <w:r w:rsidRPr="000A7A32">
        <w:rPr>
          <w:b/>
          <w:bCs/>
          <w:noProof/>
        </w:rPr>
        <w:t xml:space="preserve"> </w:t>
      </w:r>
      <w:r w:rsidRPr="00F678B7">
        <w:rPr>
          <w:b/>
          <w:bCs/>
          <w:noProof/>
        </w:rPr>
        <w:t>Amemiya 1985; Maddala 1983</w:t>
      </w:r>
      <w:r w:rsidRPr="00E36A43">
        <w:rPr>
          <w:noProof/>
        </w:rPr>
        <w:t>)</w:t>
      </w:r>
      <w:r>
        <w:fldChar w:fldCharType="end"/>
      </w:r>
    </w:p>
  </w:footnote>
  <w:footnote w:id="4">
    <w:p w14:paraId="6E415283" w14:textId="77777777" w:rsidR="00617675" w:rsidRDefault="00617675" w:rsidP="00617675">
      <w:pPr>
        <w:pStyle w:val="FootnoteText"/>
      </w:pPr>
      <w:r>
        <w:rPr>
          <w:rStyle w:val="FootnoteReference"/>
        </w:rPr>
        <w:footnoteRef/>
      </w:r>
      <w:r>
        <w:t xml:space="preserve"> Need to check for normality.</w:t>
      </w:r>
    </w:p>
  </w:footnote>
  <w:footnote w:id="5">
    <w:p w14:paraId="5B076D37" w14:textId="77777777" w:rsidR="00617675" w:rsidRDefault="00617675" w:rsidP="00617675">
      <w:pPr>
        <w:pStyle w:val="FootnoteText"/>
      </w:pPr>
      <w:r w:rsidRPr="009D6AE8">
        <w:rPr>
          <w:rStyle w:val="FootnoteReference"/>
          <w:i/>
          <w:iCs/>
        </w:rPr>
        <w:footnoteRef/>
      </w:r>
      <w:r w:rsidRPr="009D6AE8">
        <w:rPr>
          <w:i/>
          <w:iCs/>
        </w:rPr>
        <w:t xml:space="preserve"> </w:t>
      </w:r>
      <w:r w:rsidRPr="009D6AE8">
        <w:rPr>
          <w:rStyle w:val="Emphasis"/>
          <w:color w:val="333333"/>
          <w:shd w:val="clear" w:color="auto" w:fill="FFFFFF"/>
        </w:rPr>
        <w:t xml:space="preserve">Nurse practitioners </w:t>
      </w:r>
      <w:proofErr w:type="gramStart"/>
      <w:r w:rsidRPr="009D6AE8">
        <w:rPr>
          <w:rStyle w:val="Emphasis"/>
          <w:color w:val="333333"/>
          <w:shd w:val="clear" w:color="auto" w:fill="FFFFFF"/>
        </w:rPr>
        <w:t>are able to</w:t>
      </w:r>
      <w:proofErr w:type="gramEnd"/>
      <w:r w:rsidRPr="009D6AE8">
        <w:rPr>
          <w:rStyle w:val="Emphasis"/>
          <w:color w:val="333333"/>
          <w:shd w:val="clear" w:color="auto" w:fill="FFFFFF"/>
        </w:rPr>
        <w:t xml:space="preserve"> practice independently with full scope of practice in certain states, work under physician supervision in other states, and most commonly specialize in primary care (CITE). These characteristics</w:t>
      </w:r>
      <w:r>
        <w:rPr>
          <w:rStyle w:val="Emphasis"/>
          <w:color w:val="333333"/>
          <w:shd w:val="clear" w:color="auto" w:fill="FFFFFF"/>
        </w:rPr>
        <w:t xml:space="preserve"> </w:t>
      </w:r>
      <w:r w:rsidRPr="009D6AE8">
        <w:rPr>
          <w:rStyle w:val="Emphasis"/>
          <w:color w:val="333333"/>
          <w:shd w:val="clear" w:color="auto" w:fill="FFFFFF"/>
        </w:rPr>
        <w:t>make them similar in specialty to primary care physicians but add a layer of complexity as they work with many other specialties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75"/>
    <w:rsid w:val="00617675"/>
    <w:rsid w:val="0076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DAF9"/>
  <w15:chartTrackingRefBased/>
  <w15:docId w15:val="{F3EC5428-F35F-4ED6-B2D2-D01A49C0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75"/>
  </w:style>
  <w:style w:type="paragraph" w:styleId="Heading1">
    <w:name w:val="heading 1"/>
    <w:basedOn w:val="Normal"/>
    <w:next w:val="Normal"/>
    <w:link w:val="Heading1Char"/>
    <w:uiPriority w:val="9"/>
    <w:qFormat/>
    <w:rsid w:val="006176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7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76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6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6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7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17675"/>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6176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7675"/>
    <w:rPr>
      <w:sz w:val="20"/>
      <w:szCs w:val="20"/>
    </w:rPr>
  </w:style>
  <w:style w:type="character" w:styleId="FootnoteReference">
    <w:name w:val="footnote reference"/>
    <w:basedOn w:val="DefaultParagraphFont"/>
    <w:uiPriority w:val="99"/>
    <w:semiHidden/>
    <w:unhideWhenUsed/>
    <w:rsid w:val="00617675"/>
    <w:rPr>
      <w:vertAlign w:val="superscript"/>
    </w:rPr>
  </w:style>
  <w:style w:type="character" w:styleId="Emphasis">
    <w:name w:val="Emphasis"/>
    <w:basedOn w:val="DefaultParagraphFont"/>
    <w:uiPriority w:val="20"/>
    <w:qFormat/>
    <w:rsid w:val="006176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E4C5ED0F27204DB3106BDB97C8D160" ma:contentTypeVersion="11" ma:contentTypeDescription="Create a new document." ma:contentTypeScope="" ma:versionID="f9f067815775810e253904e26d3d9cf3">
  <xsd:schema xmlns:xsd="http://www.w3.org/2001/XMLSchema" xmlns:xs="http://www.w3.org/2001/XMLSchema" xmlns:p="http://schemas.microsoft.com/office/2006/metadata/properties" xmlns:ns3="a2bbb430-aed3-4207-9889-e0d92d5353b1" xmlns:ns4="0dda4fb6-f41c-47d9-bf55-d23f906ff502" targetNamespace="http://schemas.microsoft.com/office/2006/metadata/properties" ma:root="true" ma:fieldsID="375fb26750b1cb9e68dca802deb2139a" ns3:_="" ns4:_="">
    <xsd:import namespace="a2bbb430-aed3-4207-9889-e0d92d5353b1"/>
    <xsd:import namespace="0dda4fb6-f41c-47d9-bf55-d23f906ff50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bb430-aed3-4207-9889-e0d92d5353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da4fb6-f41c-47d9-bf55-d23f906ff50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Nai84</b:Tag>
    <b:SourceType>JournalArticle</b:SourceType>
    <b:Guid>{E8AF818E-0F8C-4890-AACE-008FE0325DD5}</b:Guid>
    <b:Author>
      <b:Author>
        <b:NameList>
          <b:Person>
            <b:Last>Duan</b:Last>
            <b:First>Naihua</b:First>
          </b:Person>
        </b:NameList>
      </b:Author>
    </b:Author>
    <b:Title>Choosing Between the Sample-Selection Model and the Multi-Part Model</b:Title>
    <b:JournalName>Journal of Business and Economic Statistics</b:JournalName>
    <b:Year>1984</b:Year>
    <b:Pages>283-289</b:Pages>
    <b:RefOrder>22</b:RefOrder>
  </b:Source>
</b:Sources>
</file>

<file path=customXml/itemProps1.xml><?xml version="1.0" encoding="utf-8"?>
<ds:datastoreItem xmlns:ds="http://schemas.openxmlformats.org/officeDocument/2006/customXml" ds:itemID="{74C94256-57BA-490A-9A79-1FDADCEAC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bb430-aed3-4207-9889-e0d92d5353b1"/>
    <ds:schemaRef ds:uri="0dda4fb6-f41c-47d9-bf55-d23f906ff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0F42D7-EE44-4604-ADEC-84EADAD629F4}">
  <ds:schemaRefs>
    <ds:schemaRef ds:uri="http://schemas.microsoft.com/sharepoint/v3/contenttype/forms"/>
  </ds:schemaRefs>
</ds:datastoreItem>
</file>

<file path=customXml/itemProps3.xml><?xml version="1.0" encoding="utf-8"?>
<ds:datastoreItem xmlns:ds="http://schemas.openxmlformats.org/officeDocument/2006/customXml" ds:itemID="{FF14BF6F-0161-4342-BE42-780A92A2E5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816497-64A1-47B4-A46F-B1B92C73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7279</Words>
  <Characters>41493</Characters>
  <Application>Microsoft Office Word</Application>
  <DocSecurity>0</DocSecurity>
  <Lines>345</Lines>
  <Paragraphs>97</Paragraphs>
  <ScaleCrop>false</ScaleCrop>
  <Company/>
  <LinksUpToDate>false</LinksUpToDate>
  <CharactersWithSpaces>48675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Sessa, Candice</dc:creator>
  <cp:keywords/>
  <dc:description/>
  <cp:lastModifiedBy>Sessa, Candice</cp:lastModifiedBy>
  <cp:revision>1</cp:revision>
  <dcterms:created xsi:type="dcterms:W3CDTF">2020-05-31T21:40:00Z</dcterms:created>
  <dcterms:modified xsi:type="dcterms:W3CDTF">2020-05-31T21:41:00Z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0x0101005EE4C5ED0F27204DB3106BDB97C8D160</vt:lpwstr>
  </property>
</Properties>
</file>