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FA509D"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FA509D">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A509D">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FA509D">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FA509D">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1E700F" w:rsidRDefault="00FA509D" w:rsidP="004526E5">
      <w:pPr>
        <w:pStyle w:val="Heading2"/>
      </w:pPr>
      <w:r>
        <w:t xml:space="preserve"> </w:t>
      </w:r>
      <w:r w:rsidR="001E700F">
        <w:t>File structure</w:t>
      </w:r>
    </w:p>
    <w:p w:rsidR="001E700F" w:rsidRPr="001E700F" w:rsidRDefault="001E700F" w:rsidP="001E700F">
      <w:r>
        <w:t>Bla bla</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the library is the static class (and the static class template). A static class is a class (or struct) that </w:t>
      </w:r>
      <w:r w:rsidR="008035CF">
        <w:t xml:space="preserve">has </w:t>
      </w:r>
      <w:r>
        <w:t xml:space="preserve">only static elements: static functions, static data, and sub-classes. A static class has no per-instance data and no non-static functions. Hence it makes no sense to instantiate an object of a static class, and to doing so will cause a compilation error.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can be used.</w:t>
      </w:r>
    </w:p>
    <w:p w:rsidR="00FA509D" w:rsidRDefault="00FA509D" w:rsidP="00FA509D">
      <w:r>
        <w:t xml:space="preserve">An example of a static class is a GPIO pin. A target board often has a LED </w:t>
      </w:r>
      <w:r w:rsidR="008035CF">
        <w:t xml:space="preserve">that can be controlled by the application. By convention, the pin to which this LED is connected is available as the active-high output pin </w:t>
      </w:r>
      <w:r w:rsidR="008035CF" w:rsidRPr="008035CF">
        <w:rPr>
          <w:rStyle w:val="CinlineChar"/>
        </w:rPr>
        <w:t>led</w:t>
      </w:r>
      <w:r w:rsidR="008035CF">
        <w:t xml:space="preserve">. The target itself is available as </w:t>
      </w:r>
      <w:r w:rsidR="008035CF" w:rsidRPr="008035CF">
        <w:rPr>
          <w:rStyle w:val="CinlineChar"/>
        </w:rPr>
        <w:t>target</w:t>
      </w:r>
      <w:r w:rsidR="008035CF">
        <w:t xml:space="preserve">, within the namespace </w:t>
      </w:r>
      <w:r w:rsidR="008035CF" w:rsidRPr="008035CF">
        <w:rPr>
          <w:rStyle w:val="CinlineChar"/>
        </w:rPr>
        <w:t>hwlib</w:t>
      </w:r>
      <w:r w:rsidR="008035CF">
        <w:t>. The following application first initializes the LED and then enables it.</w:t>
      </w:r>
    </w:p>
    <w:p w:rsidR="008035CF" w:rsidRPr="008035CF" w:rsidRDefault="008035CF" w:rsidP="008035CF">
      <w:pPr>
        <w:pStyle w:val="Example"/>
      </w:pPr>
      <w:r w:rsidRPr="008035CF">
        <w:t>#include "hwcpp.hpp"</w:t>
      </w:r>
    </w:p>
    <w:p w:rsidR="008035CF" w:rsidRPr="008035CF" w:rsidRDefault="008035CF" w:rsidP="008035CF">
      <w:pPr>
        <w:pStyle w:val="Example"/>
      </w:pPr>
    </w:p>
    <w:p w:rsidR="008035CF" w:rsidRPr="008035CF" w:rsidRDefault="008035CF" w:rsidP="008035CF">
      <w:pPr>
        <w:pStyle w:val="Example"/>
      </w:pPr>
      <w:r w:rsidRPr="008035CF">
        <w:t xml:space="preserve">int main(){ </w:t>
      </w:r>
    </w:p>
    <w:p w:rsidR="008035CF" w:rsidRPr="008035CF" w:rsidRDefault="008035CF" w:rsidP="008035CF">
      <w:pPr>
        <w:pStyle w:val="Example"/>
      </w:pPr>
      <w:r w:rsidRPr="008035CF">
        <w:t xml:space="preserve">   hwcpp::target::led::init();</w:t>
      </w:r>
    </w:p>
    <w:p w:rsidR="008035CF" w:rsidRPr="008035CF" w:rsidRDefault="008035CF" w:rsidP="008035CF">
      <w:pPr>
        <w:pStyle w:val="Example"/>
      </w:pPr>
      <w:r w:rsidRPr="008035CF">
        <w:t xml:space="preserve">   hwcpp::target::led::set( 1 );</w:t>
      </w:r>
    </w:p>
    <w:p w:rsidR="008035CF" w:rsidRDefault="008035CF" w:rsidP="008035CF">
      <w:pPr>
        <w:pStyle w:val="Example"/>
      </w:pPr>
      <w:r w:rsidRPr="008035CF">
        <w:t>}</w:t>
      </w:r>
    </w:p>
    <w:p w:rsidR="004526E5" w:rsidRDefault="008035CF" w:rsidP="004526E5">
      <w:pPr>
        <w:pStyle w:val="Heading2"/>
      </w:pPr>
      <w:r>
        <w:t xml:space="preserve"> </w:t>
      </w:r>
      <w:bookmarkEnd w:id="4"/>
      <w:r>
        <w:t>Interfaces and concepts</w:t>
      </w:r>
    </w:p>
    <w:p w:rsidR="00C95A34" w:rsidRDefault="008035CF" w:rsidP="00DC4426">
      <w:r>
        <w:t>A static class implements on or more interfaces. It advertises this by inheriting from the maker class</w:t>
      </w:r>
      <w:r w:rsidR="001E700F">
        <w:t xml:space="preserve"> for those interfaces. This </w:t>
      </w:r>
      <w:r>
        <w:t xml:space="preserve">inserts a </w:t>
      </w:r>
      <w:r w:rsidR="001E700F">
        <w:t>maker element into the class, which is recognized by the concept for that interface. This concept can be used to constrain templates that accept only classes that implement a specific interface.</w:t>
      </w:r>
      <w:r w:rsidR="00C95A34">
        <w:t xml:space="preserve"> </w:t>
      </w:r>
    </w:p>
    <w:p w:rsidR="00C95A34" w:rsidRDefault="00C95A34" w:rsidP="00DC4426">
      <w:r>
        <w:lastRenderedPageBreak/>
        <w:t>The pin_out interface is identified by inheriting from the pin_out_marker. The is_pin_out concept tests for the presence of this marker.</w:t>
      </w:r>
    </w:p>
    <w:p w:rsidR="00C95A34" w:rsidRDefault="00C95A34" w:rsidP="00C95A34">
      <w:pPr>
        <w:pStyle w:val="Example"/>
      </w:pPr>
      <w:r>
        <w:t xml:space="preserve">struct pin_out_marker </w:t>
      </w:r>
      <w:r>
        <w:t>{</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C95A34" w:rsidRDefault="00C95A34" w:rsidP="00C95A34">
      <w:pPr>
        <w:pStyle w:val="Example"/>
      </w:pPr>
      <w:r>
        <w:t>template&lt; typename T &gt;</w:t>
      </w:r>
    </w:p>
    <w:p w:rsidR="00C95A34" w:rsidRDefault="00C95A34" w:rsidP="00C95A34">
      <w:pPr>
        <w:pStyle w:val="Example"/>
      </w:pPr>
      <w:r>
        <w:t xml:space="preserve">concept bool is_pin_out(){ </w:t>
      </w:r>
    </w:p>
    <w:p w:rsidR="00C95A34" w:rsidRDefault="00C95A34" w:rsidP="00C95A34">
      <w:pPr>
        <w:pStyle w:val="Example"/>
      </w:pPr>
      <w:r>
        <w:t xml:space="preserve">   return T::is_pin_out;</w:t>
      </w:r>
    </w:p>
    <w:p w:rsidR="00C95A34" w:rsidRDefault="00C95A34" w:rsidP="00C95A34">
      <w:pPr>
        <w:pStyle w:val="Example"/>
      </w:pPr>
      <w:r>
        <w:t>}</w:t>
      </w:r>
    </w:p>
    <w:p w:rsidR="001E700F" w:rsidRDefault="001E700F" w:rsidP="00DC4426">
      <w:r>
        <w:t xml:space="preserve">An output pin implements the is_pin_out interface, hence it inherits from pin_out_marker.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 xml:space="preserve">struct invert&lt; T &gt; : </w:t>
      </w:r>
      <w:r>
        <w:t>T {</w:t>
      </w:r>
    </w:p>
    <w:p w:rsidR="00932863" w:rsidRDefault="00932863" w:rsidP="00932863">
      <w:pPr>
        <w:pStyle w:val="Example"/>
      </w:pPr>
      <w:r>
        <w:t xml:space="preserve">   static void </w:t>
      </w:r>
      <w:r>
        <w:t xml:space="preserve">set( </w:t>
      </w:r>
      <w:r>
        <w:t xml:space="preserve">bool </w:t>
      </w:r>
      <w:r>
        <w:t xml:space="preserve">v ){ </w:t>
      </w:r>
    </w:p>
    <w:p w:rsidR="00932863" w:rsidRDefault="00932863" w:rsidP="00932863">
      <w:pPr>
        <w:pStyle w:val="Example"/>
      </w:pPr>
      <w:r>
        <w:t xml:space="preserve">       T::set( !v</w:t>
      </w:r>
      <w:r>
        <w:t xml:space="preserve"> ); </w:t>
      </w:r>
    </w:p>
    <w:p w:rsidR="00932863" w:rsidRDefault="00932863" w:rsidP="00932863">
      <w:pPr>
        <w:pStyle w:val="Example"/>
      </w:pPr>
      <w:r>
        <w:t xml:space="preserve">   </w:t>
      </w:r>
      <w:r>
        <w:t>}</w:t>
      </w:r>
    </w:p>
    <w:p w:rsidR="00932863" w:rsidRDefault="00932863" w:rsidP="00932863">
      <w:pPr>
        <w:pStyle w:val="Example"/>
      </w:pPr>
      <w:r>
        <w:t>};</w:t>
      </w:r>
    </w:p>
    <w:p w:rsidR="00932863" w:rsidRDefault="00932863" w:rsidP="00DC4426"/>
    <w:p w:rsidR="00932863" w:rsidRDefault="00932863" w:rsidP="00DC4426"/>
    <w:p w:rsidR="001E700F" w:rsidRDefault="001E700F" w:rsidP="00DC4426">
      <w:r>
        <w:t>Hello</w:t>
      </w:r>
    </w:p>
    <w:p w:rsidR="00DC4426" w:rsidRDefault="00D0673C" w:rsidP="00DC4426">
      <w:r>
        <w:t>The library</w:t>
      </w:r>
      <w:r w:rsidR="008035CF">
        <w:t xml:space="preserve"> uses</w:t>
      </w:r>
      <w:r w:rsidR="004526E5">
        <w:t xml:space="preserve"> a number of in</w:t>
      </w:r>
      <w:r w:rsidR="008035CF">
        <w:t xml:space="preserve">terfaces. </w:t>
      </w:r>
      <w:r w:rsidR="004526E5">
        <w:t xml:space="preserve">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A typical interface is shown below: pin_in_out</w:t>
      </w:r>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lastRenderedPageBreak/>
        <w:t>struct pin_in_out {</w:t>
      </w:r>
    </w:p>
    <w:p w:rsidR="00DC4426" w:rsidRPr="00D0673C" w:rsidRDefault="00DC4426" w:rsidP="00DC4426">
      <w:pPr>
        <w:pStyle w:val="Example"/>
      </w:pPr>
      <w:r w:rsidRPr="00D0673C">
        <w:t xml:space="preserve">   typedef void has_pin_in_out;</w:t>
      </w:r>
    </w:p>
    <w:p w:rsidR="00DC4426" w:rsidRPr="00D0673C" w:rsidRDefault="00DC4426" w:rsidP="00DC4426">
      <w:pPr>
        <w:pStyle w:val="Example"/>
      </w:pPr>
      <w:r w:rsidRPr="00D0673C">
        <w:t xml:space="preserve">   typedef pin_in_out interface_type;</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direction_set_input() = 0;</w:t>
      </w:r>
    </w:p>
    <w:p w:rsidR="00DC4426" w:rsidRPr="00D0673C" w:rsidRDefault="00DC4426" w:rsidP="00DC4426">
      <w:pPr>
        <w:pStyle w:val="Example"/>
      </w:pPr>
      <w:r w:rsidRPr="00D0673C">
        <w:t xml:space="preserve">   virtual void direction_set_output()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bool value ) = 0;</w:t>
      </w:r>
    </w:p>
    <w:p w:rsidR="00DC4426" w:rsidRDefault="00DC4426" w:rsidP="00DC4426">
      <w:pPr>
        <w:pStyle w:val="Example"/>
      </w:pPr>
      <w:r w:rsidRPr="00D0673C">
        <w:t>};</w:t>
      </w:r>
    </w:p>
    <w:p w:rsidR="004526E5" w:rsidRDefault="00D0673C" w:rsidP="004526E5">
      <w:r>
        <w:t>Each interface X has a void</w:t>
      </w:r>
      <w:r w:rsidR="00287A8C">
        <w:t xml:space="preserve"> member type has_X, which can be</w:t>
      </w:r>
      <w:r w:rsidR="004526E5">
        <w:t xml:space="preserve"> used to select </w:t>
      </w:r>
      <w:r>
        <w:t xml:space="preserve">the appropriate </w:t>
      </w:r>
      <w:r w:rsidR="004526E5">
        <w:t>templat</w:t>
      </w:r>
      <w:r>
        <w:t>e specializations when an object that implements the int</w:t>
      </w:r>
      <w:r w:rsidR="00287A8C">
        <w:t>erface is passed as a parameter, and to produce an appropriate error message when an object is passed that the callee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interface</w:t>
      </w:r>
      <w:r w:rsidR="004526E5">
        <w:t xml:space="preserve">_type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can have an X_init() function that must be called before any of its functions is used.</w:t>
      </w:r>
    </w:p>
    <w:p w:rsidR="00D0673C" w:rsidRDefault="00512BFC" w:rsidP="00D0673C">
      <w:pPr>
        <w:pStyle w:val="Heading2"/>
      </w:pPr>
      <w:bookmarkStart w:id="5" w:name="_Toc422918315"/>
      <w:r>
        <w:t>Objects</w:t>
      </w:r>
      <w:bookmarkEnd w:id="5"/>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pin_oc interface on a LPC1114 micro-controller. Note that the pin and port numbers are passed to the constructor as template arguments, hence the two objects have different types.</w:t>
      </w:r>
    </w:p>
    <w:p w:rsidR="00DC4426" w:rsidRPr="00554060" w:rsidRDefault="00DC4426" w:rsidP="00DC4426">
      <w:pPr>
        <w:pStyle w:val="Example"/>
        <w:rPr>
          <w:lang w:val="fr-FR"/>
        </w:rPr>
      </w:pPr>
      <w:r w:rsidRPr="00554060">
        <w:rPr>
          <w:lang w:val="fr-FR"/>
        </w:rPr>
        <w:lastRenderedPageBreak/>
        <w:t>struct lpc1114 {</w:t>
      </w:r>
    </w:p>
    <w:p w:rsidR="00DC4426" w:rsidRPr="00554060" w:rsidRDefault="00DC4426" w:rsidP="00DC4426">
      <w:pPr>
        <w:pStyle w:val="Example"/>
        <w:rPr>
          <w:lang w:val="fr-FR"/>
        </w:rPr>
      </w:pPr>
    </w:p>
    <w:p w:rsidR="00DC4426" w:rsidRPr="00554060" w:rsidRDefault="00DC4426" w:rsidP="00DC4426">
      <w:pPr>
        <w:pStyle w:val="Example"/>
        <w:rPr>
          <w:lang w:val="fr-FR"/>
        </w:rPr>
      </w:pPr>
      <w:r w:rsidRPr="00554060">
        <w:rPr>
          <w:lang w:val="fr-FR"/>
        </w:rPr>
        <w:t xml:space="preserve">   template&lt; int port, int pin &gt;</w:t>
      </w:r>
    </w:p>
    <w:p w:rsidR="00DC4426" w:rsidRDefault="00DC4426" w:rsidP="00DC4426">
      <w:pPr>
        <w:pStyle w:val="Example"/>
      </w:pPr>
      <w:r w:rsidRPr="00554060">
        <w:rPr>
          <w:lang w:val="fr-FR"/>
        </w:rPr>
        <w:t xml:space="preserve">   </w:t>
      </w:r>
      <w:r>
        <w:t xml:space="preserve">struct pin_oc final : public hwcpp::pin_oc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lpc1114::pin_oc&lt; 0, 4 &gt;();</w:t>
      </w:r>
    </w:p>
    <w:p w:rsidR="00DC4426" w:rsidRDefault="00DC4426" w:rsidP="00DC4426">
      <w:pPr>
        <w:pStyle w:val="Example"/>
      </w:pPr>
      <w:r>
        <w:t xml:space="preserve">   auto gpio_0_5 = lpc1114::pin_oc&lt;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hwcpp:pin_oc)</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6" w:name="_Toc422918316"/>
      <w:r>
        <w:t xml:space="preserve"> </w:t>
      </w:r>
      <w:r w:rsidR="00C04B0F">
        <w:t>Wrappers</w:t>
      </w:r>
      <w:bookmarkEnd w:id="6"/>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xml:space="preserve">: if an execution </w:t>
      </w:r>
      <w:r>
        <w:lastRenderedPageBreak/>
        <w:t>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7" w:name="_Toc422918317"/>
      <w:r w:rsidR="001E330E">
        <w:t>Optimization</w:t>
      </w:r>
      <w:bookmarkEnd w:id="7"/>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w:t>
      </w:r>
      <w:r w:rsidR="00812BC5">
        <w:lastRenderedPageBreak/>
        <w:t>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8" w:name="_Toc422918318"/>
      <w:bookmarkStart w:id="9" w:name="_Toc422918325"/>
      <w:r>
        <w:lastRenderedPageBreak/>
        <w:t>I/O pins and ports</w:t>
      </w:r>
      <w:bookmarkEnd w:id="9"/>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bookmarkStart w:id="10" w:name="_GoBack"/>
      <w:bookmarkEnd w:id="10"/>
    </w:p>
    <w:p w:rsidR="005B58FD" w:rsidRDefault="005B58FD" w:rsidP="005B58FD">
      <w:pPr>
        <w:pStyle w:val="Heading2"/>
      </w:pPr>
      <w:r>
        <w:t xml:space="preserve"> </w:t>
      </w:r>
      <w:bookmarkStart w:id="11" w:name="_Toc422918326"/>
      <w:r>
        <w:t>pin_*</w:t>
      </w:r>
      <w:bookmarkEnd w:id="11"/>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12" w:name="_Toc422918327"/>
      <w:r>
        <w:t>pin_pullup, pin_pulldown</w:t>
      </w:r>
      <w:bookmarkEnd w:id="12"/>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3" w:name="_Toc422918328"/>
      <w:r>
        <w:t>pin_ad, pin_da</w:t>
      </w:r>
      <w:bookmarkEnd w:id="13"/>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4" w:name="_Toc422918329"/>
      <w:r>
        <w:t>pin_*_from</w:t>
      </w:r>
      <w:bookmarkEnd w:id="14"/>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5" w:name="_Toc422918330"/>
      <w:r>
        <w:t>port_*</w:t>
      </w:r>
      <w:bookmarkEnd w:id="15"/>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6" w:name="_Toc422918331"/>
      <w:r>
        <w:t>port_*_from</w:t>
      </w:r>
      <w:bookmarkEnd w:id="16"/>
      <w:r>
        <w:t>_pins</w:t>
      </w:r>
    </w:p>
    <w:tbl>
      <w:tblPr>
        <w:tblStyle w:val="TableGrid"/>
        <w:tblW w:w="0" w:type="auto"/>
        <w:tblLook w:val="04A0" w:firstRow="1" w:lastRow="0" w:firstColumn="1" w:lastColumn="0" w:noHBand="0" w:noVBand="1"/>
      </w:tblPr>
      <w:tblGrid>
        <w:gridCol w:w="9350"/>
      </w:tblGrid>
      <w:tr w:rsidR="005B58FD" w:rsidTr="00625403">
        <w:tc>
          <w:tcPr>
            <w:tcW w:w="9576" w:type="dxa"/>
          </w:tcPr>
          <w:p w:rsidR="005B58FD" w:rsidRDefault="005B58FD" w:rsidP="00625403"/>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7" w:name="_Toc422918332"/>
      <w:r>
        <w:t>invert</w:t>
      </w:r>
      <w:bookmarkEnd w:id="17"/>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8" w:name="_Toc422918333"/>
      <w:r>
        <w:t>mirror</w:t>
      </w:r>
      <w:bookmarkEnd w:id="18"/>
    </w:p>
    <w:p w:rsidR="005B58FD" w:rsidRDefault="005B58FD" w:rsidP="005B58FD">
      <w:r>
        <w:t>TBW</w:t>
      </w:r>
    </w:p>
    <w:p w:rsidR="005B58FD" w:rsidRDefault="005B58FD" w:rsidP="005B58FD">
      <w:pPr>
        <w:pStyle w:val="Heading2"/>
      </w:pPr>
      <w:r>
        <w:t xml:space="preserve"> </w:t>
      </w:r>
      <w:bookmarkStart w:id="19" w:name="_Toc422918334"/>
      <w:r>
        <w:t>dummies</w:t>
      </w:r>
      <w:bookmarkEnd w:id="19"/>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8"/>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20" w:name="_Toc422918319"/>
      <w:r w:rsidR="0004449B">
        <w:t>D</w:t>
      </w:r>
      <w:r>
        <w:t>uration</w:t>
      </w:r>
      <w:r w:rsidR="0004449B">
        <w:t xml:space="preserve"> ADT</w:t>
      </w:r>
      <w:bookmarkEnd w:id="20"/>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21" w:name="_Toc422918320"/>
      <w:r w:rsidR="0004449B">
        <w:t>F</w:t>
      </w:r>
      <w:r w:rsidR="00FF3591">
        <w:t>requency</w:t>
      </w:r>
      <w:r w:rsidR="00034A76">
        <w:t xml:space="preserve"> </w:t>
      </w:r>
      <w:r w:rsidR="0004449B">
        <w:t>ADT</w:t>
      </w:r>
      <w:bookmarkEnd w:id="21"/>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2" w:name="_Toc422918321"/>
      <w:r w:rsidR="0004449B">
        <w:t>M</w:t>
      </w:r>
      <w:r w:rsidR="00034A76">
        <w:t>oment</w:t>
      </w:r>
      <w:r w:rsidR="0004449B">
        <w:t xml:space="preserve"> ADT</w:t>
      </w:r>
      <w:bookmarkEnd w:id="22"/>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23" w:name="_Toc422918322"/>
      <w:r w:rsidR="0004449B">
        <w:t>D</w:t>
      </w:r>
      <w:r w:rsidR="00CF7FDB">
        <w:t>elay</w:t>
      </w:r>
      <w:r w:rsidR="0004449B">
        <w:t xml:space="preserve"> service</w:t>
      </w:r>
      <w:bookmarkEnd w:id="23"/>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4" w:name="_Toc422918323"/>
      <w:r w:rsidR="0004449B">
        <w:t>C</w:t>
      </w:r>
      <w:r>
        <w:t>lock</w:t>
      </w:r>
      <w:r w:rsidR="0004449B">
        <w:t xml:space="preserve"> service</w:t>
      </w:r>
      <w:bookmarkEnd w:id="24"/>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5" w:name="_Toc422918324"/>
      <w:r w:rsidR="0004449B">
        <w:t>S</w:t>
      </w:r>
      <w:r>
        <w:t>cheduler</w:t>
      </w:r>
      <w:r w:rsidR="0004449B">
        <w:t xml:space="preserve"> service</w:t>
      </w:r>
      <w:bookmarkEnd w:id="25"/>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6" w:name="_Toc422918335"/>
      <w:r>
        <w:lastRenderedPageBreak/>
        <w:t>Graphics</w:t>
      </w:r>
      <w:bookmarkEnd w:id="26"/>
    </w:p>
    <w:p w:rsidR="00402D3D" w:rsidRPr="00402D3D" w:rsidRDefault="00402D3D" w:rsidP="00402D3D">
      <w:r>
        <w:t>This section describes how the library handles graphics.</w:t>
      </w:r>
    </w:p>
    <w:p w:rsidR="00976B52" w:rsidRDefault="00976B52" w:rsidP="00D367D8">
      <w:pPr>
        <w:pStyle w:val="Heading1"/>
      </w:pPr>
      <w:bookmarkStart w:id="27" w:name="_Toc422918336"/>
      <w:r>
        <w:lastRenderedPageBreak/>
        <w:t>External chips</w:t>
      </w:r>
      <w:bookmarkEnd w:id="27"/>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8" w:name="_Toc422918337"/>
      <w:r w:rsidR="00976B52">
        <w:t>I2C</w:t>
      </w:r>
      <w:bookmarkEnd w:id="28"/>
    </w:p>
    <w:p w:rsidR="00402D3D" w:rsidRPr="00402D3D" w:rsidRDefault="00402D3D" w:rsidP="00402D3D"/>
    <w:p w:rsidR="00976B52" w:rsidRDefault="00402D3D" w:rsidP="00976B52">
      <w:pPr>
        <w:pStyle w:val="Heading2"/>
      </w:pPr>
      <w:r>
        <w:t xml:space="preserve"> </w:t>
      </w:r>
      <w:bookmarkStart w:id="29" w:name="_Toc422918338"/>
      <w:r w:rsidR="00976B52">
        <w:t>SPI</w:t>
      </w:r>
      <w:bookmarkEnd w:id="29"/>
    </w:p>
    <w:p w:rsidR="00976B52" w:rsidRDefault="00402D3D" w:rsidP="00976B52">
      <w:pPr>
        <w:pStyle w:val="Heading2"/>
      </w:pPr>
      <w:r>
        <w:t xml:space="preserve"> </w:t>
      </w:r>
      <w:bookmarkStart w:id="30" w:name="_Toc422918339"/>
      <w:r w:rsidR="00976B52">
        <w:t>D1W</w:t>
      </w:r>
      <w:bookmarkEnd w:id="30"/>
    </w:p>
    <w:p w:rsidR="00C27A15" w:rsidRDefault="00C27A15" w:rsidP="00C27A15">
      <w:pPr>
        <w:pStyle w:val="Heading2"/>
      </w:pPr>
      <w:bookmarkStart w:id="31" w:name="_Toc422918340"/>
      <w:r>
        <w:t>ADS7843</w:t>
      </w:r>
      <w:bookmarkEnd w:id="31"/>
    </w:p>
    <w:p w:rsidR="00C27A15" w:rsidRDefault="00C27A15" w:rsidP="00C27A15">
      <w:pPr>
        <w:pStyle w:val="Heading2"/>
      </w:pPr>
      <w:bookmarkStart w:id="32" w:name="_Toc422918341"/>
      <w:r>
        <w:t>DS18x20</w:t>
      </w:r>
      <w:bookmarkEnd w:id="32"/>
    </w:p>
    <w:p w:rsidR="00C27A15" w:rsidRDefault="00C27A15" w:rsidP="00C27A15">
      <w:pPr>
        <w:pStyle w:val="Heading2"/>
      </w:pPr>
      <w:bookmarkStart w:id="33" w:name="_Toc422918342"/>
      <w:r>
        <w:t>HC595</w:t>
      </w:r>
      <w:bookmarkEnd w:id="33"/>
    </w:p>
    <w:p w:rsidR="00C27A15" w:rsidRDefault="00C27A15" w:rsidP="00C27A15">
      <w:pPr>
        <w:pStyle w:val="Heading2"/>
      </w:pPr>
      <w:bookmarkStart w:id="34" w:name="_Toc422918343"/>
      <w:r>
        <w:t>HD44780</w:t>
      </w:r>
      <w:bookmarkEnd w:id="34"/>
    </w:p>
    <w:p w:rsidR="00C27A15" w:rsidRDefault="00C27A15" w:rsidP="00C27A15">
      <w:pPr>
        <w:pStyle w:val="Heading2"/>
      </w:pPr>
      <w:r>
        <w:t xml:space="preserve"> </w:t>
      </w:r>
      <w:bookmarkStart w:id="35" w:name="_Toc422918344"/>
      <w:r>
        <w:t>MCP23xxx</w:t>
      </w:r>
      <w:bookmarkEnd w:id="35"/>
    </w:p>
    <w:p w:rsidR="00976B52" w:rsidRDefault="00402D3D" w:rsidP="00976B52">
      <w:pPr>
        <w:pStyle w:val="Heading2"/>
      </w:pPr>
      <w:r>
        <w:t xml:space="preserve"> </w:t>
      </w:r>
      <w:bookmarkStart w:id="36" w:name="_Toc422918345"/>
      <w:r w:rsidR="00976B52">
        <w:t>PCF8574(A)</w:t>
      </w:r>
      <w:bookmarkEnd w:id="36"/>
    </w:p>
    <w:p w:rsidR="00976B52" w:rsidRDefault="00976B52" w:rsidP="00976B52">
      <w:pPr>
        <w:pStyle w:val="Heading2"/>
      </w:pPr>
      <w:bookmarkStart w:id="37" w:name="_Toc422918346"/>
      <w:r>
        <w:t>PCF8591</w:t>
      </w:r>
      <w:bookmarkEnd w:id="37"/>
    </w:p>
    <w:p w:rsidR="00976B52" w:rsidRPr="00976B52" w:rsidRDefault="00976B52" w:rsidP="00976B52">
      <w:pPr>
        <w:pStyle w:val="Heading2"/>
      </w:pPr>
      <w:bookmarkStart w:id="38" w:name="_Toc422918347"/>
      <w:r>
        <w:t>PCD8544</w:t>
      </w:r>
      <w:bookmarkEnd w:id="38"/>
    </w:p>
    <w:p w:rsidR="002D53EF" w:rsidRDefault="002D53EF" w:rsidP="00D367D8">
      <w:pPr>
        <w:pStyle w:val="Heading1"/>
      </w:pPr>
      <w:bookmarkStart w:id="39" w:name="_Toc422918348"/>
      <w:r>
        <w:lastRenderedPageBreak/>
        <w:t>Miscellaneous</w:t>
      </w:r>
      <w:bookmarkEnd w:id="39"/>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40" w:name="_Toc422918349"/>
      <w:r>
        <w:t xml:space="preserve"> </w:t>
      </w:r>
      <w:r w:rsidR="00FD628D" w:rsidRPr="002D53EF">
        <w:t>default_baudrate</w:t>
      </w:r>
      <w:bookmarkEnd w:id="40"/>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41" w:name="_Toc422918350"/>
      <w:r>
        <w:t xml:space="preserve"> </w:t>
      </w:r>
      <w:r w:rsidR="00FD628D" w:rsidRPr="002D53EF">
        <w:t>HWCPP_INLINE</w:t>
      </w:r>
      <w:bookmarkEnd w:id="41"/>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2"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2"/>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3" w:name="_Toc422918352"/>
      <w:r>
        <w:lastRenderedPageBreak/>
        <w:t>Naming convention</w:t>
      </w:r>
      <w:r w:rsidR="00FD628D">
        <w:t>s</w:t>
      </w:r>
      <w:bookmarkEnd w:id="43"/>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4" w:name="_Toc422918353"/>
      <w:r>
        <w:t>*_</w:t>
      </w:r>
      <w:r w:rsidRPr="00D367D8">
        <w:t>from</w:t>
      </w:r>
      <w:bookmarkEnd w:id="44"/>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5" w:name="_Toc422918354"/>
      <w:r>
        <w:t>get, set</w:t>
      </w:r>
      <w:bookmarkEnd w:id="45"/>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6" w:name="_Toc422918355"/>
      <w:r>
        <w:t>has_*</w:t>
      </w:r>
      <w:bookmarkEnd w:id="46"/>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7" w:name="_Toc422918356"/>
      <w:r w:rsidR="00FD628D">
        <w:t>interface_type</w:t>
      </w:r>
      <w:bookmarkEnd w:id="47"/>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8" w:name="_Toc422918357"/>
      <w:r>
        <w:lastRenderedPageBreak/>
        <w:t>References</w:t>
      </w:r>
      <w:bookmarkEnd w:id="48"/>
    </w:p>
    <w:p w:rsidR="00C27A15" w:rsidRPr="00C27A15" w:rsidRDefault="00C27A15" w:rsidP="00C27A15"/>
    <w:p w:rsidR="00976B52" w:rsidRDefault="00976B52" w:rsidP="00976B52">
      <w:pPr>
        <w:pStyle w:val="Heading1"/>
      </w:pPr>
      <w:bookmarkStart w:id="49" w:name="_Toc422918358"/>
      <w:r>
        <w:lastRenderedPageBreak/>
        <w:t>ToDo</w:t>
      </w:r>
      <w:bookmarkEnd w:id="49"/>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FBC" w:rsidRDefault="00236FBC" w:rsidP="000245FB">
      <w:pPr>
        <w:spacing w:after="0" w:line="240" w:lineRule="auto"/>
      </w:pPr>
      <w:r>
        <w:separator/>
      </w:r>
    </w:p>
  </w:endnote>
  <w:endnote w:type="continuationSeparator" w:id="0">
    <w:p w:rsidR="00236FBC" w:rsidRDefault="00236FBC"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Content>
      <w:p w:rsidR="00FA509D" w:rsidRDefault="00FA509D">
        <w:pPr>
          <w:pStyle w:val="Footer"/>
        </w:pPr>
        <w:r>
          <w:ptab w:relativeTo="margin" w:alignment="right" w:leader="none"/>
        </w:r>
        <w:r>
          <w:t xml:space="preserve"> hwcpp manual - </w:t>
        </w:r>
        <w:r>
          <w:fldChar w:fldCharType="begin"/>
        </w:r>
        <w:r>
          <w:instrText>PAGE   \* MERGEFORMAT</w:instrText>
        </w:r>
        <w:r>
          <w:fldChar w:fldCharType="separate"/>
        </w:r>
        <w:r w:rsidR="005B58FD">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FBC" w:rsidRDefault="00236FBC" w:rsidP="000245FB">
      <w:pPr>
        <w:spacing w:after="0" w:line="240" w:lineRule="auto"/>
      </w:pPr>
      <w:r>
        <w:separator/>
      </w:r>
    </w:p>
  </w:footnote>
  <w:footnote w:type="continuationSeparator" w:id="0">
    <w:p w:rsidR="00236FBC" w:rsidRDefault="00236FBC" w:rsidP="000245FB">
      <w:pPr>
        <w:spacing w:after="0" w:line="240" w:lineRule="auto"/>
      </w:pPr>
      <w:r>
        <w:continuationSeparator/>
      </w:r>
    </w:p>
  </w:footnote>
  <w:footnote w:id="1">
    <w:p w:rsidR="00FA509D" w:rsidRDefault="00FA509D"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FA509D" w:rsidRPr="003F56E7" w:rsidRDefault="00FA509D">
      <w:pPr>
        <w:pStyle w:val="FootnoteText"/>
      </w:pPr>
    </w:p>
  </w:footnote>
  <w:footnote w:id="2">
    <w:p w:rsidR="00FA509D" w:rsidRPr="00BA6442" w:rsidRDefault="00FA509D">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FA509D" w:rsidRPr="00BA6442" w:rsidRDefault="00FA509D">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FA509D" w:rsidRPr="00BA6442" w:rsidRDefault="00FA509D"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FA509D" w:rsidRPr="003F56E7" w:rsidRDefault="00FA509D" w:rsidP="00FD4BCE">
      <w:pPr>
        <w:pStyle w:val="FootnoteText"/>
      </w:pPr>
      <w:r>
        <w:rPr>
          <w:rStyle w:val="FootnoteReference"/>
        </w:rPr>
        <w:footnoteRef/>
      </w:r>
      <w:r>
        <w:t xml:space="preserve"> Duck typing refers to the phrase ”</w:t>
      </w:r>
      <w:r>
        <w:rPr>
          <w:lang w:val="en"/>
        </w:rPr>
        <w:t>If it looks like a duck, swims like a duck, and quacks like a duck</w:t>
      </w:r>
      <w:r w:rsidR="005B58FD">
        <w:rPr>
          <w:lang w:val="en"/>
        </w:rPr>
        <w:t>, then it probably is a duck.” O</w:t>
      </w:r>
      <w:r>
        <w:rPr>
          <w:lang w:val="en"/>
        </w:rPr>
        <w:t>r something similar.</w:t>
      </w:r>
    </w:p>
  </w:footnote>
  <w:footnote w:id="6">
    <w:p w:rsidR="00FA509D" w:rsidRPr="00C4245C" w:rsidRDefault="00FA509D" w:rsidP="0004449B">
      <w:pPr>
        <w:pStyle w:val="FootnoteText"/>
      </w:pPr>
      <w:r>
        <w:rPr>
          <w:rStyle w:val="FootnoteReference"/>
        </w:rPr>
        <w:footnoteRef/>
      </w:r>
      <w:r>
        <w:t xml:space="preserve"> </w:t>
      </w:r>
      <w:r w:rsidRPr="00C4245C">
        <w:t>Abstract Data Type: something that behaves more or less like an integer.</w:t>
      </w:r>
    </w:p>
  </w:footnote>
  <w:footnote w:id="7">
    <w:p w:rsidR="00FA509D" w:rsidRDefault="00FA509D"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FA509D" w:rsidRDefault="00FA509D">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FA509D" w:rsidRDefault="00FA509D">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44AB"/>
    <w:rsid w:val="0056613F"/>
    <w:rsid w:val="00570040"/>
    <w:rsid w:val="00583D93"/>
    <w:rsid w:val="00587222"/>
    <w:rsid w:val="00587D42"/>
    <w:rsid w:val="005935B0"/>
    <w:rsid w:val="005941B9"/>
    <w:rsid w:val="005B58FD"/>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D4D3C"/>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A0079"/>
    <w:rsid w:val="00FA509D"/>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87AA2-5760-4F5F-99B4-15D5175E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31</Pages>
  <Words>6565</Words>
  <Characters>37422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9</cp:revision>
  <cp:lastPrinted>2015-06-24T10:10:00Z</cp:lastPrinted>
  <dcterms:created xsi:type="dcterms:W3CDTF">2017-11-28T16:45:00Z</dcterms:created>
  <dcterms:modified xsi:type="dcterms:W3CDTF">2017-12-07T12:53:00Z</dcterms:modified>
</cp:coreProperties>
</file>