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ETF 行业轮动周报</w:t>
      </w:r>
    </w:p>
    <w:p>
      <w:r>
        <w:t>报告周：2026年第9周 (2月23日-3月1日)  |  报告日期：2026-03-03  |  信号截止：2026-03-03  |  因子计算区间：2024-03-03 to 2026-03-03  |  配置版本：2025-03</w:t>
      </w:r>
    </w:p>
    <w:p>
      <w:pPr>
        <w:pStyle w:val="Heading1"/>
      </w:pPr>
      <w:r>
        <w:t>一、本期四象限分布</w:t>
      </w:r>
    </w:p>
    <w:p>
      <w:r>
        <w:drawing>
          <wp:inline xmlns:a="http://schemas.openxmlformats.org/drawingml/2006/main" xmlns:pic="http://schemas.openxmlformats.org/drawingml/2006/picture">
            <wp:extent cx="5029200" cy="2482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27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象限</w:t>
            </w:r>
          </w:p>
        </w:tc>
        <w:tc>
          <w:tcPr>
            <w:tcW w:type="dxa" w:w="4320"/>
          </w:tcPr>
          <w:p>
            <w:r>
              <w:t>行业</w:t>
            </w:r>
          </w:p>
        </w:tc>
      </w:tr>
      <w:tr>
        <w:tc>
          <w:tcPr>
            <w:tcW w:type="dxa" w:w="4320"/>
          </w:tcPr>
          <w:p>
            <w:r>
              <w:t>黄金配置区</w:t>
            </w:r>
          </w:p>
        </w:tc>
        <w:tc>
          <w:tcPr>
            <w:tcW w:type="dxa" w:w="4320"/>
          </w:tcPr>
          <w:p>
            <w:r>
              <w:t>国防军工、电子、机械设备</w:t>
            </w:r>
          </w:p>
        </w:tc>
      </w:tr>
      <w:tr>
        <w:tc>
          <w:tcPr>
            <w:tcW w:type="dxa" w:w="4320"/>
          </w:tcPr>
          <w:p>
            <w:r>
              <w:t>左侧观察区</w:t>
            </w:r>
          </w:p>
        </w:tc>
        <w:tc>
          <w:tcPr>
            <w:tcW w:type="dxa" w:w="4320"/>
          </w:tcPr>
          <w:p>
            <w:r>
              <w:t>有色金属、汽车、基础化工</w:t>
            </w:r>
          </w:p>
        </w:tc>
      </w:tr>
      <w:tr>
        <w:tc>
          <w:tcPr>
            <w:tcW w:type="dxa" w:w="4320"/>
          </w:tcPr>
          <w:p>
            <w:r>
              <w:t>高危警示区</w:t>
            </w:r>
          </w:p>
        </w:tc>
        <w:tc>
          <w:tcPr>
            <w:tcW w:type="dxa" w:w="4320"/>
          </w:tcPr>
          <w:p>
            <w:r>
              <w:t>通信、综合、国防军工、电子、电力设备、基础化工、机械设备、建筑材料、钢铁、有色金属、纺织服饰、汽车</w:t>
            </w:r>
          </w:p>
        </w:tc>
      </w:tr>
      <w:tr>
        <w:tc>
          <w:tcPr>
            <w:tcW w:type="dxa" w:w="4320"/>
          </w:tcPr>
          <w:p>
            <w:r>
              <w:t>垃圾规避区</w:t>
            </w:r>
          </w:p>
        </w:tc>
        <w:tc>
          <w:tcPr>
            <w:tcW w:type="dxa" w:w="4320"/>
          </w:tcPr>
          <w:p>
            <w:r>
              <w:t>建筑装饰、计算机、房地产、传媒、煤炭、公用事业、美容护理、交通运输、社会服务、商贸零售、家用电器、农林牧渔、医药生物、非银金融、银行、食品饮料</w:t>
            </w:r>
          </w:p>
        </w:tc>
      </w:tr>
    </w:tbl>
    <w:p>
      <w:pPr>
        <w:pStyle w:val="Heading1"/>
      </w:pPr>
      <w:r>
        <w:t>二、主观调整说明</w:t>
      </w:r>
    </w:p>
    <w:p>
      <w:r>
        <w:t>观察池：出口链 机械设备, 有色金属, 汽车；政策链 国防军工, 电子, 机械设备, 汽车；防守 银行, 公用事业</w:t>
      </w:r>
    </w:p>
    <w:p>
      <w:r>
        <w:t>否决行业：纺织服饰、电力设备</w:t>
      </w:r>
    </w:p>
    <w:p>
      <w:pPr>
        <w:pStyle w:val="Heading1"/>
      </w:pPr>
      <w:r>
        <w:t>三、本期 ETF 组合建议</w:t>
      </w:r>
    </w:p>
    <w:p>
      <w:r>
        <w:drawing>
          <wp:inline xmlns:a="http://schemas.openxmlformats.org/drawingml/2006/main" xmlns:pic="http://schemas.openxmlformats.org/drawingml/2006/picture">
            <wp:extent cx="3657600" cy="368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896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代码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理由</w:t>
            </w:r>
          </w:p>
        </w:tc>
      </w:tr>
      <w:tr>
        <w:tc>
          <w:tcPr>
            <w:tcW w:type="dxa" w:w="2160"/>
          </w:tcPr>
          <w:p>
            <w:r>
              <w:t>国防军工</w:t>
            </w:r>
          </w:p>
        </w:tc>
        <w:tc>
          <w:tcPr>
            <w:tcW w:type="dxa" w:w="2160"/>
          </w:tcPr>
          <w:p>
            <w:r>
              <w:t>512810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政策支持+军贸放量</w:t>
            </w:r>
          </w:p>
        </w:tc>
      </w:tr>
      <w:tr>
        <w:tc>
          <w:tcPr>
            <w:tcW w:type="dxa" w:w="2160"/>
          </w:tcPr>
          <w:p>
            <w:r>
              <w:t>电子</w:t>
            </w:r>
          </w:p>
        </w:tc>
        <w:tc>
          <w:tcPr>
            <w:tcW w:type="dxa" w:w="2160"/>
          </w:tcPr>
          <w:p>
            <w:r>
              <w:t>159997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半导体周期复苏+AI需求</w:t>
            </w:r>
          </w:p>
        </w:tc>
      </w:tr>
      <w:tr>
        <w:tc>
          <w:tcPr>
            <w:tcW w:type="dxa" w:w="2160"/>
          </w:tcPr>
          <w:p>
            <w:r>
              <w:t>机械设备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政策支持+出口链</w:t>
            </w:r>
          </w:p>
        </w:tc>
      </w:tr>
      <w:tr>
        <w:tc>
          <w:tcPr>
            <w:tcW w:type="dxa" w:w="2160"/>
          </w:tcPr>
          <w:p>
            <w:r>
              <w:t>有色金属</w:t>
            </w:r>
          </w:p>
        </w:tc>
        <w:tc>
          <w:tcPr>
            <w:tcW w:type="dxa" w:w="2160"/>
          </w:tcPr>
          <w:p>
            <w:r>
              <w:t>159980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资源品涨价+出口链</w:t>
            </w:r>
          </w:p>
        </w:tc>
      </w:tr>
      <w:tr>
        <w:tc>
          <w:tcPr>
            <w:tcW w:type="dxa" w:w="2160"/>
          </w:tcPr>
          <w:p>
            <w:r>
              <w:t>汽车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新能源转型+政策支持</w:t>
            </w:r>
          </w:p>
        </w:tc>
      </w:tr>
      <w:tr>
        <w:tc>
          <w:tcPr>
            <w:tcW w:type="dxa" w:w="2160"/>
          </w:tcPr>
          <w:p>
            <w:r>
              <w:t>基础化工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涨价逻辑</w:t>
            </w:r>
          </w:p>
        </w:tc>
      </w:tr>
      <w:tr>
        <w:tc>
          <w:tcPr>
            <w:tcW w:type="dxa" w:w="2160"/>
          </w:tcPr>
          <w:p>
            <w:r>
              <w:t>银行</w:t>
            </w:r>
          </w:p>
        </w:tc>
        <w:tc>
          <w:tcPr>
            <w:tcW w:type="dxa" w:w="2160"/>
          </w:tcPr>
          <w:p>
            <w:r>
              <w:t>515290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高股息+防御属性</w:t>
            </w:r>
          </w:p>
        </w:tc>
      </w:tr>
    </w:tbl>
    <w:p>
      <w:r>
        <w:t>现金留存：10%</w:t>
      </w:r>
    </w:p>
    <w:p>
      <w:pPr>
        <w:pStyle w:val="Heading1"/>
      </w:pPr>
      <w:r>
        <w:t>四、分析摘要</w:t>
      </w:r>
    </w:p>
    <w:p>
      <w:r>
        <w:t>推理链：宏观定盘(关税波动+政策支持) → 中观选池(观察池筛选+负面排除) → 微观择时(趋势分+动量) → 组合构建(4-4-2结构)</w:t>
      </w:r>
    </w:p>
    <w:p>
      <w:r>
        <w:t>新闻交叉验证</w:t>
      </w:r>
    </w:p>
    <w:p>
      <w:pPr>
        <w:pStyle w:val="ListBullet"/>
      </w:pPr>
      <w:r>
        <w:t xml:space="preserve">  • defense_military：2026年政策技术共振，军贸放量预期</w:t>
      </w:r>
    </w:p>
    <w:p>
      <w:pPr>
        <w:pStyle w:val="ListBullet"/>
      </w:pPr>
      <w:r>
        <w:t xml:space="preserve">  • machinery：工信部稳增长方案，营收目标3.5%增速</w:t>
      </w:r>
    </w:p>
    <w:p>
      <w:pPr>
        <w:pStyle w:val="ListBullet"/>
      </w:pPr>
      <w:r>
        <w:t xml:space="preserve">  • electronics：AI推动存储芯片结构性短缺</w:t>
      </w:r>
    </w:p>
    <w:p>
      <w:pPr>
        <w:pStyle w:val="ListBullet"/>
      </w:pPr>
      <w:r>
        <w:t xml:space="preserve">  • tariff_impact：美国关税豁免包括能源/电子产品</w:t>
      </w:r>
    </w:p>
    <w:p>
      <w:pPr>
        <w:pStyle w:val="Heading1"/>
      </w:pPr>
      <w:r>
        <w:t>五、Agent 完整回复</w:t>
      </w:r>
    </w:p>
    <w:p>
      <w:r>
        <w:t>（无 Agent 回复记录）</w:t>
      </w:r>
    </w:p>
    <w:p>
      <w:pPr>
        <w:pStyle w:val="Heading1"/>
      </w:pPr>
      <w:r>
        <w:t>六、风险提示</w:t>
      </w:r>
    </w:p>
    <w:p>
      <w:r>
        <w:t>集中度：中等 - 进攻层集中于政策支持行业</w:t>
      </w:r>
    </w:p>
    <w:p>
      <w:r>
        <w:t>流动性：部分ETF流动性需进一步确认</w:t>
      </w:r>
    </w:p>
    <w:p>
      <w:r>
        <w:t>宏观风险</w:t>
      </w:r>
    </w:p>
    <w:p>
      <w:pPr>
        <w:pStyle w:val="ListBullet"/>
      </w:pPr>
      <w:r>
        <w:t xml:space="preserve">  • 关税政策不确定性</w:t>
      </w:r>
    </w:p>
    <w:p>
      <w:pPr>
        <w:pStyle w:val="ListBullet"/>
      </w:pPr>
      <w:r>
        <w:t xml:space="preserve">  • 美联储政策路径</w:t>
      </w:r>
    </w:p>
    <w:p>
      <w:pPr>
        <w:pStyle w:val="ListBullet"/>
      </w:pPr>
      <w:r>
        <w:t xml:space="preserve">  • 地缘政治风险</w:t>
      </w:r>
    </w:p>
    <w:p>
      <w:r>
        <w:t>行业风险</w:t>
      </w:r>
    </w:p>
    <w:p>
      <w:pPr>
        <w:pStyle w:val="ListBullet"/>
      </w:pPr>
      <w:r>
        <w:t xml:space="preserve">  • 产能过剩(电力设备)</w:t>
      </w:r>
    </w:p>
    <w:p>
      <w:pPr>
        <w:pStyle w:val="ListBullet"/>
      </w:pPr>
      <w:r>
        <w:t xml:space="preserve">  • 技术迭代(电子)</w:t>
      </w:r>
    </w:p>
    <w:p>
      <w:pPr>
        <w:pStyle w:val="ListBullet"/>
      </w:pPr>
      <w:r>
        <w:t xml:space="preserve">  • 价格战(汽车)</w:t>
      </w:r>
    </w:p>
    <w:p/>
    <w:p>
      <w:r>
        <w:t>* 本报告由 AI Quant Assistant 自动生成，须经投研/合规审批后方可对客。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