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bookmarkEnd w:id="28"/>
    <w:bookmarkEnd w:id="29"/>
    <w:bookmarkEnd w:id="30"/>
    <w:bookmarkStart w:id="44" w:name="creds"/>
    <w:p>
      <w:pPr>
        <w:pStyle w:val="Heading1"/>
      </w:pPr>
      <w:r>
        <w:t xml:space="preserve">2. CREDs</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bookmarkEnd w:id="42"/>
    <w:bookmarkEnd w:id="43"/>
    <w:bookmarkEnd w:id="44"/>
    <w:bookmarkStart w:id="52" w:name="normativity-of-religion"/>
    <w:p>
      <w:pPr>
        <w:pStyle w:val="Heading1"/>
      </w:pPr>
      <w:r>
        <w:t xml:space="preserve">3. Normativity of Religion</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bookmarkEnd w:id="50"/>
    <w:bookmarkEnd w:id="51"/>
    <w:bookmarkEnd w:id="52"/>
    <w:bookmarkStart w:id="61" w:name="collectivism"/>
    <w:p>
      <w:pPr>
        <w:pStyle w:val="Heading1"/>
      </w:pPr>
      <w:r>
        <w:t xml:space="preserve">4. Collectivism</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bookmarkEnd w:id="67"/>
    <w:bookmarkEnd w:id="68"/>
    <w:bookmarkEnd w:id="69"/>
    <w:bookmarkStart w:id="79" w:name="non-theistic-socialisation"/>
    <w:p>
      <w:pPr>
        <w:pStyle w:val="Heading1"/>
      </w:pPr>
      <w:r>
        <w:t xml:space="preserve">6. Non-theistic Socialisation</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bookmarkEnd w:id="84"/>
    <w:bookmarkEnd w:id="85"/>
    <w:bookmarkEnd w:id="86"/>
    <w:bookmarkStart w:id="95" w:name="social-desirability"/>
    <w:p>
      <w:pPr>
        <w:pStyle w:val="Heading1"/>
      </w:pPr>
      <w:r>
        <w:t xml:space="preserve">8. Social Desirability</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bookmarkEnd w:id="93"/>
    <w:bookmarkEnd w:id="94"/>
    <w:bookmarkEnd w:id="95"/>
    <w:bookmarkStart w:id="103" w:name="meaning-in-life"/>
    <w:p>
      <w:pPr>
        <w:pStyle w:val="Heading1"/>
      </w:pPr>
      <w:r>
        <w:t xml:space="preserve">9. Meaning in Life</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bookmarkEnd w:id="102"/>
    <w:bookmarkEnd w:id="103"/>
    <w:bookmarkStart w:id="111" w:name="anthropomorphism"/>
    <w:p>
      <w:pPr>
        <w:pStyle w:val="Heading1"/>
      </w:pPr>
      <w:r>
        <w:t xml:space="preserve">10. Anthropomorphism</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bookmarkEnd w:id="109"/>
    <w:bookmarkEnd w:id="110"/>
    <w:bookmarkEnd w:id="111"/>
    <w:bookmarkStart w:id="119" w:name="mentalizing"/>
    <w:p>
      <w:pPr>
        <w:pStyle w:val="Heading1"/>
      </w:pPr>
      <w:r>
        <w:t xml:space="preserve">11. Mentalizing</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bookmarkEnd w:id="117"/>
    <w:bookmarkEnd w:id="118"/>
    <w:bookmarkEnd w:id="119"/>
    <w:bookmarkStart w:id="128" w:name="vividness-of-mental-imagery"/>
    <w:p>
      <w:pPr>
        <w:pStyle w:val="Heading1"/>
      </w:pPr>
      <w:r>
        <w:t xml:space="preserve">12. Vividness of Mental Imagery</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bookmarkEnd w:id="152"/>
    <w:bookmarkEnd w:id="153"/>
    <w:bookmarkEnd w:id="154"/>
    <w:bookmarkStart w:id="162" w:name="existential-insecurity-1"/>
    <w:p>
      <w:pPr>
        <w:pStyle w:val="Heading1"/>
      </w:pPr>
      <w:r>
        <w:t xml:space="preserve">16. Existential Insecurity</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bookmarkEnd w:id="160"/>
    <w:bookmarkEnd w:id="161"/>
    <w:bookmarkEnd w:id="162"/>
    <w:bookmarkStart w:id="170" w:name="tolerance-of-ambiguity"/>
    <w:p>
      <w:pPr>
        <w:pStyle w:val="Heading1"/>
      </w:pPr>
      <w:r>
        <w:t xml:space="preserve">17. Tolerance of Ambiguity</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2024-05-14T17:04:43Z</dcterms:created>
  <dcterms:modified xsi:type="dcterms:W3CDTF">2024-05-14T17:04:43Z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