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BD410" w14:textId="77777777" w:rsidR="004E10AE" w:rsidRDefault="00F1268B">
      <w:pPr>
        <w:pStyle w:val="Title"/>
      </w:pPr>
      <w:r>
        <w:t>Expaining Atheism - Pilot 1: CREDs/CRUDs</w:t>
      </w:r>
    </w:p>
    <w:p w14:paraId="2B3BD411" w14:textId="77777777" w:rsidR="004E10AE" w:rsidRDefault="00F1268B">
      <w:pPr>
        <w:pStyle w:val="Date"/>
      </w:pPr>
      <w:r>
        <w:t>INSERT DATE</w:t>
      </w:r>
    </w:p>
    <w:p w14:paraId="2B3BD412" w14:textId="77777777" w:rsidR="004E10AE" w:rsidRDefault="00F1268B">
      <w:pPr>
        <w:pStyle w:val="Heading1"/>
      </w:pPr>
      <w:bookmarkStart w:id="0" w:name="study-information"/>
      <w:r>
        <w:t>Study Information</w:t>
      </w:r>
    </w:p>
    <w:p w14:paraId="2B3BD413" w14:textId="77777777" w:rsidR="004E10AE" w:rsidRDefault="00F1268B">
      <w:pPr>
        <w:pStyle w:val="Heading2"/>
      </w:pPr>
      <w:bookmarkStart w:id="1" w:name="title"/>
      <w:r>
        <w:t>Title</w:t>
      </w:r>
    </w:p>
    <w:p w14:paraId="2B3BD414" w14:textId="77777777" w:rsidR="004E10AE" w:rsidRDefault="00F1268B">
      <w:pPr>
        <w:pStyle w:val="FirstParagraph"/>
      </w:pPr>
      <w:r>
        <w:t>EA Preregistration: CREDs and CRUDs</w:t>
      </w:r>
    </w:p>
    <w:p w14:paraId="2B3BD415" w14:textId="77777777" w:rsidR="004E10AE" w:rsidRDefault="00F1268B">
      <w:pPr>
        <w:pStyle w:val="Heading2"/>
      </w:pPr>
      <w:bookmarkStart w:id="2" w:name="description"/>
      <w:bookmarkEnd w:id="1"/>
      <w:r>
        <w:t>Description</w:t>
      </w:r>
    </w:p>
    <w:p w14:paraId="2B3BD416" w14:textId="77777777" w:rsidR="004E10AE" w:rsidRDefault="00F1268B">
      <w:pPr>
        <w:pStyle w:val="FirstParagraph"/>
      </w:pPr>
      <w:r>
        <w:t>This preregistration is part of a number of preregistrations for the Explaining Atheism project. Our other registrations can be found on the OSF here [ADD LINK], with copies on our FigShare, and on my GitHub.</w:t>
      </w:r>
    </w:p>
    <w:p w14:paraId="2B3BD417" w14:textId="77777777" w:rsidR="004E10AE" w:rsidRDefault="00F1268B">
      <w:pPr>
        <w:pStyle w:val="BodyText"/>
      </w:pPr>
      <w:r>
        <w:t>This registration is for the testing of the measurement and effect of Credibility Enhancing Displays (CREDs), and Credibility Undermining Displays (CRUDs) on atheism/non-belief. Specifically, this element of our first pilot project will test the scales used for the measurement of CREDs and CRUDs, and the relationship between these measures and measures of non-belief.</w:t>
      </w:r>
    </w:p>
    <w:p w14:paraId="2B3BD418" w14:textId="77777777" w:rsidR="004E10AE" w:rsidRDefault="00F1268B">
      <w:pPr>
        <w:pStyle w:val="BodyText"/>
      </w:pPr>
      <w:r>
        <w:t>Credibility Enhancing Displays are costly displays made by a model, particularly those that reflect a statement made by that model, that would seem costly if the model does not hold their expressed beliefs. Displays that show a model walking the walk, or practicing what they preach, if you will. For example if a model says a blue mushroom is toxic and then avoids eating it even when hungry, or priestly celibacy would be CREDS. A number of studies have shown historical exposure to religious CREDs may predict</w:t>
      </w:r>
      <w:r>
        <w:t xml:space="preserve"> religiosity (CITES). The present project looks to build upon this, and also update the measures for cross-cultural comparison. Conversely religious CRUDs are behaviours which undermine credibility. They are behaviours where a model contradicts their stated belief, such as breaking celibacy, or eating haram foods, and it is predicted that exposure to religious CRUDs may predict less religiosity.</w:t>
      </w:r>
    </w:p>
    <w:p w14:paraId="2B3BD419" w14:textId="77777777" w:rsidR="004E10AE" w:rsidRDefault="00F1268B">
      <w:pPr>
        <w:pStyle w:val="Heading2"/>
      </w:pPr>
      <w:bookmarkStart w:id="3" w:name="hypotheses"/>
      <w:bookmarkEnd w:id="2"/>
      <w:r>
        <w:t>Hypotheses</w:t>
      </w:r>
    </w:p>
    <w:p w14:paraId="2B3BD41A" w14:textId="77777777" w:rsidR="004E10AE" w:rsidRDefault="00F1268B">
      <w:pPr>
        <w:pStyle w:val="FirstParagraph"/>
      </w:pPr>
      <w:r>
        <w:rPr>
          <w:b/>
          <w:bCs/>
        </w:rPr>
        <w:t>CREDs</w:t>
      </w:r>
    </w:p>
    <w:p w14:paraId="2B3BD41B" w14:textId="77777777" w:rsidR="004E10AE" w:rsidRDefault="00F1268B">
      <w:pPr>
        <w:pStyle w:val="BodyText"/>
      </w:pPr>
      <w:r>
        <w:t>Lower historic CRED exposure will predict lower:</w:t>
      </w:r>
    </w:p>
    <w:p w14:paraId="2B3BD41C" w14:textId="77777777" w:rsidR="004E10AE" w:rsidRDefault="00F1268B">
      <w:pPr>
        <w:pStyle w:val="Compact"/>
        <w:numPr>
          <w:ilvl w:val="0"/>
          <w:numId w:val="2"/>
        </w:numPr>
      </w:pPr>
      <w:r>
        <w:t>Religious Identification</w:t>
      </w:r>
    </w:p>
    <w:p w14:paraId="2B3BD41D" w14:textId="77777777" w:rsidR="004E10AE" w:rsidRDefault="00F1268B">
      <w:pPr>
        <w:pStyle w:val="Compact"/>
        <w:numPr>
          <w:ilvl w:val="0"/>
          <w:numId w:val="2"/>
        </w:numPr>
      </w:pPr>
      <w:r>
        <w:t>Belief in God (continuous)</w:t>
      </w:r>
    </w:p>
    <w:p w14:paraId="2B3BD41E" w14:textId="77777777" w:rsidR="004E10AE" w:rsidRDefault="00F1268B">
      <w:pPr>
        <w:pStyle w:val="Compact"/>
        <w:numPr>
          <w:ilvl w:val="0"/>
          <w:numId w:val="2"/>
        </w:numPr>
      </w:pPr>
      <w:r>
        <w:t>Belief in God (binary)</w:t>
      </w:r>
    </w:p>
    <w:p w14:paraId="2B3BD41F" w14:textId="77777777" w:rsidR="004E10AE" w:rsidRDefault="00F1268B">
      <w:pPr>
        <w:pStyle w:val="FirstParagraph"/>
      </w:pPr>
      <w:r>
        <w:rPr>
          <w:b/>
          <w:bCs/>
        </w:rPr>
        <w:t>CRUDs</w:t>
      </w:r>
    </w:p>
    <w:p w14:paraId="2B3BD420" w14:textId="77777777" w:rsidR="004E10AE" w:rsidRDefault="00F1268B">
      <w:pPr>
        <w:pStyle w:val="BodyText"/>
      </w:pPr>
      <w:r>
        <w:lastRenderedPageBreak/>
        <w:t>Greater historic CRUD exposure will predict lower:</w:t>
      </w:r>
    </w:p>
    <w:p w14:paraId="2B3BD421" w14:textId="77777777" w:rsidR="004E10AE" w:rsidRDefault="00F1268B">
      <w:pPr>
        <w:pStyle w:val="Compact"/>
        <w:numPr>
          <w:ilvl w:val="0"/>
          <w:numId w:val="3"/>
        </w:numPr>
      </w:pPr>
      <w:r>
        <w:t>Religious Identification</w:t>
      </w:r>
    </w:p>
    <w:p w14:paraId="2B3BD422" w14:textId="77777777" w:rsidR="004E10AE" w:rsidRDefault="00F1268B">
      <w:pPr>
        <w:pStyle w:val="Compact"/>
        <w:numPr>
          <w:ilvl w:val="0"/>
          <w:numId w:val="3"/>
        </w:numPr>
      </w:pPr>
      <w:r>
        <w:t>Belief in God (continuous)</w:t>
      </w:r>
    </w:p>
    <w:p w14:paraId="2B3BD423" w14:textId="77777777" w:rsidR="004E10AE" w:rsidRDefault="00F1268B">
      <w:pPr>
        <w:pStyle w:val="Compact"/>
        <w:numPr>
          <w:ilvl w:val="0"/>
          <w:numId w:val="3"/>
        </w:numPr>
      </w:pPr>
      <w:r>
        <w:t>Belief in God (binary)</w:t>
      </w:r>
    </w:p>
    <w:p w14:paraId="2B3BD424" w14:textId="77777777" w:rsidR="004E10AE" w:rsidRDefault="00F1268B">
      <w:pPr>
        <w:pStyle w:val="Heading1"/>
      </w:pPr>
      <w:bookmarkStart w:id="4" w:name="design-plan"/>
      <w:bookmarkEnd w:id="3"/>
      <w:bookmarkEnd w:id="0"/>
      <w:r>
        <w:t>Design Plan</w:t>
      </w:r>
    </w:p>
    <w:p w14:paraId="2B3BD425" w14:textId="77777777" w:rsidR="004E10AE" w:rsidRDefault="00F1268B">
      <w:pPr>
        <w:pStyle w:val="Heading2"/>
      </w:pPr>
      <w:bookmarkStart w:id="5" w:name="study-type"/>
      <w:r>
        <w:t>Study type</w:t>
      </w:r>
    </w:p>
    <w:p w14:paraId="2B3BD426" w14:textId="77777777" w:rsidR="004E10AE" w:rsidRDefault="00F1268B">
      <w:pPr>
        <w:pStyle w:val="FirstParagraph"/>
      </w:pPr>
      <w:r>
        <w:rPr>
          <w:b/>
          <w:bCs/>
        </w:rPr>
        <w:t>Observational Study</w:t>
      </w:r>
      <w:r>
        <w:t>. Data is collected from study subjects that are not randomly assigned to a treatment. This includes surveys, natural experiments, and regression discontinuity designs.</w:t>
      </w:r>
    </w:p>
    <w:p w14:paraId="2B3BD427" w14:textId="77777777" w:rsidR="004E10AE" w:rsidRDefault="00F1268B">
      <w:pPr>
        <w:pStyle w:val="Heading2"/>
      </w:pPr>
      <w:bookmarkStart w:id="6" w:name="study-design"/>
      <w:bookmarkEnd w:id="5"/>
      <w:r>
        <w:t>Study design</w:t>
      </w:r>
    </w:p>
    <w:p w14:paraId="2B3BD428" w14:textId="77777777" w:rsidR="004E10AE" w:rsidRDefault="00F1268B">
      <w:pPr>
        <w:pStyle w:val="FirstParagraph"/>
      </w:pPr>
      <w:r>
        <w:t>This registration is for the analysis of data collected as part of our first pilot which is comprised of 5 separate surveys, one for each of the explanatory variable clusters noted in the exploratory pre-registration (see here). This specific registration concerns our socialisation survey, and is run in the in the UK and Brazil.</w:t>
      </w:r>
    </w:p>
    <w:p w14:paraId="2B3BD429" w14:textId="77777777" w:rsidR="004E10AE" w:rsidRDefault="00F1268B">
      <w:pPr>
        <w:pStyle w:val="Heading2"/>
      </w:pPr>
      <w:bookmarkStart w:id="7" w:name="randomization"/>
      <w:bookmarkEnd w:id="6"/>
      <w:r>
        <w:t>Randomization</w:t>
      </w:r>
    </w:p>
    <w:p w14:paraId="2B3BD42A" w14:textId="77777777" w:rsidR="004E10AE" w:rsidRDefault="00F1268B">
      <w:pPr>
        <w:pStyle w:val="FirstParagraph"/>
      </w:pPr>
      <w:r>
        <w:t>The CREDs and CRUDs questionnaires were not randomised due to order dependencies in the questions within these questionnaires. Both the General Belief and Supernatural Belief questionnaires were randomised within questionnaire.</w:t>
      </w:r>
    </w:p>
    <w:p w14:paraId="2B3BD42B" w14:textId="77777777" w:rsidR="004E10AE" w:rsidRDefault="00F1268B">
      <w:pPr>
        <w:pStyle w:val="Heading1"/>
      </w:pPr>
      <w:bookmarkStart w:id="8" w:name="sampling-plan"/>
      <w:bookmarkEnd w:id="7"/>
      <w:bookmarkEnd w:id="4"/>
      <w:r>
        <w:t>Sampling Plan</w:t>
      </w:r>
    </w:p>
    <w:p w14:paraId="2B3BD42C" w14:textId="77777777" w:rsidR="004E10AE" w:rsidRDefault="00F1268B">
      <w:pPr>
        <w:pStyle w:val="FirstParagraph"/>
      </w:pPr>
      <w:r>
        <w:t>We will collect representative samples for each nation. This will be done by an independent survey company, and the samples will be representative for the national population by Age, Sex and Geographic Region.</w:t>
      </w:r>
    </w:p>
    <w:p w14:paraId="2B3BD42D" w14:textId="77777777" w:rsidR="004E10AE" w:rsidRDefault="00F1268B">
      <w:pPr>
        <w:pStyle w:val="Heading2"/>
      </w:pPr>
      <w:bookmarkStart w:id="9" w:name="existing-data"/>
      <w:r>
        <w:t>Existing data</w:t>
      </w:r>
    </w:p>
    <w:p w14:paraId="2B3BD42E" w14:textId="77777777" w:rsidR="004E10AE" w:rsidRDefault="00F1268B">
      <w:pPr>
        <w:pStyle w:val="FirstParagraph"/>
      </w:pPr>
      <w:r>
        <w:rPr>
          <w:b/>
          <w:bCs/>
        </w:rPr>
        <w:t>Registration prior to accessing the data</w:t>
      </w:r>
      <w:r>
        <w:t>. As of the date of submission, the data exist, but have not been accessed by you or your collaborators. Commonly, this includes data that has been collected by another researcher or institution.</w:t>
      </w:r>
    </w:p>
    <w:p w14:paraId="2B3BD42F" w14:textId="77777777" w:rsidR="004E10AE" w:rsidRDefault="00F1268B">
      <w:pPr>
        <w:pStyle w:val="Heading2"/>
      </w:pPr>
      <w:bookmarkStart w:id="10" w:name="data-collection-procedures"/>
      <w:bookmarkEnd w:id="9"/>
      <w:r>
        <w:t>Data collection procedures</w:t>
      </w:r>
    </w:p>
    <w:p w14:paraId="2B3BD430" w14:textId="77777777" w:rsidR="004E10AE" w:rsidRDefault="00F1268B">
      <w:pPr>
        <w:pStyle w:val="FirstParagraph"/>
      </w:pPr>
      <w:r>
        <w:t>Participants are recruited by the independent survey company, Savanta Comres, from their pool of participants. Participants will be paid a local rate for their participation, and will be selected to meet representativeness requirements outlined above.</w:t>
      </w:r>
    </w:p>
    <w:p w14:paraId="2B3BD431" w14:textId="77777777" w:rsidR="004E10AE" w:rsidRDefault="00F1268B">
      <w:pPr>
        <w:pStyle w:val="Heading2"/>
      </w:pPr>
      <w:bookmarkStart w:id="11" w:name="sample-size"/>
      <w:bookmarkEnd w:id="10"/>
      <w:r>
        <w:lastRenderedPageBreak/>
        <w:t>Sample size</w:t>
      </w:r>
    </w:p>
    <w:p w14:paraId="2B3BD432" w14:textId="77777777" w:rsidR="004E10AE" w:rsidRDefault="00F1268B">
      <w:pPr>
        <w:pStyle w:val="FirstParagraph"/>
      </w:pPr>
      <w:r>
        <w:t>The sample size is 500 participants per nation.</w:t>
      </w:r>
    </w:p>
    <w:p w14:paraId="2B3BD433" w14:textId="77777777" w:rsidR="004E10AE" w:rsidRDefault="00F1268B">
      <w:pPr>
        <w:pStyle w:val="BodyText"/>
      </w:pPr>
      <w:r>
        <w:t>Brazil = 500</w:t>
      </w:r>
    </w:p>
    <w:p w14:paraId="2B3BD434" w14:textId="77777777" w:rsidR="004E10AE" w:rsidRDefault="00F1268B">
      <w:pPr>
        <w:pStyle w:val="BodyText"/>
      </w:pPr>
      <w:r>
        <w:t>UK = 500</w:t>
      </w:r>
    </w:p>
    <w:p w14:paraId="2B3BD435" w14:textId="77777777" w:rsidR="004E10AE" w:rsidRDefault="00F1268B">
      <w:pPr>
        <w:pStyle w:val="Heading2"/>
      </w:pPr>
      <w:bookmarkStart w:id="12" w:name="sample-size-rationale"/>
      <w:bookmarkEnd w:id="11"/>
      <w:r>
        <w:t>Sample size rationale</w:t>
      </w:r>
    </w:p>
    <w:p w14:paraId="2B3BD436" w14:textId="77777777" w:rsidR="004E10AE" w:rsidRDefault="00F1268B">
      <w:pPr>
        <w:pStyle w:val="FirstParagraph"/>
      </w:pPr>
      <w:r>
        <w:t>Samples are the maximally viable sample for the financial means of the project.</w:t>
      </w:r>
    </w:p>
    <w:p w14:paraId="2B3BD437" w14:textId="77777777" w:rsidR="004E10AE" w:rsidRDefault="00F1268B">
      <w:pPr>
        <w:pStyle w:val="Heading1"/>
      </w:pPr>
      <w:bookmarkStart w:id="13" w:name="variables"/>
      <w:bookmarkEnd w:id="12"/>
      <w:bookmarkEnd w:id="8"/>
      <w:r>
        <w:t>Variables</w:t>
      </w:r>
    </w:p>
    <w:p w14:paraId="2B3BD438" w14:textId="77777777" w:rsidR="004E10AE" w:rsidRDefault="00F1268B">
      <w:pPr>
        <w:pStyle w:val="Heading2"/>
      </w:pPr>
      <w:bookmarkStart w:id="14" w:name="measured-variables"/>
      <w:r>
        <w:t>Measured variables</w:t>
      </w:r>
    </w:p>
    <w:p w14:paraId="2B3BD439" w14:textId="77777777" w:rsidR="004E10AE" w:rsidRDefault="00F1268B">
      <w:pPr>
        <w:pStyle w:val="FirstParagraph"/>
      </w:pPr>
      <w:r>
        <w:t>The explanatory variables of primary interest, CRUDs and CREDs are part of a survey with the following explanatory variables. See attached variables document for definitions:</w:t>
      </w:r>
    </w:p>
    <w:p w14:paraId="2B3BD43A" w14:textId="77777777" w:rsidR="004E10AE" w:rsidRDefault="00F1268B">
      <w:pPr>
        <w:numPr>
          <w:ilvl w:val="0"/>
          <w:numId w:val="4"/>
        </w:numPr>
      </w:pPr>
      <w:r>
        <w:t>CREDs</w:t>
      </w:r>
    </w:p>
    <w:p w14:paraId="2B3BD43B" w14:textId="77777777" w:rsidR="004E10AE" w:rsidRDefault="00F1268B">
      <w:pPr>
        <w:numPr>
          <w:ilvl w:val="1"/>
          <w:numId w:val="5"/>
        </w:numPr>
      </w:pPr>
      <w:r>
        <w:t>CRED Score</w:t>
      </w:r>
    </w:p>
    <w:p w14:paraId="2B3BD43C" w14:textId="77777777" w:rsidR="004E10AE" w:rsidRDefault="00F1268B">
      <w:pPr>
        <w:numPr>
          <w:ilvl w:val="1"/>
          <w:numId w:val="5"/>
        </w:numPr>
      </w:pPr>
      <w:r>
        <w:t>CRED Score (Parental)</w:t>
      </w:r>
    </w:p>
    <w:p w14:paraId="2B3BD43D" w14:textId="77777777" w:rsidR="004E10AE" w:rsidRDefault="00F1268B">
      <w:pPr>
        <w:numPr>
          <w:ilvl w:val="1"/>
          <w:numId w:val="5"/>
        </w:numPr>
      </w:pPr>
      <w:r>
        <w:t>CRED Score (Group)</w:t>
      </w:r>
    </w:p>
    <w:p w14:paraId="2B3BD43E" w14:textId="77777777" w:rsidR="004E10AE" w:rsidRDefault="00F1268B">
      <w:pPr>
        <w:numPr>
          <w:ilvl w:val="1"/>
          <w:numId w:val="5"/>
        </w:numPr>
      </w:pPr>
      <w:r>
        <w:t>CRED Score (Group Leader)</w:t>
      </w:r>
    </w:p>
    <w:p w14:paraId="2B3BD43F" w14:textId="77777777" w:rsidR="004E10AE" w:rsidRDefault="00F1268B">
      <w:pPr>
        <w:numPr>
          <w:ilvl w:val="1"/>
          <w:numId w:val="5"/>
        </w:numPr>
      </w:pPr>
      <w:r>
        <w:t>CRED Score (Group Members)</w:t>
      </w:r>
    </w:p>
    <w:p w14:paraId="2B3BD440" w14:textId="77777777" w:rsidR="004E10AE" w:rsidRPr="00F1268B" w:rsidRDefault="00F1268B">
      <w:pPr>
        <w:numPr>
          <w:ilvl w:val="1"/>
          <w:numId w:val="5"/>
        </w:numPr>
        <w:rPr>
          <w:highlight w:val="yellow"/>
        </w:rPr>
      </w:pPr>
      <w:commentRangeStart w:id="15"/>
      <w:r w:rsidRPr="00F1268B">
        <w:rPr>
          <w:highlight w:val="yellow"/>
        </w:rPr>
        <w:t>Sincerity (Group Leader)</w:t>
      </w:r>
    </w:p>
    <w:p w14:paraId="2B3BD441" w14:textId="77777777" w:rsidR="004E10AE" w:rsidRPr="00F1268B" w:rsidRDefault="00F1268B">
      <w:pPr>
        <w:numPr>
          <w:ilvl w:val="1"/>
          <w:numId w:val="5"/>
        </w:numPr>
        <w:rPr>
          <w:highlight w:val="yellow"/>
        </w:rPr>
      </w:pPr>
      <w:r w:rsidRPr="00F1268B">
        <w:rPr>
          <w:highlight w:val="yellow"/>
        </w:rPr>
        <w:t>Sincerity (Group Member)</w:t>
      </w:r>
      <w:commentRangeEnd w:id="15"/>
      <w:r w:rsidR="00C35BF6" w:rsidRPr="00F1268B">
        <w:rPr>
          <w:rStyle w:val="CommentReference"/>
          <w:highlight w:val="yellow"/>
        </w:rPr>
        <w:commentReference w:id="15"/>
      </w:r>
    </w:p>
    <w:p w14:paraId="2B3BD442" w14:textId="77777777" w:rsidR="004E10AE" w:rsidRDefault="00F1268B">
      <w:pPr>
        <w:numPr>
          <w:ilvl w:val="0"/>
          <w:numId w:val="4"/>
        </w:numPr>
      </w:pPr>
      <w:r>
        <w:t>CRUDs</w:t>
      </w:r>
    </w:p>
    <w:p w14:paraId="2B3BD443" w14:textId="77777777" w:rsidR="004E10AE" w:rsidRDefault="00F1268B">
      <w:pPr>
        <w:numPr>
          <w:ilvl w:val="1"/>
          <w:numId w:val="6"/>
        </w:numPr>
      </w:pPr>
      <w:r>
        <w:t>CRUD Score</w:t>
      </w:r>
    </w:p>
    <w:p w14:paraId="2B3BD444" w14:textId="77777777" w:rsidR="004E10AE" w:rsidRDefault="00F1268B">
      <w:pPr>
        <w:numPr>
          <w:ilvl w:val="1"/>
          <w:numId w:val="6"/>
        </w:numPr>
      </w:pPr>
      <w:r>
        <w:t>CRUD Score (Parental)</w:t>
      </w:r>
    </w:p>
    <w:p w14:paraId="2B3BD445" w14:textId="77777777" w:rsidR="004E10AE" w:rsidRDefault="00F1268B">
      <w:pPr>
        <w:numPr>
          <w:ilvl w:val="1"/>
          <w:numId w:val="6"/>
        </w:numPr>
      </w:pPr>
      <w:r>
        <w:t>CRUD Score (Group)</w:t>
      </w:r>
    </w:p>
    <w:p w14:paraId="2B3BD446" w14:textId="77777777" w:rsidR="004E10AE" w:rsidRDefault="00F1268B">
      <w:pPr>
        <w:numPr>
          <w:ilvl w:val="1"/>
          <w:numId w:val="6"/>
        </w:numPr>
      </w:pPr>
      <w:r>
        <w:t>CRUD Score (Group Leader)</w:t>
      </w:r>
    </w:p>
    <w:p w14:paraId="2B3BD447" w14:textId="77777777" w:rsidR="004E10AE" w:rsidRDefault="00F1268B">
      <w:pPr>
        <w:numPr>
          <w:ilvl w:val="1"/>
          <w:numId w:val="6"/>
        </w:numPr>
      </w:pPr>
      <w:r>
        <w:t>CRUD Score (Group Members)</w:t>
      </w:r>
    </w:p>
    <w:p w14:paraId="2B3BD448" w14:textId="77777777" w:rsidR="004E10AE" w:rsidRDefault="00F1268B">
      <w:pPr>
        <w:numPr>
          <w:ilvl w:val="0"/>
          <w:numId w:val="4"/>
        </w:numPr>
      </w:pPr>
      <w:r>
        <w:t>Non-theistic Socialisation</w:t>
      </w:r>
    </w:p>
    <w:p w14:paraId="2B3BD449" w14:textId="77777777" w:rsidR="004E10AE" w:rsidRDefault="00F1268B">
      <w:pPr>
        <w:numPr>
          <w:ilvl w:val="0"/>
          <w:numId w:val="4"/>
        </w:numPr>
      </w:pPr>
      <w:r>
        <w:t>Normativity of Religion:</w:t>
      </w:r>
    </w:p>
    <w:p w14:paraId="2B3BD44A" w14:textId="77777777" w:rsidR="004E10AE" w:rsidRDefault="00F1268B">
      <w:pPr>
        <w:numPr>
          <w:ilvl w:val="1"/>
          <w:numId w:val="7"/>
        </w:numPr>
      </w:pPr>
      <w:r>
        <w:lastRenderedPageBreak/>
        <w:t>Normativity of Religion</w:t>
      </w:r>
    </w:p>
    <w:p w14:paraId="2B3BD44B" w14:textId="77777777" w:rsidR="004E10AE" w:rsidRDefault="00F1268B">
      <w:pPr>
        <w:numPr>
          <w:ilvl w:val="1"/>
          <w:numId w:val="7"/>
        </w:numPr>
      </w:pPr>
      <w:r>
        <w:t>Normativity (Nation)</w:t>
      </w:r>
    </w:p>
    <w:p w14:paraId="2B3BD44C" w14:textId="77777777" w:rsidR="004E10AE" w:rsidRDefault="00F1268B">
      <w:pPr>
        <w:numPr>
          <w:ilvl w:val="1"/>
          <w:numId w:val="7"/>
        </w:numPr>
      </w:pPr>
      <w:r>
        <w:t>Normativity (Ethnicity)</w:t>
      </w:r>
    </w:p>
    <w:p w14:paraId="2B3BD44D" w14:textId="77777777" w:rsidR="004E10AE" w:rsidRDefault="00F1268B">
      <w:pPr>
        <w:numPr>
          <w:ilvl w:val="1"/>
          <w:numId w:val="7"/>
        </w:numPr>
      </w:pPr>
      <w:r>
        <w:t>Normativity (Peers)</w:t>
      </w:r>
    </w:p>
    <w:p w14:paraId="2B3BD44E" w14:textId="77777777" w:rsidR="004E10AE" w:rsidRDefault="00F1268B">
      <w:pPr>
        <w:numPr>
          <w:ilvl w:val="1"/>
          <w:numId w:val="7"/>
        </w:numPr>
      </w:pPr>
      <w:r>
        <w:t>Normativity (Group)</w:t>
      </w:r>
    </w:p>
    <w:p w14:paraId="2B3BD44F" w14:textId="77777777" w:rsidR="004E10AE" w:rsidRDefault="00F1268B">
      <w:pPr>
        <w:numPr>
          <w:ilvl w:val="0"/>
          <w:numId w:val="4"/>
        </w:numPr>
      </w:pPr>
      <w:r>
        <w:t>Religious Emphasis</w:t>
      </w:r>
    </w:p>
    <w:p w14:paraId="2B3BD450" w14:textId="77777777" w:rsidR="004E10AE" w:rsidRDefault="00F1268B">
      <w:pPr>
        <w:pStyle w:val="FirstParagraph"/>
      </w:pPr>
      <w:r>
        <w:t>Similarly the outcome variables of interest are part of a wide range of response variables that are collected, see the attached codebook for all other variables. The outcome variables by which we will test our hypotheses are as follows. Again, see attached variables document for detailed defintions:</w:t>
      </w:r>
    </w:p>
    <w:p w14:paraId="2B3BD451" w14:textId="77777777" w:rsidR="004E10AE" w:rsidRDefault="00F1268B">
      <w:pPr>
        <w:pStyle w:val="Compact"/>
        <w:numPr>
          <w:ilvl w:val="0"/>
          <w:numId w:val="8"/>
        </w:numPr>
      </w:pPr>
      <w:r>
        <w:t>Belief in God (continuous)</w:t>
      </w:r>
    </w:p>
    <w:p w14:paraId="2B3BD452" w14:textId="77777777" w:rsidR="004E10AE" w:rsidRDefault="00F1268B">
      <w:pPr>
        <w:pStyle w:val="Compact"/>
        <w:numPr>
          <w:ilvl w:val="0"/>
          <w:numId w:val="8"/>
        </w:numPr>
      </w:pPr>
      <w:r>
        <w:t>Belief in God (binary)</w:t>
      </w:r>
    </w:p>
    <w:p w14:paraId="2B3BD453" w14:textId="77777777" w:rsidR="004E10AE" w:rsidRDefault="00F1268B">
      <w:pPr>
        <w:pStyle w:val="Compact"/>
        <w:numPr>
          <w:ilvl w:val="0"/>
          <w:numId w:val="8"/>
        </w:numPr>
      </w:pPr>
      <w:r>
        <w:t>Religious Identification</w:t>
      </w:r>
    </w:p>
    <w:p w14:paraId="2B3BD454" w14:textId="77777777" w:rsidR="004E10AE" w:rsidRDefault="00F1268B">
      <w:pPr>
        <w:pStyle w:val="FirstParagraph"/>
      </w:pPr>
      <w:r>
        <w:t>Details of what comprises each of these measures and scales can be found in the attached codebook.</w:t>
      </w:r>
    </w:p>
    <w:p w14:paraId="2B3BD455" w14:textId="77777777" w:rsidR="004E10AE" w:rsidRDefault="00F1268B">
      <w:pPr>
        <w:pStyle w:val="Heading2"/>
      </w:pPr>
      <w:bookmarkStart w:id="16" w:name="indices"/>
      <w:bookmarkEnd w:id="14"/>
      <w:r>
        <w:t>Indices</w:t>
      </w:r>
    </w:p>
    <w:p w14:paraId="2B3BD456" w14:textId="77777777" w:rsidR="004E10AE" w:rsidRDefault="00F1268B">
      <w:pPr>
        <w:pStyle w:val="FirstParagraph"/>
      </w:pPr>
      <w:r>
        <w:t>See attached codebook.</w:t>
      </w:r>
    </w:p>
    <w:p w14:paraId="2B3BD457" w14:textId="77777777" w:rsidR="004E10AE" w:rsidRDefault="00F1268B">
      <w:pPr>
        <w:pStyle w:val="Heading1"/>
      </w:pPr>
      <w:bookmarkStart w:id="17" w:name="analysis-plan"/>
      <w:bookmarkEnd w:id="16"/>
      <w:bookmarkEnd w:id="13"/>
      <w:r>
        <w:t>Analysis Plan</w:t>
      </w:r>
    </w:p>
    <w:p w14:paraId="2B3BD458" w14:textId="77777777" w:rsidR="004E10AE" w:rsidRDefault="00F1268B">
      <w:pPr>
        <w:pStyle w:val="FirstParagraph"/>
      </w:pPr>
      <w:r>
        <w:t>We will run confirmatory analyses for each of our response variables noted above, and all the explanatory variables outlined in the “Exploratory Analyses” section below. The confirmatory analyses are as follows:</w:t>
      </w:r>
    </w:p>
    <w:p w14:paraId="2B3BD459" w14:textId="77777777" w:rsidR="004E10AE" w:rsidRDefault="00F1268B">
      <w:pPr>
        <w:pStyle w:val="BodyText"/>
      </w:pPr>
      <w:commentRangeStart w:id="18"/>
      <w:r>
        <w:rPr>
          <w:i/>
          <w:iCs/>
        </w:rPr>
        <w:t>Confirmatory Analyses</w:t>
      </w:r>
    </w:p>
    <w:tbl>
      <w:tblPr>
        <w:tblStyle w:val="Table"/>
        <w:tblW w:w="0" w:type="auto"/>
        <w:tblLook w:val="0020" w:firstRow="1" w:lastRow="0" w:firstColumn="0" w:lastColumn="0" w:noHBand="0" w:noVBand="0"/>
      </w:tblPr>
      <w:tblGrid>
        <w:gridCol w:w="1076"/>
        <w:gridCol w:w="2481"/>
        <w:gridCol w:w="2925"/>
      </w:tblGrid>
      <w:tr w:rsidR="004E10AE" w14:paraId="2B3BD45D" w14:textId="77777777" w:rsidTr="004E10AE">
        <w:trPr>
          <w:cnfStyle w:val="100000000000" w:firstRow="1" w:lastRow="0" w:firstColumn="0" w:lastColumn="0" w:oddVBand="0" w:evenVBand="0" w:oddHBand="0" w:evenHBand="0" w:firstRowFirstColumn="0" w:firstRowLastColumn="0" w:lastRowFirstColumn="0" w:lastRowLastColumn="0"/>
          <w:tblHeader/>
        </w:trPr>
        <w:tc>
          <w:tcPr>
            <w:tcW w:w="0" w:type="auto"/>
          </w:tcPr>
          <w:p w14:paraId="2B3BD45A" w14:textId="77777777" w:rsidR="004E10AE" w:rsidRDefault="00F1268B">
            <w:pPr>
              <w:pStyle w:val="Compact"/>
            </w:pPr>
            <w:r>
              <w:t>Analysis</w:t>
            </w:r>
          </w:p>
        </w:tc>
        <w:tc>
          <w:tcPr>
            <w:tcW w:w="0" w:type="auto"/>
          </w:tcPr>
          <w:p w14:paraId="2B3BD45B" w14:textId="77777777" w:rsidR="004E10AE" w:rsidRDefault="00F1268B">
            <w:pPr>
              <w:pStyle w:val="Compact"/>
            </w:pPr>
            <w:r>
              <w:t>Explanatory Variables</w:t>
            </w:r>
          </w:p>
        </w:tc>
        <w:tc>
          <w:tcPr>
            <w:tcW w:w="0" w:type="auto"/>
          </w:tcPr>
          <w:p w14:paraId="2B3BD45C" w14:textId="77777777" w:rsidR="004E10AE" w:rsidRDefault="00F1268B">
            <w:pPr>
              <w:pStyle w:val="Compact"/>
            </w:pPr>
            <w:r>
              <w:t>Outcome Variable</w:t>
            </w:r>
          </w:p>
        </w:tc>
      </w:tr>
      <w:tr w:rsidR="004E10AE" w14:paraId="2B3BD461" w14:textId="77777777">
        <w:tc>
          <w:tcPr>
            <w:tcW w:w="0" w:type="auto"/>
          </w:tcPr>
          <w:p w14:paraId="2B3BD45E" w14:textId="77777777" w:rsidR="004E10AE" w:rsidRDefault="00F1268B">
            <w:pPr>
              <w:pStyle w:val="Compact"/>
            </w:pPr>
            <w:r>
              <w:t>CRED 1</w:t>
            </w:r>
          </w:p>
        </w:tc>
        <w:tc>
          <w:tcPr>
            <w:tcW w:w="0" w:type="auto"/>
          </w:tcPr>
          <w:p w14:paraId="2B3BD45F" w14:textId="77777777" w:rsidR="004E10AE" w:rsidRDefault="00F1268B">
            <w:pPr>
              <w:pStyle w:val="Compact"/>
            </w:pPr>
            <w:r>
              <w:t>CRED Score</w:t>
            </w:r>
          </w:p>
        </w:tc>
        <w:tc>
          <w:tcPr>
            <w:tcW w:w="0" w:type="auto"/>
          </w:tcPr>
          <w:p w14:paraId="2B3BD460" w14:textId="77777777" w:rsidR="004E10AE" w:rsidRDefault="00F1268B">
            <w:pPr>
              <w:pStyle w:val="Compact"/>
            </w:pPr>
            <w:r>
              <w:t>Belief in God (Continuous)</w:t>
            </w:r>
          </w:p>
        </w:tc>
      </w:tr>
      <w:tr w:rsidR="004E10AE" w14:paraId="2B3BD465" w14:textId="77777777">
        <w:tc>
          <w:tcPr>
            <w:tcW w:w="0" w:type="auto"/>
          </w:tcPr>
          <w:p w14:paraId="2B3BD462" w14:textId="77777777" w:rsidR="004E10AE" w:rsidRDefault="00F1268B">
            <w:pPr>
              <w:pStyle w:val="Compact"/>
            </w:pPr>
            <w:r>
              <w:t>CRED 2</w:t>
            </w:r>
          </w:p>
        </w:tc>
        <w:tc>
          <w:tcPr>
            <w:tcW w:w="0" w:type="auto"/>
          </w:tcPr>
          <w:p w14:paraId="2B3BD463" w14:textId="77777777" w:rsidR="004E10AE" w:rsidRDefault="00F1268B">
            <w:pPr>
              <w:pStyle w:val="Compact"/>
            </w:pPr>
            <w:r>
              <w:t>CRED Score</w:t>
            </w:r>
          </w:p>
        </w:tc>
        <w:tc>
          <w:tcPr>
            <w:tcW w:w="0" w:type="auto"/>
          </w:tcPr>
          <w:p w14:paraId="2B3BD464" w14:textId="77777777" w:rsidR="004E10AE" w:rsidRDefault="00F1268B">
            <w:pPr>
              <w:pStyle w:val="Compact"/>
            </w:pPr>
            <w:r>
              <w:t>Belief in God (Binary)</w:t>
            </w:r>
          </w:p>
        </w:tc>
      </w:tr>
      <w:tr w:rsidR="004E10AE" w14:paraId="2B3BD469" w14:textId="77777777">
        <w:tc>
          <w:tcPr>
            <w:tcW w:w="0" w:type="auto"/>
          </w:tcPr>
          <w:p w14:paraId="2B3BD466" w14:textId="77777777" w:rsidR="004E10AE" w:rsidRDefault="00F1268B">
            <w:pPr>
              <w:pStyle w:val="Compact"/>
            </w:pPr>
            <w:r>
              <w:t>CRED 3</w:t>
            </w:r>
          </w:p>
        </w:tc>
        <w:tc>
          <w:tcPr>
            <w:tcW w:w="0" w:type="auto"/>
          </w:tcPr>
          <w:p w14:paraId="2B3BD467" w14:textId="77777777" w:rsidR="004E10AE" w:rsidRDefault="00F1268B">
            <w:pPr>
              <w:pStyle w:val="Compact"/>
            </w:pPr>
            <w:r>
              <w:t>CRED Score</w:t>
            </w:r>
          </w:p>
        </w:tc>
        <w:tc>
          <w:tcPr>
            <w:tcW w:w="0" w:type="auto"/>
          </w:tcPr>
          <w:p w14:paraId="2B3BD468" w14:textId="77777777" w:rsidR="004E10AE" w:rsidRDefault="00F1268B">
            <w:pPr>
              <w:pStyle w:val="Compact"/>
            </w:pPr>
            <w:r>
              <w:t>Religious Identification</w:t>
            </w:r>
          </w:p>
        </w:tc>
      </w:tr>
      <w:tr w:rsidR="004E10AE" w14:paraId="2B3BD475" w14:textId="77777777">
        <w:tc>
          <w:tcPr>
            <w:tcW w:w="0" w:type="auto"/>
          </w:tcPr>
          <w:p w14:paraId="2B3BD472" w14:textId="77777777" w:rsidR="004E10AE" w:rsidRDefault="00F1268B">
            <w:pPr>
              <w:pStyle w:val="Compact"/>
            </w:pPr>
            <w:r>
              <w:t>CRUD 1</w:t>
            </w:r>
          </w:p>
        </w:tc>
        <w:tc>
          <w:tcPr>
            <w:tcW w:w="0" w:type="auto"/>
          </w:tcPr>
          <w:p w14:paraId="2B3BD473" w14:textId="77777777" w:rsidR="004E10AE" w:rsidRDefault="00F1268B">
            <w:pPr>
              <w:pStyle w:val="Compact"/>
            </w:pPr>
            <w:r>
              <w:t>CRUD Score</w:t>
            </w:r>
          </w:p>
        </w:tc>
        <w:tc>
          <w:tcPr>
            <w:tcW w:w="0" w:type="auto"/>
          </w:tcPr>
          <w:p w14:paraId="2B3BD474" w14:textId="77777777" w:rsidR="004E10AE" w:rsidRDefault="00F1268B">
            <w:pPr>
              <w:pStyle w:val="Compact"/>
            </w:pPr>
            <w:r>
              <w:t>Belief in God (Continuous)</w:t>
            </w:r>
          </w:p>
        </w:tc>
      </w:tr>
      <w:tr w:rsidR="004E10AE" w14:paraId="2B3BD479" w14:textId="77777777">
        <w:tc>
          <w:tcPr>
            <w:tcW w:w="0" w:type="auto"/>
          </w:tcPr>
          <w:p w14:paraId="2B3BD476" w14:textId="77777777" w:rsidR="004E10AE" w:rsidRDefault="00F1268B">
            <w:pPr>
              <w:pStyle w:val="Compact"/>
            </w:pPr>
            <w:r>
              <w:t>CRUD 2</w:t>
            </w:r>
          </w:p>
        </w:tc>
        <w:tc>
          <w:tcPr>
            <w:tcW w:w="0" w:type="auto"/>
          </w:tcPr>
          <w:p w14:paraId="2B3BD477" w14:textId="77777777" w:rsidR="004E10AE" w:rsidRDefault="00F1268B">
            <w:pPr>
              <w:pStyle w:val="Compact"/>
            </w:pPr>
            <w:r>
              <w:t>CRUD Score</w:t>
            </w:r>
          </w:p>
        </w:tc>
        <w:tc>
          <w:tcPr>
            <w:tcW w:w="0" w:type="auto"/>
          </w:tcPr>
          <w:p w14:paraId="2B3BD478" w14:textId="77777777" w:rsidR="004E10AE" w:rsidRDefault="00F1268B">
            <w:pPr>
              <w:pStyle w:val="Compact"/>
            </w:pPr>
            <w:r>
              <w:t>Belief in God (Binary)</w:t>
            </w:r>
          </w:p>
        </w:tc>
      </w:tr>
      <w:tr w:rsidR="004E10AE" w14:paraId="2B3BD47D" w14:textId="77777777">
        <w:tc>
          <w:tcPr>
            <w:tcW w:w="0" w:type="auto"/>
          </w:tcPr>
          <w:p w14:paraId="2B3BD47A" w14:textId="77777777" w:rsidR="004E10AE" w:rsidRDefault="00F1268B">
            <w:pPr>
              <w:pStyle w:val="Compact"/>
            </w:pPr>
            <w:r>
              <w:t>CRUD 3</w:t>
            </w:r>
          </w:p>
        </w:tc>
        <w:tc>
          <w:tcPr>
            <w:tcW w:w="0" w:type="auto"/>
          </w:tcPr>
          <w:p w14:paraId="2B3BD47B" w14:textId="77777777" w:rsidR="004E10AE" w:rsidRDefault="00F1268B">
            <w:pPr>
              <w:pStyle w:val="Compact"/>
            </w:pPr>
            <w:r>
              <w:t>CRUD Score</w:t>
            </w:r>
          </w:p>
        </w:tc>
        <w:tc>
          <w:tcPr>
            <w:tcW w:w="0" w:type="auto"/>
          </w:tcPr>
          <w:p w14:paraId="2B3BD47C" w14:textId="77777777" w:rsidR="004E10AE" w:rsidRDefault="00F1268B">
            <w:pPr>
              <w:pStyle w:val="Compact"/>
            </w:pPr>
            <w:r>
              <w:t>Religious Identification</w:t>
            </w:r>
          </w:p>
        </w:tc>
      </w:tr>
    </w:tbl>
    <w:commentRangeEnd w:id="18"/>
    <w:p w14:paraId="01FC64FE" w14:textId="77777777" w:rsidR="0081239E" w:rsidRDefault="00943559">
      <w:pPr>
        <w:pStyle w:val="BodyText"/>
        <w:rPr>
          <w:i/>
          <w:iCs/>
        </w:rPr>
      </w:pPr>
      <w:r>
        <w:rPr>
          <w:rStyle w:val="CommentReference"/>
        </w:rPr>
        <w:commentReference w:id="18"/>
      </w:r>
    </w:p>
    <w:p w14:paraId="03FB8FEA" w14:textId="77777777" w:rsidR="0081239E" w:rsidRDefault="0081239E">
      <w:pPr>
        <w:pStyle w:val="BodyText"/>
        <w:rPr>
          <w:i/>
          <w:iCs/>
        </w:rPr>
      </w:pPr>
    </w:p>
    <w:p w14:paraId="2B3BD486" w14:textId="4ABB06AA" w:rsidR="004E10AE" w:rsidRPr="00F1268B" w:rsidRDefault="00F1268B">
      <w:pPr>
        <w:pStyle w:val="BodyText"/>
        <w:rPr>
          <w:highlight w:val="yellow"/>
        </w:rPr>
      </w:pPr>
      <w:r w:rsidRPr="00F1268B">
        <w:rPr>
          <w:i/>
          <w:iCs/>
          <w:highlight w:val="yellow"/>
        </w:rPr>
        <w:lastRenderedPageBreak/>
        <w:t>Measurement Models</w:t>
      </w:r>
    </w:p>
    <w:p w14:paraId="2B3BD487" w14:textId="77777777" w:rsidR="004E10AE" w:rsidRDefault="00F1268B">
      <w:pPr>
        <w:pStyle w:val="BodyText"/>
      </w:pPr>
      <w:r w:rsidRPr="00F1268B">
        <w:rPr>
          <w:highlight w:val="yellow"/>
        </w:rPr>
        <w:t>We will also analyse the factor structure of the CRED measure. In the first instance we will examine whether the full scale can reasonably be split into the distinctive CRED variables we have defined in the variable section above.</w:t>
      </w:r>
    </w:p>
    <w:p w14:paraId="2B3BD488" w14:textId="77777777" w:rsidR="004E10AE" w:rsidRDefault="00F1268B">
      <w:pPr>
        <w:pStyle w:val="Heading2"/>
      </w:pPr>
      <w:bookmarkStart w:id="19" w:name="statistical-models"/>
      <w:r>
        <w:t>Statistical models</w:t>
      </w:r>
    </w:p>
    <w:p w14:paraId="2B3BD489" w14:textId="77777777" w:rsidR="004E10AE" w:rsidRDefault="00F1268B">
      <w:pPr>
        <w:pStyle w:val="FirstParagraph"/>
      </w:pPr>
      <w:r>
        <w:t>Bayesian Regression Models will be used to make inferences in the first instance.</w:t>
      </w:r>
    </w:p>
    <w:p w14:paraId="2B3BD48A" w14:textId="77777777" w:rsidR="004E10AE" w:rsidRDefault="00F1268B">
      <w:pPr>
        <w:pStyle w:val="BodyText"/>
      </w:pPr>
      <w:r>
        <w:t>Model specifications can be found in the attached Excel file.</w:t>
      </w:r>
    </w:p>
    <w:p w14:paraId="2B3BD48B" w14:textId="77777777" w:rsidR="004E10AE" w:rsidRDefault="00F1268B">
      <w:pPr>
        <w:pStyle w:val="BodyText"/>
      </w:pPr>
      <w:r>
        <w:t>We will treat outcome variables that are single Likert scale measures as ordinal, and as such will use cumulative probit regression following the following structure:</w:t>
      </w:r>
    </w:p>
    <w:p w14:paraId="2B3BD48C" w14:textId="77777777" w:rsidR="004E10AE" w:rsidRDefault="00F1268B">
      <w:pPr>
        <w:pStyle w:val="SourceCode"/>
      </w:pPr>
      <w:r>
        <w:rPr>
          <w:rStyle w:val="FunctionTok"/>
        </w:rPr>
        <w:t>library</w:t>
      </w:r>
      <w:r>
        <w:rPr>
          <w:rStyle w:val="NormalTok"/>
        </w:rPr>
        <w:t>(</w:t>
      </w:r>
      <w:r>
        <w:rPr>
          <w:rStyle w:val="StringTok"/>
        </w:rPr>
        <w:t>"brms"</w:t>
      </w:r>
      <w:r>
        <w:rPr>
          <w:rStyle w:val="NormalTok"/>
        </w:rPr>
        <w:t>)</w:t>
      </w:r>
      <w:r>
        <w:br/>
      </w:r>
      <w:r>
        <w:br/>
      </w:r>
      <w:r>
        <w:br/>
      </w:r>
      <w:r>
        <w:rPr>
          <w:rStyle w:val="NormalTok"/>
        </w:rPr>
        <w:t xml:space="preserve">exampleProbitModel </w:t>
      </w:r>
      <w:r>
        <w:rPr>
          <w:rStyle w:val="OtherTok"/>
        </w:rPr>
        <w:t>&lt;-</w:t>
      </w:r>
      <w:r>
        <w:br/>
      </w:r>
      <w:r>
        <w:rPr>
          <w:rStyle w:val="NormalTok"/>
        </w:rPr>
        <w:t xml:space="preserve">  </w:t>
      </w:r>
      <w:r>
        <w:rPr>
          <w:rStyle w:val="FunctionTok"/>
        </w:rPr>
        <w:t>brm</w:t>
      </w:r>
      <w:r>
        <w:rPr>
          <w:rStyle w:val="NormalTok"/>
        </w:rPr>
        <w:t>(</w:t>
      </w:r>
      <w:r>
        <w:rPr>
          <w:rStyle w:val="AttributeTok"/>
        </w:rPr>
        <w:t>formula =</w:t>
      </w:r>
      <w:r>
        <w:rPr>
          <w:rStyle w:val="NormalTok"/>
        </w:rPr>
        <w:t xml:space="preserve"> outcome_variable </w:t>
      </w:r>
      <w:r>
        <w:rPr>
          <w:rStyle w:val="SpecialCharTok"/>
        </w:rPr>
        <w:t>~</w:t>
      </w:r>
      <w:r>
        <w:rPr>
          <w:rStyle w:val="NormalTok"/>
        </w:rPr>
        <w:t xml:space="preserve"> explanatory_variable_1 </w:t>
      </w:r>
      <w:r>
        <w:rPr>
          <w:rStyle w:val="SpecialCharTok"/>
        </w:rPr>
        <w:t>+</w:t>
      </w:r>
      <w:r>
        <w:br/>
      </w:r>
      <w:r>
        <w:rPr>
          <w:rStyle w:val="NormalTok"/>
        </w:rPr>
        <w:t xml:space="preserve">                                   explanatory_variable_2 </w:t>
      </w:r>
      <w:r>
        <w:rPr>
          <w:rStyle w:val="SpecialCharTok"/>
        </w:rPr>
        <w:t>+</w:t>
      </w:r>
      <w:r>
        <w:br/>
      </w:r>
      <w:r>
        <w:rPr>
          <w:rStyle w:val="NormalTok"/>
        </w:rPr>
        <w:t xml:space="preserve">                                   explanatory_variable_3 </w:t>
      </w:r>
      <w:r>
        <w:rPr>
          <w:rStyle w:val="SpecialCharTok"/>
        </w:rPr>
        <w:t>+</w:t>
      </w:r>
      <w:r>
        <w:br/>
      </w:r>
      <w:r>
        <w:rPr>
          <w:rStyle w:val="NormalTok"/>
        </w:rPr>
        <w:t xml:space="preserve">                                   explanatory_variable_n,</w:t>
      </w:r>
      <w:r>
        <w:br/>
      </w:r>
      <w:r>
        <w:rPr>
          <w:rStyle w:val="NormalTok"/>
        </w:rPr>
        <w:t xml:space="preserve">      </w:t>
      </w:r>
      <w:r>
        <w:rPr>
          <w:rStyle w:val="AttributeTok"/>
        </w:rPr>
        <w:t>prior =</w:t>
      </w:r>
      <w:r>
        <w:rPr>
          <w:rStyle w:val="NormalTok"/>
        </w:rPr>
        <w:t xml:space="preserve"> priors,</w:t>
      </w:r>
      <w:r>
        <w:br/>
      </w:r>
      <w:r>
        <w:rPr>
          <w:rStyle w:val="NormalTok"/>
        </w:rPr>
        <w:t xml:space="preserve">      </w:t>
      </w:r>
      <w:r>
        <w:rPr>
          <w:rStyle w:val="AttributeTok"/>
        </w:rPr>
        <w:t>data =</w:t>
      </w:r>
      <w:r>
        <w:rPr>
          <w:rStyle w:val="NormalTok"/>
        </w:rPr>
        <w:t xml:space="preserve"> data, </w:t>
      </w:r>
      <w:r>
        <w:br/>
      </w:r>
      <w:r>
        <w:rPr>
          <w:rStyle w:val="NormalTok"/>
        </w:rPr>
        <w:t xml:space="preserve">      </w:t>
      </w:r>
      <w:r>
        <w:rPr>
          <w:rStyle w:val="AttributeTok"/>
        </w:rPr>
        <w:t>family =</w:t>
      </w:r>
      <w:r>
        <w:rPr>
          <w:rStyle w:val="NormalTok"/>
        </w:rPr>
        <w:t xml:space="preserve"> </w:t>
      </w:r>
      <w:r>
        <w:rPr>
          <w:rStyle w:val="FunctionTok"/>
        </w:rPr>
        <w:t>cumulative</w:t>
      </w:r>
      <w:r>
        <w:rPr>
          <w:rStyle w:val="NormalTok"/>
        </w:rPr>
        <w:t>(</w:t>
      </w:r>
      <w:r>
        <w:rPr>
          <w:rStyle w:val="AttributeTok"/>
        </w:rPr>
        <w:t>link =</w:t>
      </w:r>
      <w:r>
        <w:rPr>
          <w:rStyle w:val="NormalTok"/>
        </w:rPr>
        <w:t xml:space="preserve"> </w:t>
      </w:r>
      <w:r>
        <w:rPr>
          <w:rStyle w:val="StringTok"/>
        </w:rPr>
        <w:t>"probit"</w:t>
      </w:r>
      <w:r>
        <w:rPr>
          <w:rStyle w:val="NormalTok"/>
        </w:rPr>
        <w:t>),</w:t>
      </w:r>
      <w:r>
        <w:br/>
      </w:r>
      <w:r>
        <w:rPr>
          <w:rStyle w:val="NormalTok"/>
        </w:rPr>
        <w:t xml:space="preserve">      </w:t>
      </w:r>
      <w:r>
        <w:rPr>
          <w:rStyle w:val="AttributeTok"/>
        </w:rPr>
        <w:t>chains =</w:t>
      </w:r>
      <w:r>
        <w:rPr>
          <w:rStyle w:val="NormalTok"/>
        </w:rPr>
        <w:t xml:space="preserve"> </w:t>
      </w:r>
      <w:r>
        <w:rPr>
          <w:rStyle w:val="DecValTok"/>
        </w:rPr>
        <w:t>4</w:t>
      </w:r>
      <w:r>
        <w:rPr>
          <w:rStyle w:val="NormalTok"/>
        </w:rPr>
        <w:t>,</w:t>
      </w:r>
      <w:r>
        <w:br/>
      </w:r>
      <w:r>
        <w:rPr>
          <w:rStyle w:val="NormalTok"/>
        </w:rPr>
        <w:t xml:space="preserve">      </w:t>
      </w:r>
      <w:r>
        <w:rPr>
          <w:rStyle w:val="AttributeTok"/>
        </w:rPr>
        <w:t>cores =</w:t>
      </w:r>
      <w:r>
        <w:rPr>
          <w:rStyle w:val="NormalTok"/>
        </w:rPr>
        <w:t xml:space="preserve"> </w:t>
      </w:r>
      <w:r>
        <w:rPr>
          <w:rStyle w:val="DecValTok"/>
        </w:rPr>
        <w:t>4</w:t>
      </w:r>
      <w:r>
        <w:rPr>
          <w:rStyle w:val="NormalTok"/>
        </w:rPr>
        <w:t>,</w:t>
      </w:r>
      <w:r>
        <w:br/>
      </w:r>
      <w:r>
        <w:rPr>
          <w:rStyle w:val="NormalTok"/>
        </w:rPr>
        <w:t xml:space="preserve">      </w:t>
      </w:r>
      <w:r>
        <w:rPr>
          <w:rStyle w:val="AttributeTok"/>
        </w:rPr>
        <w:t>threads =</w:t>
      </w:r>
      <w:r>
        <w:rPr>
          <w:rStyle w:val="NormalTok"/>
        </w:rPr>
        <w:t xml:space="preserve"> </w:t>
      </w:r>
      <w:r>
        <w:rPr>
          <w:rStyle w:val="DecValTok"/>
        </w:rPr>
        <w:t>2</w:t>
      </w:r>
      <w:r>
        <w:rPr>
          <w:rStyle w:val="NormalTok"/>
        </w:rPr>
        <w:t>,</w:t>
      </w:r>
      <w:r>
        <w:br/>
      </w:r>
      <w:r>
        <w:rPr>
          <w:rStyle w:val="NormalTok"/>
        </w:rPr>
        <w:t xml:space="preserve">      </w:t>
      </w:r>
      <w:r>
        <w:rPr>
          <w:rStyle w:val="AttributeTok"/>
        </w:rPr>
        <w:t>iter =</w:t>
      </w:r>
      <w:r>
        <w:rPr>
          <w:rStyle w:val="NormalTok"/>
        </w:rPr>
        <w:t xml:space="preserve"> </w:t>
      </w:r>
      <w:r>
        <w:rPr>
          <w:rStyle w:val="DecValTok"/>
        </w:rPr>
        <w:t>3000</w:t>
      </w:r>
      <w:r>
        <w:rPr>
          <w:rStyle w:val="NormalTok"/>
        </w:rPr>
        <w:t>,</w:t>
      </w:r>
      <w:r>
        <w:br/>
      </w:r>
      <w:r>
        <w:rPr>
          <w:rStyle w:val="NormalTok"/>
        </w:rPr>
        <w:t xml:space="preserve">      </w:t>
      </w:r>
      <w:r>
        <w:rPr>
          <w:rStyle w:val="AttributeTok"/>
        </w:rPr>
        <w:t>warmup =</w:t>
      </w:r>
      <w:r>
        <w:rPr>
          <w:rStyle w:val="NormalTok"/>
        </w:rPr>
        <w:t xml:space="preserve"> </w:t>
      </w:r>
      <w:r>
        <w:rPr>
          <w:rStyle w:val="DecValTok"/>
        </w:rPr>
        <w:t>1000</w:t>
      </w:r>
      <w:r>
        <w:rPr>
          <w:rStyle w:val="NormalTok"/>
        </w:rPr>
        <w:t>,</w:t>
      </w:r>
      <w:r>
        <w:br/>
      </w:r>
      <w:r>
        <w:rPr>
          <w:rStyle w:val="NormalTok"/>
        </w:rPr>
        <w:t xml:space="preserve">      </w:t>
      </w:r>
      <w:r>
        <w:rPr>
          <w:rStyle w:val="AttributeTok"/>
        </w:rPr>
        <w:t>seed =</w:t>
      </w:r>
      <w:r>
        <w:rPr>
          <w:rStyle w:val="NormalTok"/>
        </w:rPr>
        <w:t xml:space="preserve"> </w:t>
      </w:r>
      <w:r>
        <w:rPr>
          <w:rStyle w:val="DecValTok"/>
        </w:rPr>
        <w:t>2023</w:t>
      </w:r>
      <w:r>
        <w:rPr>
          <w:rStyle w:val="NormalTok"/>
        </w:rPr>
        <w:t xml:space="preserve">, </w:t>
      </w:r>
      <w:r>
        <w:br/>
      </w:r>
      <w:r>
        <w:rPr>
          <w:rStyle w:val="NormalTok"/>
        </w:rPr>
        <w:t xml:space="preserve">      </w:t>
      </w:r>
      <w:r>
        <w:rPr>
          <w:rStyle w:val="AttributeTok"/>
        </w:rPr>
        <w:t>backend =</w:t>
      </w:r>
      <w:r>
        <w:rPr>
          <w:rStyle w:val="NormalTok"/>
        </w:rPr>
        <w:t xml:space="preserve"> </w:t>
      </w:r>
      <w:r>
        <w:rPr>
          <w:rStyle w:val="StringTok"/>
        </w:rPr>
        <w:t>"cmdstanr"</w:t>
      </w:r>
      <w:r>
        <w:rPr>
          <w:rStyle w:val="NormalTok"/>
        </w:rPr>
        <w:t>)</w:t>
      </w:r>
    </w:p>
    <w:p w14:paraId="2B3BD48D" w14:textId="77777777" w:rsidR="004E10AE" w:rsidRDefault="00F1268B">
      <w:pPr>
        <w:pStyle w:val="FirstParagraph"/>
      </w:pPr>
      <w:r>
        <w:t>For binary outcomes we will use logistic regression with the following format:</w:t>
      </w:r>
    </w:p>
    <w:p w14:paraId="2B3BD48E" w14:textId="77777777" w:rsidR="004E10AE" w:rsidRDefault="00F1268B">
      <w:pPr>
        <w:pStyle w:val="SourceCode"/>
      </w:pPr>
      <w:r>
        <w:rPr>
          <w:rStyle w:val="FunctionTok"/>
        </w:rPr>
        <w:t>library</w:t>
      </w:r>
      <w:r>
        <w:rPr>
          <w:rStyle w:val="NormalTok"/>
        </w:rPr>
        <w:t>(</w:t>
      </w:r>
      <w:r>
        <w:rPr>
          <w:rStyle w:val="StringTok"/>
        </w:rPr>
        <w:t>"brms"</w:t>
      </w:r>
      <w:r>
        <w:rPr>
          <w:rStyle w:val="NormalTok"/>
        </w:rPr>
        <w:t>)</w:t>
      </w:r>
      <w:r>
        <w:br/>
      </w:r>
      <w:r>
        <w:br/>
      </w:r>
      <w:r>
        <w:rPr>
          <w:rStyle w:val="NormalTok"/>
        </w:rPr>
        <w:t>exampleLogisticModel</w:t>
      </w:r>
      <w:r>
        <w:rPr>
          <w:rStyle w:val="OtherTok"/>
        </w:rPr>
        <w:t>&lt;-</w:t>
      </w:r>
      <w:r>
        <w:rPr>
          <w:rStyle w:val="NormalTok"/>
        </w:rPr>
        <w:t xml:space="preserve"> </w:t>
      </w:r>
      <w:r>
        <w:br/>
      </w:r>
      <w:r>
        <w:rPr>
          <w:rStyle w:val="NormalTok"/>
        </w:rPr>
        <w:t xml:space="preserve">  </w:t>
      </w:r>
      <w:r>
        <w:rPr>
          <w:rStyle w:val="FunctionTok"/>
        </w:rPr>
        <w:t>brm</w:t>
      </w:r>
      <w:r>
        <w:rPr>
          <w:rStyle w:val="NormalTok"/>
        </w:rPr>
        <w:t>(</w:t>
      </w:r>
      <w:r>
        <w:rPr>
          <w:rStyle w:val="AttributeTok"/>
        </w:rPr>
        <w:t>formula =</w:t>
      </w:r>
      <w:r>
        <w:rPr>
          <w:rStyle w:val="NormalTok"/>
        </w:rPr>
        <w:t xml:space="preserve"> outcome_variable </w:t>
      </w:r>
      <w:r>
        <w:rPr>
          <w:rStyle w:val="SpecialCharTok"/>
        </w:rPr>
        <w:t>~</w:t>
      </w:r>
      <w:r>
        <w:rPr>
          <w:rStyle w:val="NormalTok"/>
        </w:rPr>
        <w:t xml:space="preserve"> explanatory_variable_1 </w:t>
      </w:r>
      <w:r>
        <w:rPr>
          <w:rStyle w:val="SpecialCharTok"/>
        </w:rPr>
        <w:t>+</w:t>
      </w:r>
      <w:r>
        <w:br/>
      </w:r>
      <w:r>
        <w:rPr>
          <w:rStyle w:val="NormalTok"/>
        </w:rPr>
        <w:t xml:space="preserve">                                   explanatory_variable_2 </w:t>
      </w:r>
      <w:r>
        <w:rPr>
          <w:rStyle w:val="SpecialCharTok"/>
        </w:rPr>
        <w:t>+</w:t>
      </w:r>
      <w:r>
        <w:br/>
      </w:r>
      <w:r>
        <w:rPr>
          <w:rStyle w:val="NormalTok"/>
        </w:rPr>
        <w:t xml:space="preserve">                                   explanatory_variable_3 </w:t>
      </w:r>
      <w:r>
        <w:rPr>
          <w:rStyle w:val="SpecialCharTok"/>
        </w:rPr>
        <w:t>+</w:t>
      </w:r>
      <w:r>
        <w:br/>
      </w:r>
      <w:r>
        <w:rPr>
          <w:rStyle w:val="NormalTok"/>
        </w:rPr>
        <w:t xml:space="preserve">                                   explanatory_variable_n,</w:t>
      </w:r>
      <w:r>
        <w:br/>
      </w:r>
      <w:r>
        <w:rPr>
          <w:rStyle w:val="NormalTok"/>
        </w:rPr>
        <w:t xml:space="preserve">      </w:t>
      </w:r>
      <w:r>
        <w:rPr>
          <w:rStyle w:val="AttributeTok"/>
        </w:rPr>
        <w:t>prior =</w:t>
      </w:r>
      <w:r>
        <w:rPr>
          <w:rStyle w:val="NormalTok"/>
        </w:rPr>
        <w:t xml:space="preserve"> priors,</w:t>
      </w:r>
      <w:r>
        <w:br/>
      </w:r>
      <w:r>
        <w:rPr>
          <w:rStyle w:val="NormalTok"/>
        </w:rPr>
        <w:t xml:space="preserve">      </w:t>
      </w:r>
      <w:r>
        <w:rPr>
          <w:rStyle w:val="AttributeTok"/>
        </w:rPr>
        <w:t>data =</w:t>
      </w:r>
      <w:r>
        <w:rPr>
          <w:rStyle w:val="NormalTok"/>
        </w:rPr>
        <w:t xml:space="preserve"> data, </w:t>
      </w:r>
      <w:r>
        <w:br/>
      </w:r>
      <w:r>
        <w:rPr>
          <w:rStyle w:val="NormalTok"/>
        </w:rPr>
        <w:t xml:space="preserve">      </w:t>
      </w:r>
      <w:r>
        <w:rPr>
          <w:rStyle w:val="AttributeTok"/>
        </w:rPr>
        <w:t>family =</w:t>
      </w:r>
      <w:r>
        <w:rPr>
          <w:rStyle w:val="NormalTok"/>
        </w:rPr>
        <w:t xml:space="preserve"> </w:t>
      </w:r>
      <w:r>
        <w:rPr>
          <w:rStyle w:val="FunctionTok"/>
        </w:rPr>
        <w:t>bernoulli</w:t>
      </w:r>
      <w:r>
        <w:rPr>
          <w:rStyle w:val="NormalTok"/>
        </w:rPr>
        <w:t>(</w:t>
      </w:r>
      <w:r>
        <w:rPr>
          <w:rStyle w:val="AttributeTok"/>
        </w:rPr>
        <w:t>link =</w:t>
      </w:r>
      <w:r>
        <w:rPr>
          <w:rStyle w:val="NormalTok"/>
        </w:rPr>
        <w:t xml:space="preserve"> </w:t>
      </w:r>
      <w:r>
        <w:rPr>
          <w:rStyle w:val="StringTok"/>
        </w:rPr>
        <w:t>"logit"</w:t>
      </w:r>
      <w:r>
        <w:rPr>
          <w:rStyle w:val="NormalTok"/>
        </w:rPr>
        <w:t>),</w:t>
      </w:r>
      <w:r>
        <w:br/>
      </w:r>
      <w:r>
        <w:rPr>
          <w:rStyle w:val="NormalTok"/>
        </w:rPr>
        <w:t xml:space="preserve">      </w:t>
      </w:r>
      <w:r>
        <w:rPr>
          <w:rStyle w:val="AttributeTok"/>
        </w:rPr>
        <w:t>chains =</w:t>
      </w:r>
      <w:r>
        <w:rPr>
          <w:rStyle w:val="NormalTok"/>
        </w:rPr>
        <w:t xml:space="preserve"> </w:t>
      </w:r>
      <w:r>
        <w:rPr>
          <w:rStyle w:val="DecValTok"/>
        </w:rPr>
        <w:t>4</w:t>
      </w:r>
      <w:r>
        <w:rPr>
          <w:rStyle w:val="NormalTok"/>
        </w:rPr>
        <w:t>,</w:t>
      </w:r>
      <w:r>
        <w:br/>
      </w:r>
      <w:r>
        <w:rPr>
          <w:rStyle w:val="NormalTok"/>
        </w:rPr>
        <w:t xml:space="preserve">      </w:t>
      </w:r>
      <w:r>
        <w:rPr>
          <w:rStyle w:val="AttributeTok"/>
        </w:rPr>
        <w:t>cores =</w:t>
      </w:r>
      <w:r>
        <w:rPr>
          <w:rStyle w:val="NormalTok"/>
        </w:rPr>
        <w:t xml:space="preserve"> </w:t>
      </w:r>
      <w:r>
        <w:rPr>
          <w:rStyle w:val="DecValTok"/>
        </w:rPr>
        <w:t>4</w:t>
      </w:r>
      <w:r>
        <w:rPr>
          <w:rStyle w:val="NormalTok"/>
        </w:rPr>
        <w:t>,</w:t>
      </w:r>
      <w:r>
        <w:br/>
      </w:r>
      <w:r>
        <w:rPr>
          <w:rStyle w:val="NormalTok"/>
        </w:rPr>
        <w:t xml:space="preserve">      </w:t>
      </w:r>
      <w:r>
        <w:rPr>
          <w:rStyle w:val="AttributeTok"/>
        </w:rPr>
        <w:t>threads =</w:t>
      </w:r>
      <w:r>
        <w:rPr>
          <w:rStyle w:val="NormalTok"/>
        </w:rPr>
        <w:t xml:space="preserve"> </w:t>
      </w:r>
      <w:r>
        <w:rPr>
          <w:rStyle w:val="DecValTok"/>
        </w:rPr>
        <w:t>2</w:t>
      </w:r>
      <w:r>
        <w:rPr>
          <w:rStyle w:val="NormalTok"/>
        </w:rPr>
        <w:t>,</w:t>
      </w:r>
      <w:r>
        <w:br/>
      </w:r>
      <w:r>
        <w:rPr>
          <w:rStyle w:val="NormalTok"/>
        </w:rPr>
        <w:t xml:space="preserve">      </w:t>
      </w:r>
      <w:r>
        <w:rPr>
          <w:rStyle w:val="AttributeTok"/>
        </w:rPr>
        <w:t>iter =</w:t>
      </w:r>
      <w:r>
        <w:rPr>
          <w:rStyle w:val="NormalTok"/>
        </w:rPr>
        <w:t xml:space="preserve"> </w:t>
      </w:r>
      <w:r>
        <w:rPr>
          <w:rStyle w:val="DecValTok"/>
        </w:rPr>
        <w:t>3000</w:t>
      </w:r>
      <w:r>
        <w:rPr>
          <w:rStyle w:val="NormalTok"/>
        </w:rPr>
        <w:t>,</w:t>
      </w:r>
      <w:r>
        <w:br/>
      </w:r>
      <w:r>
        <w:rPr>
          <w:rStyle w:val="NormalTok"/>
        </w:rPr>
        <w:t xml:space="preserve">      </w:t>
      </w:r>
      <w:r>
        <w:rPr>
          <w:rStyle w:val="AttributeTok"/>
        </w:rPr>
        <w:t>warmup =</w:t>
      </w:r>
      <w:r>
        <w:rPr>
          <w:rStyle w:val="NormalTok"/>
        </w:rPr>
        <w:t xml:space="preserve"> </w:t>
      </w:r>
      <w:r>
        <w:rPr>
          <w:rStyle w:val="DecValTok"/>
        </w:rPr>
        <w:t>1000</w:t>
      </w:r>
      <w:r>
        <w:rPr>
          <w:rStyle w:val="NormalTok"/>
        </w:rPr>
        <w:t>,</w:t>
      </w:r>
      <w:r>
        <w:br/>
      </w:r>
      <w:r>
        <w:rPr>
          <w:rStyle w:val="NormalTok"/>
        </w:rPr>
        <w:lastRenderedPageBreak/>
        <w:t xml:space="preserve">      </w:t>
      </w:r>
      <w:r>
        <w:rPr>
          <w:rStyle w:val="AttributeTok"/>
        </w:rPr>
        <w:t>seed =</w:t>
      </w:r>
      <w:r>
        <w:rPr>
          <w:rStyle w:val="NormalTok"/>
        </w:rPr>
        <w:t xml:space="preserve"> </w:t>
      </w:r>
      <w:r>
        <w:rPr>
          <w:rStyle w:val="DecValTok"/>
        </w:rPr>
        <w:t>2023</w:t>
      </w:r>
      <w:r>
        <w:rPr>
          <w:rStyle w:val="NormalTok"/>
        </w:rPr>
        <w:t xml:space="preserve">, </w:t>
      </w:r>
      <w:r>
        <w:br/>
      </w:r>
      <w:r>
        <w:rPr>
          <w:rStyle w:val="NormalTok"/>
        </w:rPr>
        <w:t xml:space="preserve">      </w:t>
      </w:r>
      <w:r>
        <w:rPr>
          <w:rStyle w:val="AttributeTok"/>
        </w:rPr>
        <w:t>backend =</w:t>
      </w:r>
      <w:r>
        <w:rPr>
          <w:rStyle w:val="NormalTok"/>
        </w:rPr>
        <w:t xml:space="preserve"> </w:t>
      </w:r>
      <w:r>
        <w:rPr>
          <w:rStyle w:val="StringTok"/>
        </w:rPr>
        <w:t>"cmdstanr"</w:t>
      </w:r>
      <w:r>
        <w:rPr>
          <w:rStyle w:val="NormalTok"/>
        </w:rPr>
        <w:t>)</w:t>
      </w:r>
    </w:p>
    <w:p w14:paraId="2B3BD48F" w14:textId="77777777" w:rsidR="004E10AE" w:rsidRDefault="00F1268B">
      <w:pPr>
        <w:pStyle w:val="FirstParagraph"/>
      </w:pPr>
      <w:r>
        <w:t>And for continuous outcomes we will use gaussian multiple regression:</w:t>
      </w:r>
    </w:p>
    <w:p w14:paraId="2B3BD490" w14:textId="77777777" w:rsidR="004E10AE" w:rsidRDefault="00F1268B">
      <w:pPr>
        <w:pStyle w:val="SourceCode"/>
      </w:pPr>
      <w:r>
        <w:rPr>
          <w:rStyle w:val="FunctionTok"/>
        </w:rPr>
        <w:t>library</w:t>
      </w:r>
      <w:r>
        <w:rPr>
          <w:rStyle w:val="NormalTok"/>
        </w:rPr>
        <w:t>(</w:t>
      </w:r>
      <w:r>
        <w:rPr>
          <w:rStyle w:val="StringTok"/>
        </w:rPr>
        <w:t>"brms"</w:t>
      </w:r>
      <w:r>
        <w:rPr>
          <w:rStyle w:val="NormalTok"/>
        </w:rPr>
        <w:t>)</w:t>
      </w:r>
      <w:r>
        <w:br/>
      </w:r>
      <w:r>
        <w:br/>
      </w:r>
      <w:r>
        <w:rPr>
          <w:rStyle w:val="NormalTok"/>
        </w:rPr>
        <w:t>exampleLogisticModel</w:t>
      </w:r>
      <w:r>
        <w:rPr>
          <w:rStyle w:val="OtherTok"/>
        </w:rPr>
        <w:t>&lt;-</w:t>
      </w:r>
      <w:r>
        <w:rPr>
          <w:rStyle w:val="NormalTok"/>
        </w:rPr>
        <w:t xml:space="preserve"> </w:t>
      </w:r>
      <w:r>
        <w:br/>
      </w:r>
      <w:r>
        <w:rPr>
          <w:rStyle w:val="NormalTok"/>
        </w:rPr>
        <w:t xml:space="preserve">  </w:t>
      </w:r>
      <w:r>
        <w:rPr>
          <w:rStyle w:val="FunctionTok"/>
        </w:rPr>
        <w:t>brm</w:t>
      </w:r>
      <w:r>
        <w:rPr>
          <w:rStyle w:val="NormalTok"/>
        </w:rPr>
        <w:t>(</w:t>
      </w:r>
      <w:r>
        <w:rPr>
          <w:rStyle w:val="AttributeTok"/>
        </w:rPr>
        <w:t>formula =</w:t>
      </w:r>
      <w:r>
        <w:rPr>
          <w:rStyle w:val="NormalTok"/>
        </w:rPr>
        <w:t xml:space="preserve"> outcome_variable </w:t>
      </w:r>
      <w:r>
        <w:rPr>
          <w:rStyle w:val="SpecialCharTok"/>
        </w:rPr>
        <w:t>~</w:t>
      </w:r>
      <w:r>
        <w:rPr>
          <w:rStyle w:val="NormalTok"/>
        </w:rPr>
        <w:t xml:space="preserve"> explanatory_variable_1 </w:t>
      </w:r>
      <w:r>
        <w:rPr>
          <w:rStyle w:val="SpecialCharTok"/>
        </w:rPr>
        <w:t>+</w:t>
      </w:r>
      <w:r>
        <w:br/>
      </w:r>
      <w:r>
        <w:rPr>
          <w:rStyle w:val="NormalTok"/>
        </w:rPr>
        <w:t xml:space="preserve">                                   explanatory_variable_2 </w:t>
      </w:r>
      <w:r>
        <w:rPr>
          <w:rStyle w:val="SpecialCharTok"/>
        </w:rPr>
        <w:t>+</w:t>
      </w:r>
      <w:r>
        <w:br/>
      </w:r>
      <w:r>
        <w:rPr>
          <w:rStyle w:val="NormalTok"/>
        </w:rPr>
        <w:t xml:space="preserve">                                   explanatory_variable_3 </w:t>
      </w:r>
      <w:r>
        <w:rPr>
          <w:rStyle w:val="SpecialCharTok"/>
        </w:rPr>
        <w:t>+</w:t>
      </w:r>
      <w:r>
        <w:br/>
      </w:r>
      <w:r>
        <w:rPr>
          <w:rStyle w:val="NormalTok"/>
        </w:rPr>
        <w:t xml:space="preserve">                                   explanatory_variable_n,</w:t>
      </w:r>
      <w:r>
        <w:br/>
      </w:r>
      <w:r>
        <w:rPr>
          <w:rStyle w:val="NormalTok"/>
        </w:rPr>
        <w:t xml:space="preserve">      </w:t>
      </w:r>
      <w:r>
        <w:rPr>
          <w:rStyle w:val="AttributeTok"/>
        </w:rPr>
        <w:t>prior =</w:t>
      </w:r>
      <w:r>
        <w:rPr>
          <w:rStyle w:val="NormalTok"/>
        </w:rPr>
        <w:t xml:space="preserve"> priors,</w:t>
      </w:r>
      <w:r>
        <w:br/>
      </w:r>
      <w:r>
        <w:rPr>
          <w:rStyle w:val="NormalTok"/>
        </w:rPr>
        <w:t xml:space="preserve">      </w:t>
      </w:r>
      <w:r>
        <w:rPr>
          <w:rStyle w:val="AttributeTok"/>
        </w:rPr>
        <w:t>data =</w:t>
      </w:r>
      <w:r>
        <w:rPr>
          <w:rStyle w:val="NormalTok"/>
        </w:rPr>
        <w:t xml:space="preserve"> data, </w:t>
      </w:r>
      <w:r>
        <w:br/>
      </w:r>
      <w:r>
        <w:rPr>
          <w:rStyle w:val="NormalTok"/>
        </w:rPr>
        <w:t xml:space="preserve">      </w:t>
      </w:r>
      <w:r>
        <w:rPr>
          <w:rStyle w:val="AttributeTok"/>
        </w:rPr>
        <w:t>family =</w:t>
      </w:r>
      <w:r>
        <w:rPr>
          <w:rStyle w:val="NormalTok"/>
        </w:rPr>
        <w:t xml:space="preserve"> </w:t>
      </w:r>
      <w:r>
        <w:rPr>
          <w:rStyle w:val="FunctionTok"/>
        </w:rPr>
        <w:t>gaussian</w:t>
      </w:r>
      <w:r>
        <w:rPr>
          <w:rStyle w:val="NormalTok"/>
        </w:rPr>
        <w:t>(),</w:t>
      </w:r>
      <w:r>
        <w:br/>
      </w:r>
      <w:r>
        <w:rPr>
          <w:rStyle w:val="NormalTok"/>
        </w:rPr>
        <w:t xml:space="preserve">      </w:t>
      </w:r>
      <w:r>
        <w:rPr>
          <w:rStyle w:val="AttributeTok"/>
        </w:rPr>
        <w:t>chains =</w:t>
      </w:r>
      <w:r>
        <w:rPr>
          <w:rStyle w:val="NormalTok"/>
        </w:rPr>
        <w:t xml:space="preserve"> </w:t>
      </w:r>
      <w:r>
        <w:rPr>
          <w:rStyle w:val="DecValTok"/>
        </w:rPr>
        <w:t>4</w:t>
      </w:r>
      <w:r>
        <w:rPr>
          <w:rStyle w:val="NormalTok"/>
        </w:rPr>
        <w:t>,</w:t>
      </w:r>
      <w:r>
        <w:br/>
      </w:r>
      <w:r>
        <w:rPr>
          <w:rStyle w:val="NormalTok"/>
        </w:rPr>
        <w:t xml:space="preserve">      </w:t>
      </w:r>
      <w:r>
        <w:rPr>
          <w:rStyle w:val="AttributeTok"/>
        </w:rPr>
        <w:t>cores =</w:t>
      </w:r>
      <w:r>
        <w:rPr>
          <w:rStyle w:val="NormalTok"/>
        </w:rPr>
        <w:t xml:space="preserve"> </w:t>
      </w:r>
      <w:r>
        <w:rPr>
          <w:rStyle w:val="DecValTok"/>
        </w:rPr>
        <w:t>4</w:t>
      </w:r>
      <w:r>
        <w:rPr>
          <w:rStyle w:val="NormalTok"/>
        </w:rPr>
        <w:t>,</w:t>
      </w:r>
      <w:r>
        <w:br/>
      </w:r>
      <w:r>
        <w:rPr>
          <w:rStyle w:val="NormalTok"/>
        </w:rPr>
        <w:t xml:space="preserve">      </w:t>
      </w:r>
      <w:r>
        <w:rPr>
          <w:rStyle w:val="AttributeTok"/>
        </w:rPr>
        <w:t>threads =</w:t>
      </w:r>
      <w:r>
        <w:rPr>
          <w:rStyle w:val="NormalTok"/>
        </w:rPr>
        <w:t xml:space="preserve"> </w:t>
      </w:r>
      <w:r>
        <w:rPr>
          <w:rStyle w:val="DecValTok"/>
        </w:rPr>
        <w:t>2</w:t>
      </w:r>
      <w:r>
        <w:rPr>
          <w:rStyle w:val="NormalTok"/>
        </w:rPr>
        <w:t>,</w:t>
      </w:r>
      <w:r>
        <w:br/>
      </w:r>
      <w:r>
        <w:rPr>
          <w:rStyle w:val="NormalTok"/>
        </w:rPr>
        <w:t xml:space="preserve">      </w:t>
      </w:r>
      <w:r>
        <w:rPr>
          <w:rStyle w:val="AttributeTok"/>
        </w:rPr>
        <w:t>iter =</w:t>
      </w:r>
      <w:r>
        <w:rPr>
          <w:rStyle w:val="NormalTok"/>
        </w:rPr>
        <w:t xml:space="preserve"> </w:t>
      </w:r>
      <w:r>
        <w:rPr>
          <w:rStyle w:val="DecValTok"/>
        </w:rPr>
        <w:t>3000</w:t>
      </w:r>
      <w:r>
        <w:rPr>
          <w:rStyle w:val="NormalTok"/>
        </w:rPr>
        <w:t>,</w:t>
      </w:r>
      <w:r>
        <w:br/>
      </w:r>
      <w:r>
        <w:rPr>
          <w:rStyle w:val="NormalTok"/>
        </w:rPr>
        <w:t xml:space="preserve">      </w:t>
      </w:r>
      <w:r>
        <w:rPr>
          <w:rStyle w:val="AttributeTok"/>
        </w:rPr>
        <w:t>warmup =</w:t>
      </w:r>
      <w:r>
        <w:rPr>
          <w:rStyle w:val="NormalTok"/>
        </w:rPr>
        <w:t xml:space="preserve"> </w:t>
      </w:r>
      <w:r>
        <w:rPr>
          <w:rStyle w:val="DecValTok"/>
        </w:rPr>
        <w:t>1000</w:t>
      </w:r>
      <w:r>
        <w:rPr>
          <w:rStyle w:val="NormalTok"/>
        </w:rPr>
        <w:t>,</w:t>
      </w:r>
      <w:r>
        <w:br/>
      </w:r>
      <w:r>
        <w:rPr>
          <w:rStyle w:val="NormalTok"/>
        </w:rPr>
        <w:t xml:space="preserve">      </w:t>
      </w:r>
      <w:r>
        <w:rPr>
          <w:rStyle w:val="AttributeTok"/>
        </w:rPr>
        <w:t>seed =</w:t>
      </w:r>
      <w:r>
        <w:rPr>
          <w:rStyle w:val="NormalTok"/>
        </w:rPr>
        <w:t xml:space="preserve"> </w:t>
      </w:r>
      <w:r>
        <w:rPr>
          <w:rStyle w:val="DecValTok"/>
        </w:rPr>
        <w:t>2023</w:t>
      </w:r>
      <w:r>
        <w:rPr>
          <w:rStyle w:val="NormalTok"/>
        </w:rPr>
        <w:t xml:space="preserve">, </w:t>
      </w:r>
      <w:r>
        <w:br/>
      </w:r>
      <w:r>
        <w:rPr>
          <w:rStyle w:val="NormalTok"/>
        </w:rPr>
        <w:t xml:space="preserve">      </w:t>
      </w:r>
      <w:r>
        <w:rPr>
          <w:rStyle w:val="AttributeTok"/>
        </w:rPr>
        <w:t>backend =</w:t>
      </w:r>
      <w:r>
        <w:rPr>
          <w:rStyle w:val="NormalTok"/>
        </w:rPr>
        <w:t xml:space="preserve"> </w:t>
      </w:r>
      <w:r>
        <w:rPr>
          <w:rStyle w:val="StringTok"/>
        </w:rPr>
        <w:t>"cmdstanr"</w:t>
      </w:r>
      <w:r>
        <w:rPr>
          <w:rStyle w:val="NormalTok"/>
        </w:rPr>
        <w:t>)</w:t>
      </w:r>
    </w:p>
    <w:p w14:paraId="2B3BD491" w14:textId="77777777" w:rsidR="004E10AE" w:rsidRDefault="00F1268B">
      <w:pPr>
        <w:pStyle w:val="FirstParagraph"/>
      </w:pPr>
      <w:r>
        <w:t>We will set the following uninformative priors for our outcome variables:</w:t>
      </w:r>
    </w:p>
    <w:p w14:paraId="2B3BD492" w14:textId="77777777" w:rsidR="004E10AE" w:rsidRDefault="00F1268B">
      <w:pPr>
        <w:pStyle w:val="BodyText"/>
      </w:pPr>
      <w:r>
        <w:t>For betas and intercepts we will set a normally distributed prior with a mean of 0 and a standard deviation of 1.</w:t>
      </w:r>
    </w:p>
    <w:p w14:paraId="2B3BD493" w14:textId="77777777" w:rsidR="004E10AE" w:rsidRDefault="00F1268B">
      <w:pPr>
        <w:pStyle w:val="BodyText"/>
      </w:pPr>
      <w:r>
        <w:t xml:space="preserve">For ordinal probit models we will set a normal distribution for the thresholds, following </w:t>
      </w:r>
      <w:hyperlink r:id="rId11">
        <w:r>
          <w:rPr>
            <w:rStyle w:val="Hyperlink"/>
          </w:rPr>
          <w:t>Kurz</w:t>
        </w:r>
      </w:hyperlink>
      <w:r>
        <w:t>.</w:t>
      </w:r>
    </w:p>
    <w:p w14:paraId="2B3BD494" w14:textId="77777777" w:rsidR="004E10AE" w:rsidRDefault="00F1268B">
      <w:pPr>
        <w:pStyle w:val="Heading2"/>
      </w:pPr>
      <w:bookmarkStart w:id="20" w:name="transformations"/>
      <w:bookmarkEnd w:id="19"/>
      <w:r>
        <w:t>Transformations</w:t>
      </w:r>
    </w:p>
    <w:p w14:paraId="2B3BD495" w14:textId="77777777" w:rsidR="004E10AE" w:rsidRDefault="00F1268B">
      <w:pPr>
        <w:pStyle w:val="FirstParagraph"/>
      </w:pPr>
      <w:r>
        <w:t>In some instances response variables are dummy coded binary variables from a categorical response option - see attached codebook for all variable definitions.</w:t>
      </w:r>
    </w:p>
    <w:p w14:paraId="2B3BD496" w14:textId="77777777" w:rsidR="004E10AE" w:rsidRDefault="00F1268B">
      <w:pPr>
        <w:pStyle w:val="BodyText"/>
      </w:pPr>
      <w:r>
        <w:t>As a default we will center likert response scores at the center of the scale, unless the scale has a meaningful interval (e.g. age, n years).</w:t>
      </w:r>
    </w:p>
    <w:p w14:paraId="2B3BD497" w14:textId="77777777" w:rsidR="004E10AE" w:rsidRDefault="00F1268B">
      <w:pPr>
        <w:pStyle w:val="Heading2"/>
      </w:pPr>
      <w:bookmarkStart w:id="21" w:name="inference-criteria"/>
      <w:bookmarkEnd w:id="20"/>
      <w:r>
        <w:t>Inference criteria</w:t>
      </w:r>
    </w:p>
    <w:p w14:paraId="2B3BD498" w14:textId="77777777" w:rsidR="004E10AE" w:rsidRDefault="00F1268B">
      <w:pPr>
        <w:pStyle w:val="FirstParagraph"/>
      </w:pPr>
      <w:r>
        <w:t>In the first instance, inferences about whether a variable has or does not have a theoretically relevant effect will be done based on examination of the posterior distributions of parameter estimates.</w:t>
      </w:r>
    </w:p>
    <w:p w14:paraId="2B3BD499" w14:textId="77777777" w:rsidR="004E10AE" w:rsidRDefault="00F1268B">
      <w:pPr>
        <w:pStyle w:val="BodyText"/>
      </w:pPr>
      <w:r>
        <w:t>More specifically we will examine the extent to which the credible intervals of these posterior distributions overlap with a Region of Practical Equivalence (ROPE), that is, a specified region we consider to be theoretically equivalent to zero. This will be done using the {bayestestR} package (</w:t>
      </w:r>
      <w:hyperlink r:id="rId12">
        <w:r>
          <w:rPr>
            <w:rStyle w:val="Hyperlink"/>
          </w:rPr>
          <w:t>https://easystats.github.io/bayestestR/articles/region_of_practical_equivalence.html</w:t>
        </w:r>
      </w:hyperlink>
      <w:r>
        <w:t xml:space="preserve">) in </w:t>
      </w:r>
      <w:r>
        <w:lastRenderedPageBreak/>
        <w:t>R. For our Gaussian and Cumulative Probit models we will use the default range -0.1 to 0.1 for standardized effect sizes, which equates to a “negligible effect size”, and -0.18 to 0.18 for logistic models.</w:t>
      </w:r>
    </w:p>
    <w:p w14:paraId="2B3BD49A" w14:textId="77777777" w:rsidR="004E10AE" w:rsidRDefault="00F1268B">
      <w:pPr>
        <w:pStyle w:val="Heading2"/>
      </w:pPr>
      <w:bookmarkStart w:id="22" w:name="data-exclusion"/>
      <w:bookmarkEnd w:id="21"/>
      <w:r>
        <w:t>Data exclusion</w:t>
      </w:r>
    </w:p>
    <w:p w14:paraId="2B3BD49B" w14:textId="77777777" w:rsidR="004E10AE" w:rsidRDefault="00F1268B">
      <w:pPr>
        <w:pStyle w:val="FirstParagraph"/>
      </w:pPr>
      <w:r>
        <w:t>Participants who fail data quality checks are removed and replaced by the survey provider prior to our analysis. In the first instance outliers will not be removed, however sensitivity analysis will be run on any published final models.</w:t>
      </w:r>
    </w:p>
    <w:p w14:paraId="2B3BD49C" w14:textId="77777777" w:rsidR="004E10AE" w:rsidRDefault="00F1268B">
      <w:pPr>
        <w:pStyle w:val="Heading2"/>
      </w:pPr>
      <w:bookmarkStart w:id="23" w:name="missing-data"/>
      <w:bookmarkEnd w:id="22"/>
      <w:r>
        <w:t>Missing data</w:t>
      </w:r>
    </w:p>
    <w:p w14:paraId="2B3BD49D" w14:textId="77777777" w:rsidR="004E10AE" w:rsidRDefault="00F1268B">
      <w:pPr>
        <w:pStyle w:val="FirstParagraph"/>
      </w:pPr>
      <w:r>
        <w:t>The data collection process does not allow missing data.</w:t>
      </w:r>
    </w:p>
    <w:p w14:paraId="2B3BD49E" w14:textId="77777777" w:rsidR="004E10AE" w:rsidRDefault="00F1268B">
      <w:pPr>
        <w:pStyle w:val="Heading2"/>
      </w:pPr>
      <w:bookmarkStart w:id="24" w:name="exploratory-analyses-optional"/>
      <w:bookmarkEnd w:id="23"/>
      <w:r>
        <w:t>Exploratory analyses (optional)</w:t>
      </w:r>
    </w:p>
    <w:p w14:paraId="2B3BD49F" w14:textId="77777777" w:rsidR="004E10AE" w:rsidRDefault="00F1268B">
      <w:pPr>
        <w:pStyle w:val="FirstParagraph"/>
      </w:pPr>
      <w:r>
        <w:t>In addition to testing the confirmatory hypotheses outlined above, additional variables will be included, and additional models run, for exploratory purposes.</w:t>
      </w:r>
    </w:p>
    <w:tbl>
      <w:tblPr>
        <w:tblStyle w:val="Table"/>
        <w:tblW w:w="5000" w:type="pct"/>
        <w:tblLook w:val="0000" w:firstRow="0" w:lastRow="0" w:firstColumn="0" w:lastColumn="0" w:noHBand="0" w:noVBand="0"/>
      </w:tblPr>
      <w:tblGrid>
        <w:gridCol w:w="1590"/>
        <w:gridCol w:w="5851"/>
        <w:gridCol w:w="2135"/>
      </w:tblGrid>
      <w:tr w:rsidR="004E10AE" w14:paraId="2B3BD4A3" w14:textId="77777777">
        <w:tc>
          <w:tcPr>
            <w:tcW w:w="0" w:type="auto"/>
          </w:tcPr>
          <w:p w14:paraId="2B3BD4A0" w14:textId="77777777" w:rsidR="004E10AE" w:rsidRDefault="00F1268B">
            <w:pPr>
              <w:pStyle w:val="Compact"/>
            </w:pPr>
            <w:r>
              <w:t>Socialisation 1</w:t>
            </w:r>
          </w:p>
        </w:tc>
        <w:tc>
          <w:tcPr>
            <w:tcW w:w="0" w:type="auto"/>
          </w:tcPr>
          <w:p w14:paraId="2B3BD4A1" w14:textId="77777777" w:rsidR="004E10AE" w:rsidRDefault="00F1268B">
            <w:pPr>
              <w:pStyle w:val="Compact"/>
            </w:pPr>
            <w:r>
              <w:t>CRUD Score, CRUD Score, Normativity of Religion, Non-theistic Socialisation, Religious Emphasis</w:t>
            </w:r>
          </w:p>
        </w:tc>
        <w:tc>
          <w:tcPr>
            <w:tcW w:w="0" w:type="auto"/>
          </w:tcPr>
          <w:p w14:paraId="2B3BD4A2" w14:textId="77777777" w:rsidR="004E10AE" w:rsidRDefault="00F1268B">
            <w:pPr>
              <w:pStyle w:val="Compact"/>
            </w:pPr>
            <w:r>
              <w:t>Belief in God (Continuous)</w:t>
            </w:r>
          </w:p>
        </w:tc>
      </w:tr>
      <w:tr w:rsidR="004E10AE" w14:paraId="2B3BD4A7" w14:textId="77777777">
        <w:tc>
          <w:tcPr>
            <w:tcW w:w="0" w:type="auto"/>
          </w:tcPr>
          <w:p w14:paraId="2B3BD4A4" w14:textId="77777777" w:rsidR="004E10AE" w:rsidRDefault="00F1268B">
            <w:pPr>
              <w:pStyle w:val="Compact"/>
            </w:pPr>
            <w:r>
              <w:t>Socialisation 2</w:t>
            </w:r>
          </w:p>
        </w:tc>
        <w:tc>
          <w:tcPr>
            <w:tcW w:w="0" w:type="auto"/>
          </w:tcPr>
          <w:p w14:paraId="2B3BD4A5" w14:textId="77777777" w:rsidR="004E10AE" w:rsidRDefault="00F1268B">
            <w:pPr>
              <w:pStyle w:val="Compact"/>
            </w:pPr>
            <w:r>
              <w:t>CRUD Score, CRUD Score, Normativity of Religion, Non-theistic Socialisation, Religious Emphasis</w:t>
            </w:r>
          </w:p>
        </w:tc>
        <w:tc>
          <w:tcPr>
            <w:tcW w:w="0" w:type="auto"/>
          </w:tcPr>
          <w:p w14:paraId="2B3BD4A6" w14:textId="77777777" w:rsidR="004E10AE" w:rsidRDefault="00F1268B">
            <w:pPr>
              <w:pStyle w:val="Compact"/>
            </w:pPr>
            <w:r>
              <w:t>Belief in God (Binary)</w:t>
            </w:r>
          </w:p>
        </w:tc>
      </w:tr>
      <w:tr w:rsidR="004E10AE" w14:paraId="2B3BD4AB" w14:textId="77777777">
        <w:tc>
          <w:tcPr>
            <w:tcW w:w="0" w:type="auto"/>
          </w:tcPr>
          <w:p w14:paraId="2B3BD4A8" w14:textId="77777777" w:rsidR="004E10AE" w:rsidRDefault="00F1268B">
            <w:pPr>
              <w:pStyle w:val="Compact"/>
            </w:pPr>
            <w:r>
              <w:t>Socialisation 3</w:t>
            </w:r>
          </w:p>
        </w:tc>
        <w:tc>
          <w:tcPr>
            <w:tcW w:w="0" w:type="auto"/>
          </w:tcPr>
          <w:p w14:paraId="2B3BD4A9" w14:textId="77777777" w:rsidR="004E10AE" w:rsidRDefault="00F1268B">
            <w:pPr>
              <w:pStyle w:val="Compact"/>
            </w:pPr>
            <w:r>
              <w:t>CRUD Score, CRUD Score, Normativity of Religion, Non-theistic Socialisation, Religious Emphasis</w:t>
            </w:r>
          </w:p>
        </w:tc>
        <w:tc>
          <w:tcPr>
            <w:tcW w:w="0" w:type="auto"/>
          </w:tcPr>
          <w:p w14:paraId="2B3BD4AA" w14:textId="77777777" w:rsidR="004E10AE" w:rsidRDefault="00F1268B">
            <w:pPr>
              <w:pStyle w:val="Compact"/>
            </w:pPr>
            <w:r>
              <w:t>Religious Identification</w:t>
            </w:r>
          </w:p>
        </w:tc>
      </w:tr>
      <w:tr w:rsidR="004E10AE" w14:paraId="2B3BD4AF" w14:textId="77777777">
        <w:tc>
          <w:tcPr>
            <w:tcW w:w="0" w:type="auto"/>
          </w:tcPr>
          <w:p w14:paraId="2B3BD4AC" w14:textId="77777777" w:rsidR="004E10AE" w:rsidRDefault="00F1268B">
            <w:pPr>
              <w:pStyle w:val="Compact"/>
            </w:pPr>
            <w:r>
              <w:t>Socialisation 5</w:t>
            </w:r>
          </w:p>
        </w:tc>
        <w:tc>
          <w:tcPr>
            <w:tcW w:w="0" w:type="auto"/>
          </w:tcPr>
          <w:p w14:paraId="2B3BD4AD" w14:textId="77777777" w:rsidR="004E10AE" w:rsidRDefault="00F1268B">
            <w:pPr>
              <w:pStyle w:val="Compact"/>
            </w:pPr>
            <w:r>
              <w:t>CRUD Score, CRUD Score, Normativity of Religion, Non-theistic Socialisation, Religious Emphasis</w:t>
            </w:r>
          </w:p>
        </w:tc>
        <w:tc>
          <w:tcPr>
            <w:tcW w:w="0" w:type="auto"/>
          </w:tcPr>
          <w:p w14:paraId="2B3BD4AE" w14:textId="77777777" w:rsidR="004E10AE" w:rsidRDefault="00F1268B">
            <w:pPr>
              <w:pStyle w:val="Compact"/>
            </w:pPr>
            <w:r>
              <w:t>Agnosticism</w:t>
            </w:r>
          </w:p>
        </w:tc>
      </w:tr>
      <w:tr w:rsidR="004E10AE" w14:paraId="2B3BD4B3" w14:textId="77777777">
        <w:tc>
          <w:tcPr>
            <w:tcW w:w="0" w:type="auto"/>
          </w:tcPr>
          <w:p w14:paraId="2B3BD4B0" w14:textId="77777777" w:rsidR="004E10AE" w:rsidRDefault="00F1268B">
            <w:pPr>
              <w:pStyle w:val="Compact"/>
            </w:pPr>
            <w:r>
              <w:t>Socialisation 5</w:t>
            </w:r>
          </w:p>
        </w:tc>
        <w:tc>
          <w:tcPr>
            <w:tcW w:w="0" w:type="auto"/>
          </w:tcPr>
          <w:p w14:paraId="2B3BD4B1" w14:textId="77777777" w:rsidR="004E10AE" w:rsidRDefault="00F1268B">
            <w:pPr>
              <w:pStyle w:val="Compact"/>
            </w:pPr>
            <w:r>
              <w:t>CRUD Score, CRUD Score, Normativity of Religion, Non-theistic Socialisation, Religious Emphasis</w:t>
            </w:r>
          </w:p>
        </w:tc>
        <w:tc>
          <w:tcPr>
            <w:tcW w:w="0" w:type="auto"/>
          </w:tcPr>
          <w:p w14:paraId="2B3BD4B2" w14:textId="77777777" w:rsidR="004E10AE" w:rsidRDefault="00F1268B">
            <w:pPr>
              <w:pStyle w:val="Compact"/>
            </w:pPr>
            <w:r>
              <w:t>Atheist Identification</w:t>
            </w:r>
          </w:p>
        </w:tc>
      </w:tr>
      <w:tr w:rsidR="004E10AE" w14:paraId="2B3BD4B7" w14:textId="77777777">
        <w:tc>
          <w:tcPr>
            <w:tcW w:w="0" w:type="auto"/>
          </w:tcPr>
          <w:p w14:paraId="2B3BD4B4" w14:textId="77777777" w:rsidR="004E10AE" w:rsidRDefault="00F1268B">
            <w:pPr>
              <w:pStyle w:val="Compact"/>
            </w:pPr>
            <w:r>
              <w:t>CRED 1</w:t>
            </w:r>
          </w:p>
        </w:tc>
        <w:tc>
          <w:tcPr>
            <w:tcW w:w="0" w:type="auto"/>
          </w:tcPr>
          <w:p w14:paraId="2B3BD4B5" w14:textId="77777777" w:rsidR="004E10AE" w:rsidRDefault="00F1268B">
            <w:pPr>
              <w:pStyle w:val="Compact"/>
            </w:pPr>
            <w:r>
              <w:t>CRED Score, CRED Score (Parental), CRED Score (Group), Cred Score (Group Leaders), CRED Score (Group Members)</w:t>
            </w:r>
          </w:p>
        </w:tc>
        <w:tc>
          <w:tcPr>
            <w:tcW w:w="0" w:type="auto"/>
          </w:tcPr>
          <w:p w14:paraId="2B3BD4B6" w14:textId="77777777" w:rsidR="004E10AE" w:rsidRDefault="00F1268B">
            <w:pPr>
              <w:pStyle w:val="Compact"/>
            </w:pPr>
            <w:r>
              <w:t>Belief in God (Continuous)</w:t>
            </w:r>
          </w:p>
        </w:tc>
      </w:tr>
      <w:tr w:rsidR="004E10AE" w14:paraId="2B3BD4BB" w14:textId="77777777">
        <w:tc>
          <w:tcPr>
            <w:tcW w:w="0" w:type="auto"/>
          </w:tcPr>
          <w:p w14:paraId="2B3BD4B8" w14:textId="77777777" w:rsidR="004E10AE" w:rsidRDefault="00F1268B">
            <w:pPr>
              <w:pStyle w:val="Compact"/>
            </w:pPr>
            <w:r>
              <w:t>CRED 2</w:t>
            </w:r>
          </w:p>
        </w:tc>
        <w:tc>
          <w:tcPr>
            <w:tcW w:w="0" w:type="auto"/>
          </w:tcPr>
          <w:p w14:paraId="2B3BD4B9" w14:textId="77777777" w:rsidR="004E10AE" w:rsidRDefault="00F1268B">
            <w:pPr>
              <w:pStyle w:val="Compact"/>
            </w:pPr>
            <w:r>
              <w:t>CRED Score, CRED Score (Parental), CRED Score (Group), Cred Score (Group Leaders), CRED Score (Group Members)</w:t>
            </w:r>
          </w:p>
        </w:tc>
        <w:tc>
          <w:tcPr>
            <w:tcW w:w="0" w:type="auto"/>
          </w:tcPr>
          <w:p w14:paraId="2B3BD4BA" w14:textId="77777777" w:rsidR="004E10AE" w:rsidRDefault="00F1268B">
            <w:pPr>
              <w:pStyle w:val="Compact"/>
            </w:pPr>
            <w:r>
              <w:t>Belief in God (Binary)</w:t>
            </w:r>
          </w:p>
        </w:tc>
      </w:tr>
      <w:tr w:rsidR="004E10AE" w14:paraId="2B3BD4BF" w14:textId="77777777">
        <w:tc>
          <w:tcPr>
            <w:tcW w:w="0" w:type="auto"/>
          </w:tcPr>
          <w:p w14:paraId="2B3BD4BC" w14:textId="77777777" w:rsidR="004E10AE" w:rsidRDefault="00F1268B">
            <w:pPr>
              <w:pStyle w:val="Compact"/>
            </w:pPr>
            <w:r>
              <w:t>CRED 3</w:t>
            </w:r>
          </w:p>
        </w:tc>
        <w:tc>
          <w:tcPr>
            <w:tcW w:w="0" w:type="auto"/>
          </w:tcPr>
          <w:p w14:paraId="2B3BD4BD" w14:textId="77777777" w:rsidR="004E10AE" w:rsidRDefault="00F1268B">
            <w:pPr>
              <w:pStyle w:val="Compact"/>
            </w:pPr>
            <w:r>
              <w:t>CRED Score, CRED Score (Parental), CRED Score (Group), Cred Score (Group Leaders), CRED Score (Group Members)</w:t>
            </w:r>
          </w:p>
        </w:tc>
        <w:tc>
          <w:tcPr>
            <w:tcW w:w="0" w:type="auto"/>
          </w:tcPr>
          <w:p w14:paraId="2B3BD4BE" w14:textId="77777777" w:rsidR="004E10AE" w:rsidRDefault="00F1268B">
            <w:pPr>
              <w:pStyle w:val="Compact"/>
            </w:pPr>
            <w:r>
              <w:t>Religious Identification</w:t>
            </w:r>
          </w:p>
        </w:tc>
      </w:tr>
      <w:tr w:rsidR="004E10AE" w14:paraId="2B3BD4C3" w14:textId="77777777">
        <w:tc>
          <w:tcPr>
            <w:tcW w:w="0" w:type="auto"/>
          </w:tcPr>
          <w:p w14:paraId="2B3BD4C0" w14:textId="77777777" w:rsidR="004E10AE" w:rsidRDefault="00F1268B">
            <w:pPr>
              <w:pStyle w:val="Compact"/>
            </w:pPr>
            <w:r>
              <w:t>CRED 5</w:t>
            </w:r>
          </w:p>
        </w:tc>
        <w:tc>
          <w:tcPr>
            <w:tcW w:w="0" w:type="auto"/>
          </w:tcPr>
          <w:p w14:paraId="2B3BD4C1" w14:textId="77777777" w:rsidR="004E10AE" w:rsidRDefault="00F1268B">
            <w:pPr>
              <w:pStyle w:val="Compact"/>
            </w:pPr>
            <w:r>
              <w:t>CRED Score, CRED Score (Parental), CRED Score (Group), Cred Score (Group Leaders), CRED Score (Group Members)</w:t>
            </w:r>
          </w:p>
        </w:tc>
        <w:tc>
          <w:tcPr>
            <w:tcW w:w="0" w:type="auto"/>
          </w:tcPr>
          <w:p w14:paraId="2B3BD4C2" w14:textId="77777777" w:rsidR="004E10AE" w:rsidRDefault="00F1268B">
            <w:pPr>
              <w:pStyle w:val="Compact"/>
            </w:pPr>
            <w:r>
              <w:t>Agnosticism</w:t>
            </w:r>
          </w:p>
        </w:tc>
      </w:tr>
      <w:tr w:rsidR="004E10AE" w14:paraId="2B3BD4C7" w14:textId="77777777">
        <w:tc>
          <w:tcPr>
            <w:tcW w:w="0" w:type="auto"/>
          </w:tcPr>
          <w:p w14:paraId="2B3BD4C4" w14:textId="77777777" w:rsidR="004E10AE" w:rsidRDefault="00F1268B">
            <w:pPr>
              <w:pStyle w:val="Compact"/>
            </w:pPr>
            <w:r>
              <w:t>CRED 5</w:t>
            </w:r>
          </w:p>
        </w:tc>
        <w:tc>
          <w:tcPr>
            <w:tcW w:w="0" w:type="auto"/>
          </w:tcPr>
          <w:p w14:paraId="2B3BD4C5" w14:textId="77777777" w:rsidR="004E10AE" w:rsidRDefault="00F1268B">
            <w:pPr>
              <w:pStyle w:val="Compact"/>
            </w:pPr>
            <w:r>
              <w:t>CRED Score, CRED Score (Parental), CRED Score (Group), Cred Score (Group Leaders), CRED Score (Group Members)</w:t>
            </w:r>
          </w:p>
        </w:tc>
        <w:tc>
          <w:tcPr>
            <w:tcW w:w="0" w:type="auto"/>
          </w:tcPr>
          <w:p w14:paraId="2B3BD4C6" w14:textId="77777777" w:rsidR="004E10AE" w:rsidRDefault="00F1268B">
            <w:pPr>
              <w:pStyle w:val="Compact"/>
            </w:pPr>
            <w:r>
              <w:t>Atheist Identification</w:t>
            </w:r>
          </w:p>
        </w:tc>
      </w:tr>
    </w:tbl>
    <w:p w14:paraId="2B3BD4C8" w14:textId="77777777" w:rsidR="004E10AE" w:rsidRDefault="00F1268B">
      <w:pPr>
        <w:pStyle w:val="BodyText"/>
      </w:pPr>
      <w:r>
        <w:lastRenderedPageBreak/>
        <w:t>We will also run analyses of the psychometric properties of the CRED and CRUD scales, along with measurement invariance analyses.</w:t>
      </w:r>
    </w:p>
    <w:p w14:paraId="2B3BD4C9" w14:textId="77777777" w:rsidR="004E10AE" w:rsidRDefault="00F1268B">
      <w:pPr>
        <w:pStyle w:val="Heading1"/>
      </w:pPr>
      <w:bookmarkStart w:id="25" w:name="other"/>
      <w:bookmarkEnd w:id="24"/>
      <w:bookmarkEnd w:id="17"/>
      <w:r>
        <w:t>Other</w:t>
      </w:r>
    </w:p>
    <w:p w14:paraId="2B3BD4CA" w14:textId="77777777" w:rsidR="004E10AE" w:rsidRDefault="00F1268B">
      <w:pPr>
        <w:pStyle w:val="Heading2"/>
      </w:pPr>
      <w:bookmarkStart w:id="26" w:name="other-optional"/>
      <w:r>
        <w:t>Other (Optional)</w:t>
      </w:r>
    </w:p>
    <w:p w14:paraId="2B3BD4CB" w14:textId="77777777" w:rsidR="004E10AE" w:rsidRDefault="00F1268B">
      <w:pPr>
        <w:pStyle w:val="FirstParagraph"/>
      </w:pPr>
      <w:r>
        <w:t>This work is part of a larger scale project using the same data. See decription for further information.</w:t>
      </w:r>
    </w:p>
    <w:p w14:paraId="2B3BD4CC" w14:textId="77777777" w:rsidR="004E10AE" w:rsidRDefault="00F1268B">
      <w:pPr>
        <w:pStyle w:val="Heading1"/>
      </w:pPr>
      <w:bookmarkStart w:id="27" w:name="references"/>
      <w:bookmarkEnd w:id="26"/>
      <w:bookmarkEnd w:id="25"/>
      <w:r>
        <w:t>References</w:t>
      </w:r>
    </w:p>
    <w:p w14:paraId="2B3BD4CD" w14:textId="77777777" w:rsidR="004E10AE" w:rsidRDefault="004E10AE">
      <w:pPr>
        <w:pStyle w:val="Heading2"/>
      </w:pPr>
      <w:bookmarkStart w:id="28" w:name="section"/>
    </w:p>
    <w:p w14:paraId="2B3BD4CE" w14:textId="77777777" w:rsidR="004E10AE" w:rsidRDefault="004E10AE">
      <w:pPr>
        <w:pStyle w:val="FirstParagraph"/>
      </w:pPr>
    </w:p>
    <w:bookmarkEnd w:id="28"/>
    <w:bookmarkEnd w:id="27"/>
    <w:sectPr w:rsidR="004E10A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Connair Russell" w:date="2024-01-16T14:53:00Z" w:initials="CR">
    <w:p w14:paraId="3A8ED18B" w14:textId="77777777" w:rsidR="00C35BF6" w:rsidRDefault="00C35BF6" w:rsidP="00C35BF6">
      <w:pPr>
        <w:pStyle w:val="CommentText"/>
      </w:pPr>
      <w:r>
        <w:rPr>
          <w:rStyle w:val="CommentReference"/>
        </w:rPr>
        <w:annotationRef/>
      </w:r>
      <w:r>
        <w:t>This is relevant for the measurement model bit below. Basically I think it is worth separating these questions from the CRED measures. Perceived sincerity of the group leaders/members is almost certainly causally related to exposure to CREDs and part of the effect, but it is not the same right? Indeed I’d assume we’d want to look at the effect of CRED exposure with perceived sincerity no?</w:t>
      </w:r>
    </w:p>
  </w:comment>
  <w:comment w:id="18" w:author="Connair Russell" w:date="2024-01-16T14:56:00Z" w:initials="CR">
    <w:p w14:paraId="198523B6" w14:textId="77777777" w:rsidR="00943559" w:rsidRDefault="00943559" w:rsidP="00943559">
      <w:pPr>
        <w:pStyle w:val="CommentText"/>
      </w:pPr>
      <w:r>
        <w:rPr>
          <w:rStyle w:val="CommentReference"/>
        </w:rPr>
        <w:annotationRef/>
      </w:r>
      <w:r>
        <w:t>Following from above - not sure if we have specific predictions with one or any of these for sincerity?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8ED18B" w15:done="0"/>
  <w15:commentEx w15:paraId="198523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064A481" w16cex:dateUtc="2024-01-16T14:53:00Z"/>
  <w16cex:commentExtensible w16cex:durableId="45F870FF" w16cex:dateUtc="2024-01-16T1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8ED18B" w16cid:durableId="6064A481"/>
  <w16cid:commentId w16cid:paraId="198523B6" w16cid:durableId="45F870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BD4D3" w14:textId="77777777" w:rsidR="00F1268B" w:rsidRDefault="00F1268B">
      <w:pPr>
        <w:spacing w:after="0"/>
      </w:pPr>
      <w:r>
        <w:separator/>
      </w:r>
    </w:p>
  </w:endnote>
  <w:endnote w:type="continuationSeparator" w:id="0">
    <w:p w14:paraId="2B3BD4D5" w14:textId="77777777" w:rsidR="00F1268B" w:rsidRDefault="00F126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BD4CF" w14:textId="77777777" w:rsidR="004E10AE" w:rsidRDefault="00F1268B">
      <w:r>
        <w:separator/>
      </w:r>
    </w:p>
  </w:footnote>
  <w:footnote w:type="continuationSeparator" w:id="0">
    <w:p w14:paraId="2B3BD4D0" w14:textId="77777777" w:rsidR="004E10AE" w:rsidRDefault="00F126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284F88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4A8F21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531"/>
    <w:multiLevelType w:val="multilevel"/>
    <w:tmpl w:val="80D0385C"/>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 w16cid:durableId="1416900126">
    <w:abstractNumId w:val="0"/>
  </w:num>
  <w:num w:numId="2" w16cid:durableId="1548799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234391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8440422">
    <w:abstractNumId w:val="1"/>
  </w:num>
  <w:num w:numId="5" w16cid:durableId="1414083625">
    <w:abstractNumId w:val="1"/>
  </w:num>
  <w:num w:numId="6" w16cid:durableId="920523699">
    <w:abstractNumId w:val="1"/>
  </w:num>
  <w:num w:numId="7" w16cid:durableId="447163117">
    <w:abstractNumId w:val="1"/>
  </w:num>
  <w:num w:numId="8" w16cid:durableId="169090993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nnair Russell">
    <w15:presenceInfo w15:providerId="AD" w15:userId="S::3057372@ads.qub.ac.uk::45b89707-3aa4-4303-9175-487fe7fc46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10AE"/>
    <w:rsid w:val="00106A7E"/>
    <w:rsid w:val="0013000D"/>
    <w:rsid w:val="004E10AE"/>
    <w:rsid w:val="0081239E"/>
    <w:rsid w:val="00943559"/>
    <w:rsid w:val="00B72773"/>
    <w:rsid w:val="00C35BF6"/>
    <w:rsid w:val="00C6585B"/>
    <w:rsid w:val="00F1268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BD410"/>
  <w15:docId w15:val="{66CC26A1-6205-47BE-A4B9-F05FBF7A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rsid w:val="00C35BF6"/>
    <w:rPr>
      <w:sz w:val="16"/>
      <w:szCs w:val="16"/>
    </w:rPr>
  </w:style>
  <w:style w:type="paragraph" w:styleId="CommentText">
    <w:name w:val="annotation text"/>
    <w:basedOn w:val="Normal"/>
    <w:link w:val="CommentTextChar"/>
    <w:rsid w:val="00C35BF6"/>
    <w:rPr>
      <w:sz w:val="20"/>
      <w:szCs w:val="20"/>
    </w:rPr>
  </w:style>
  <w:style w:type="character" w:customStyle="1" w:styleId="CommentTextChar">
    <w:name w:val="Comment Text Char"/>
    <w:basedOn w:val="DefaultParagraphFont"/>
    <w:link w:val="CommentText"/>
    <w:rsid w:val="00C35BF6"/>
    <w:rPr>
      <w:sz w:val="20"/>
      <w:szCs w:val="20"/>
    </w:rPr>
  </w:style>
  <w:style w:type="paragraph" w:styleId="CommentSubject">
    <w:name w:val="annotation subject"/>
    <w:basedOn w:val="CommentText"/>
    <w:next w:val="CommentText"/>
    <w:link w:val="CommentSubjectChar"/>
    <w:rsid w:val="00C35BF6"/>
    <w:rPr>
      <w:b/>
      <w:bCs/>
    </w:rPr>
  </w:style>
  <w:style w:type="character" w:customStyle="1" w:styleId="CommentSubjectChar">
    <w:name w:val="Comment Subject Char"/>
    <w:basedOn w:val="CommentTextChar"/>
    <w:link w:val="CommentSubject"/>
    <w:rsid w:val="00C35B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easystats.github.io/bayestestR/articles/region_of_practical_equivalen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lomonkurz.netlify.app/blog/2021-12-29-notes-on-the-bayesian-cumulative-probit/"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8</Pages>
  <Words>1695</Words>
  <Characters>9668</Characters>
  <Application>Microsoft Office Word</Application>
  <DocSecurity>0</DocSecurity>
  <Lines>80</Lines>
  <Paragraphs>22</Paragraphs>
  <ScaleCrop>false</ScaleCrop>
  <Company/>
  <LinksUpToDate>false</LinksUpToDate>
  <CharactersWithSpaces>11341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Expaining Atheism - Pilot 1: CREDs/CRUDs</dc:title>
  <dc:creator/>
  <cp:keywords/>
  <cp:lastModifiedBy>Connair Russell</cp:lastModifiedBy>
  <cp:revision>9</cp:revision>
  <dcterms:created xsi:type="dcterms:W3CDTF">2024-01-16T14:51:00Z</dcterms:created>
  <dcterms:modified xsi:type="dcterms:W3CDTF">2024-01-16T14:58:00Z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date">
    <vt:lpwstr>INSERT DATE</vt:lpwstr>
  </property>
  <property fmtid="{D5CDD505-2E9C-101B-9397-08002B2CF9AE}" pid="4" name="output">
    <vt:lpwstr/>
  </property>
  <property fmtid="{D5CDD505-2E9C-101B-9397-08002B2CF9AE}" pid="5" name="shorttitle">
    <vt:lpwstr>EA Prereg 1</vt:lpwstr>
  </property>
</Properties>
</file>