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ATLAS</w:t>
      </w:r>
    </w:p>
    <w:p>
      <w:r>
        <w:rPr>
          <w:i/>
          <w:sz w:val="28"/>
        </w:rPr>
        <w:t>Documento de implementación de cambios</w:t>
      </w:r>
    </w:p>
    <w:p>
      <w:r>
        <w:rPr>
          <w:b w:val="0"/>
          <w:i w:val="0"/>
        </w:rPr>
        <w:t>Versión: 2.0  ·  Fecha: 20 de agosto de 2026</w:t>
      </w:r>
    </w:p>
    <w:p>
      <w:r>
        <w:rPr>
          <w:b w:val="0"/>
          <w:i w:val="0"/>
        </w:rPr>
        <w:t>Rama: feat/gerencias-area-permisos-ejecucion</w:t>
      </w:r>
    </w:p>
    <w:p>
      <w:r>
        <w:rPr>
          <w:b w:val="0"/>
          <w:i w:val="0"/>
        </w:rPr>
        <w:t>Alcance: cambios solicitados sobre ATLAS v2, desde la estructura organizativa hasta la administración de accesos y la carga inicial de datos.</w:t>
      </w:r>
    </w:p>
    <w:p>
      <w:pPr>
        <w:pStyle w:val="Heading1"/>
      </w:pPr>
      <w:r>
        <w:t>1. Resumen ejecutivo</w:t>
      </w:r>
    </w:p>
    <w:p>
      <w:r>
        <w:rPr>
          <w:b w:val="0"/>
          <w:i w:val="0"/>
        </w:rPr>
        <w:t>Este documento describe los cambios implementados sobre ATLAS y el procedimiento para ponerlos en producción. Los cambios responden al documento «CAMBIOS SOLICITADOS AL SISTEMA ATLAS» y a los ajustes pedidos durante la revisión.</w:t>
      </w:r>
    </w:p>
    <w:p>
      <w:r>
        <w:rPr>
          <w:b w:val="0"/>
          <w:i w:val="0"/>
        </w:rPr>
        <w:t>Los cinco ejes del trabajo son:</w:t>
      </w:r>
    </w:p>
    <w:p>
      <w:pPr>
        <w:pStyle w:val="ListBullet"/>
      </w:pPr>
      <w:r>
        <w:t>La estructura organizativa pasa a modelarse con la tabla de sectores, y reemplaza a la gestión de contratos principales.</w:t>
      </w:r>
    </w:p>
    <w:p>
      <w:pPr>
        <w:pStyle w:val="ListBullet"/>
      </w:pPr>
      <w:r>
        <w:t>Los permisos se acotan por Gerencia de Área: la información reservada no sale de ella, tampoco por exportación.</w:t>
      </w:r>
    </w:p>
    <w:p>
      <w:pPr>
        <w:pStyle w:val="ListBullet"/>
      </w:pPr>
      <w:r>
        <w:t>La ejecución admite transferencias entre contratos, incentivos y MCH, además de las facturas.</w:t>
      </w:r>
    </w:p>
    <w:p>
      <w:pPr>
        <w:pStyle w:val="ListBullet"/>
      </w:pPr>
      <w:r>
        <w:t>El panel muestra saldos jerarquizados, configurables por usuario.</w:t>
      </w:r>
    </w:p>
    <w:p>
      <w:pPr>
        <w:pStyle w:val="ListBullet"/>
      </w:pPr>
      <w:r>
        <w:t>Se incorpora un perfil sin acceso para las altas automáticas por LDAP.</w:t>
      </w:r>
    </w:p>
    <w:p>
      <w:pPr>
        <w:pStyle w:val="Heading1"/>
      </w:pPr>
      <w:r>
        <w:t>2. Estructura organizativa</w:t>
      </w:r>
    </w:p>
    <w:p>
      <w:r>
        <w:rPr>
          <w:b w:val="0"/>
          <w:i w:val="0"/>
        </w:rPr>
        <w:t>La estructura es la tabla «sector», que ya existía y se referencia a sí misma. No se crean tablas nuevas: se le da su significado funcional.</w:t>
      </w:r>
    </w:p>
    <w:p>
      <w:r>
        <w:rPr>
          <w:rFonts w:ascii="Consolas" w:hAnsi="Consolas"/>
          <w:sz w:val="18"/>
        </w:rPr>
        <w:t>Gerencia de Área (sector raíz)  →  Subsector  →  Contrato  →  Movimiento de ejecución</w:t>
      </w:r>
    </w:p>
    <w:p>
      <w:pPr>
        <w:pStyle w:val="ListBullet"/>
      </w:pPr>
      <w:r>
        <w:t>Un sector sin dependencia es una Gerencia de Área. Es el nivel al que se asocian los usuarios y el límite de confidencialidad.</w:t>
      </w:r>
    </w:p>
    <w:p>
      <w:pPr>
        <w:pStyle w:val="ListBullet"/>
      </w:pPr>
      <w:r>
        <w:t>Cada contrato cuelga de un sector («sector_id», obligatorio). Su Gerencia de Área se deriva subiendo por la jerarquía, de modo que no hay dato duplicado que pueda quedar desfasado.</w:t>
      </w:r>
    </w:p>
    <w:p>
      <w:pPr>
        <w:pStyle w:val="ListBullet"/>
      </w:pPr>
      <w:r>
        <w:t>Se retiró el módulo de Contratos Principales y sus catálogos de tipos y estados. La tabla se conserva para consultar y exportar lo ya cargado.</w:t>
      </w:r>
    </w:p>
    <w:p>
      <w:pPr>
        <w:pStyle w:val="ListBullet"/>
      </w:pPr>
      <w:r>
        <w:t>En la interfaz, los «contratos de ejecución» pasan a llamarse simplemente «Contratos». Los endpoints conservan el nombre anterior para no romper la trazabilidad del historial.</w:t>
      </w:r>
    </w:p>
    <w:p>
      <w:pPr>
        <w:pStyle w:val="ListBullet"/>
      </w:pPr>
      <w:r>
        <w:t>Se eliminó la entidad UTT del sistema, incluidas sus columnas en los contratos, el catálogo, los exports y la importación.</w:t>
      </w:r>
    </w:p>
    <w:p>
      <w:pPr>
        <w:pStyle w:val="Heading1"/>
      </w:pPr>
      <w:r>
        <w:t>3. Roles y alcance</w:t>
      </w:r>
    </w:p>
    <w:p>
      <w:r>
        <w:rPr>
          <w:b w:val="0"/>
          <w:i w:val="0"/>
        </w:rPr>
        <w:t>Los roles anteriores (admin, operador, consulta) se reemplazan por cuatro perfiles.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Rol</w:t>
            </w:r>
          </w:p>
        </w:tc>
        <w:tc>
          <w:tcPr>
            <w:tcW w:type="dxa" w:w="2160"/>
          </w:tcPr>
          <w:p>
            <w:r>
              <w:rPr>
                <w:b/>
              </w:rPr>
              <w:t>Contratos</w:t>
            </w:r>
          </w:p>
        </w:tc>
        <w:tc>
          <w:tcPr>
            <w:tcW w:type="dxa" w:w="2160"/>
          </w:tcPr>
          <w:p>
            <w:r>
              <w:rPr>
                <w:b/>
              </w:rPr>
              <w:t>Saldos</w:t>
            </w:r>
          </w:p>
        </w:tc>
        <w:tc>
          <w:tcPr>
            <w:tcW w:type="dxa" w:w="2160"/>
          </w:tcPr>
          <w:p>
            <w:r>
              <w:rPr>
                <w:b/>
              </w:rPr>
              <w:t>Usuarios</w:t>
            </w:r>
          </w:p>
        </w:tc>
      </w:tr>
      <w:tr>
        <w:tc>
          <w:tcPr>
            <w:tcW w:type="dxa" w:w="2160"/>
          </w:tcPr>
          <w:p>
            <w:r>
              <w:t>Administrador de sistema</w:t>
            </w:r>
          </w:p>
        </w:tc>
        <w:tc>
          <w:tcPr>
            <w:tcW w:type="dxa" w:w="2160"/>
          </w:tcPr>
          <w:p>
            <w:r>
              <w:t>Todas las Gerencias de Área</w:t>
            </w:r>
          </w:p>
        </w:tc>
        <w:tc>
          <w:tcPr>
            <w:tcW w:type="dxa" w:w="2160"/>
          </w:tcPr>
          <w:p>
            <w:r>
              <w:t>Todas</w:t>
            </w:r>
          </w:p>
        </w:tc>
        <w:tc>
          <w:tcPr>
            <w:tcW w:type="dxa" w:w="2160"/>
          </w:tcPr>
          <w:p>
            <w:r>
              <w:t>Cualquier rol y Gerencia de Área</w:t>
            </w:r>
          </w:p>
        </w:tc>
      </w:tr>
      <w:tr>
        <w:tc>
          <w:tcPr>
            <w:tcW w:type="dxa" w:w="2160"/>
          </w:tcPr>
          <w:p>
            <w:r>
              <w:t>Administrador de gerencia</w:t>
            </w:r>
          </w:p>
        </w:tc>
        <w:tc>
          <w:tcPr>
            <w:tcW w:type="dxa" w:w="2160"/>
          </w:tcPr>
          <w:p>
            <w:r>
              <w:t>Su Gerencia de Área y subsectores</w:t>
            </w:r>
          </w:p>
        </w:tc>
        <w:tc>
          <w:tcPr>
            <w:tcW w:type="dxa" w:w="2160"/>
          </w:tcPr>
          <w:p>
            <w:r>
              <w:t>Su Gerencia de Área</w:t>
            </w:r>
          </w:p>
        </w:tc>
        <w:tc>
          <w:tcPr>
            <w:tcW w:type="dxa" w:w="2160"/>
          </w:tcPr>
          <w:p>
            <w:r>
              <w:t>Operadores de su Gerencia de Área</w:t>
            </w:r>
          </w:p>
        </w:tc>
      </w:tr>
      <w:tr>
        <w:tc>
          <w:tcPr>
            <w:tcW w:type="dxa" w:w="2160"/>
          </w:tcPr>
          <w:p>
            <w:r>
              <w:t>Operador de gerencia</w:t>
            </w:r>
          </w:p>
        </w:tc>
        <w:tc>
          <w:tcPr>
            <w:tcW w:type="dxa" w:w="2160"/>
          </w:tcPr>
          <w:p>
            <w:r>
              <w:t>Su Gerencia de Área y subsectores</w:t>
            </w:r>
          </w:p>
        </w:tc>
        <w:tc>
          <w:tcPr>
            <w:tcW w:type="dxa" w:w="2160"/>
          </w:tcPr>
          <w:p>
            <w:r>
              <w:t>Su Gerencia de Área</w:t>
            </w:r>
          </w:p>
        </w:tc>
        <w:tc>
          <w:tcPr>
            <w:tcW w:type="dxa" w:w="2160"/>
          </w:tcPr>
          <w:p>
            <w:r>
              <w:t>—</w:t>
            </w:r>
          </w:p>
        </w:tc>
      </w:tr>
      <w:tr>
        <w:tc>
          <w:tcPr>
            <w:tcW w:type="dxa" w:w="2160"/>
          </w:tcPr>
          <w:p>
            <w:r>
              <w:t>Sin acceso</w:t>
            </w:r>
          </w:p>
        </w:tc>
        <w:tc>
          <w:tcPr>
            <w:tcW w:type="dxa" w:w="2160"/>
          </w:tcPr>
          <w:p>
            <w:r>
              <w:t>—</w:t>
            </w:r>
          </w:p>
        </w:tc>
        <w:tc>
          <w:tcPr>
            <w:tcW w:type="dxa" w:w="2160"/>
          </w:tcPr>
          <w:p>
            <w:r>
              <w:t>—</w:t>
            </w:r>
          </w:p>
        </w:tc>
        <w:tc>
          <w:tcPr>
            <w:tcW w:type="dxa" w:w="2160"/>
          </w:tcPr>
          <w:p>
            <w:r>
              <w:t>—</w:t>
            </w:r>
          </w:p>
        </w:tc>
      </w:tr>
    </w:tbl>
    <w:p/>
    <w:p>
      <w:r>
        <w:rPr>
          <w:b w:val="0"/>
          <w:i w:val="0"/>
        </w:rPr>
        <w:t>Equivalencias al migrar: admin → administrador de sistema; operador y consulta → operador de gerencia. La Gerencia de Área de cada usuario no se asigna automáticamente: la define la organización, y hasta entonces el usuario no ve contratos.</w:t>
      </w:r>
    </w:p>
    <w:p>
      <w:r>
        <w:rPr>
          <w:b/>
          <w:i w:val="0"/>
        </w:rPr>
        <w:t>Cómo se aplica el recorte</w:t>
      </w:r>
    </w:p>
    <w:p>
      <w:pPr>
        <w:pStyle w:val="ListBullet"/>
      </w:pPr>
      <w:r>
        <w:t>El recorte se resuelve en el servidor sobre contratos, movimientos, historial, saldos y exportaciones. Un contrato fuera del alcance responde «no encontrado», no sólo se oculta.</w:t>
      </w:r>
    </w:p>
    <w:p>
      <w:pPr>
        <w:pStyle w:val="ListBullet"/>
      </w:pPr>
      <w:r>
        <w:t>El perfil sin acceso se corta con un middleware sobre todo el grupo autenticado, de modo que no depende de que cada endpoint nuevo se acuerde de aplicarlo. Sólo puede consultar su propio usuario y cerrar sesión.</w:t>
      </w:r>
    </w:p>
    <w:p>
      <w:pPr>
        <w:pStyle w:val="ListBullet"/>
      </w:pPr>
      <w:r>
        <w:t>El usuario se asocia siempre a una Gerencia de Área, nunca a un subsector; el sistema lo valida.</w:t>
      </w:r>
    </w:p>
    <w:p>
      <w:r>
        <w:rPr>
          <w:b/>
          <w:i w:val="0"/>
        </w:rPr>
        <w:t>Alta automática por LDAP</w:t>
      </w:r>
    </w:p>
    <w:p>
      <w:r>
        <w:rPr>
          <w:b w:val="0"/>
          <w:i w:val="0"/>
        </w:rPr>
        <w:t>Quien llega por LDAP y todavía no está en el sistema se da de alta solo, con el perfil sin acceso y sin Gerencia de Área: el directorio confirma quién es la persona, pero qué puede ver lo decide un administrador. Los usuarios locales siguen sin autocrearse, porque no hay directorio contra el cual validarlos.</w:t>
      </w:r>
    </w:p>
    <w:p>
      <w:r>
        <w:rPr>
          <w:b w:val="0"/>
          <w:i/>
        </w:rPr>
        <w:t>Esto revierte la decisión asentada en el documento anterior de alta manual de usuarios LDAP.</w:t>
      </w:r>
    </w:p>
    <w:p>
      <w:pPr>
        <w:pStyle w:val="Heading1"/>
      </w:pPr>
      <w:r>
        <w:t>4. Ejecución de contratos</w:t>
      </w:r>
    </w:p>
    <w:p>
      <w:r>
        <w:rPr>
          <w:b w:val="0"/>
          <w:i w:val="0"/>
        </w:rPr>
        <w:t>Además de los gastos e ingresos por facturas, el movimiento de ejecución incorpora una acción: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Acción</w:t>
            </w:r>
          </w:p>
        </w:tc>
        <w:tc>
          <w:tcPr>
            <w:tcW w:type="dxa" w:w="2880"/>
          </w:tcPr>
          <w:p>
            <w:r>
              <w:rPr>
                <w:b/>
              </w:rPr>
              <w:t>Contraparte</w:t>
            </w:r>
          </w:p>
        </w:tc>
        <w:tc>
          <w:tcPr>
            <w:tcW w:type="dxa" w:w="2880"/>
          </w:tcPr>
          <w:p>
            <w:r>
              <w:rPr>
                <w:b/>
              </w:rPr>
              <w:t>Observaciones</w:t>
            </w:r>
          </w:p>
        </w:tc>
      </w:tr>
      <w:tr>
        <w:tc>
          <w:tcPr>
            <w:tcW w:type="dxa" w:w="2880"/>
          </w:tcPr>
          <w:p>
            <w:r>
              <w:t>Factura</w:t>
            </w:r>
          </w:p>
        </w:tc>
        <w:tc>
          <w:tcPr>
            <w:tcW w:type="dxa" w:w="2880"/>
          </w:tcPr>
          <w:p>
            <w:r>
              <w:t>Cliente (ingreso) o proveedor (gasto)</w:t>
            </w:r>
          </w:p>
        </w:tc>
        <w:tc>
          <w:tcPr>
            <w:tcW w:type="dxa" w:w="2880"/>
          </w:tcPr>
          <w:p>
            <w:r>
              <w:t>Admite adjuntar la factura en los ingresos.</w:t>
            </w:r>
          </w:p>
        </w:tc>
      </w:tr>
      <w:tr>
        <w:tc>
          <w:tcPr>
            <w:tcW w:type="dxa" w:w="2880"/>
          </w:tcPr>
          <w:p>
            <w:r>
              <w:t>Transferencia a otro contrato</w:t>
            </w:r>
          </w:p>
        </w:tc>
        <w:tc>
          <w:tcPr>
            <w:tcW w:type="dxa" w:w="2880"/>
          </w:tcPr>
          <w:p>
            <w:r>
              <w:t>Otro contrato</w:t>
            </w:r>
          </w:p>
        </w:tc>
        <w:tc>
          <w:tcPr>
            <w:tcW w:type="dxa" w:w="2880"/>
          </w:tcPr>
          <w:p>
            <w:r>
              <w:t>De la misma o de otra gerencia.</w:t>
            </w:r>
          </w:p>
        </w:tc>
      </w:tr>
      <w:tr>
        <w:tc>
          <w:tcPr>
            <w:tcW w:type="dxa" w:w="2880"/>
          </w:tcPr>
          <w:p>
            <w:r>
              <w:t>Pago de incentivos</w:t>
            </w:r>
          </w:p>
        </w:tc>
        <w:tc>
          <w:tcPr>
            <w:tcW w:type="dxa" w:w="2880"/>
          </w:tcPr>
          <w:p>
            <w:r>
              <w:t>Rubro</w:t>
            </w:r>
          </w:p>
        </w:tc>
        <w:tc>
          <w:tcPr>
            <w:tcW w:type="dxa" w:w="2880"/>
          </w:tcPr>
          <w:p>
            <w:r>
              <w:t>Se registra siempre como gasto.</w:t>
            </w:r>
          </w:p>
        </w:tc>
      </w:tr>
      <w:tr>
        <w:tc>
          <w:tcPr>
            <w:tcW w:type="dxa" w:w="2880"/>
          </w:tcPr>
          <w:p>
            <w:r>
              <w:t>MCH (Mayor Carga Horaria)</w:t>
            </w:r>
          </w:p>
        </w:tc>
        <w:tc>
          <w:tcPr>
            <w:tcW w:type="dxa" w:w="2880"/>
          </w:tcPr>
          <w:p>
            <w:r>
              <w:t>Rubro</w:t>
            </w:r>
          </w:p>
        </w:tc>
        <w:tc>
          <w:tcPr>
            <w:tcW w:type="dxa" w:w="2880"/>
          </w:tcPr>
          <w:p>
            <w:r>
              <w:t>Se registra siempre como gasto.</w:t>
            </w:r>
          </w:p>
        </w:tc>
      </w:tr>
    </w:tbl>
    <w:p/>
    <w:p>
      <w:r>
        <w:rPr>
          <w:b w:val="0"/>
          <w:i w:val="0"/>
        </w:rPr>
        <w:t>Como no siempre hay un cliente o un proveedor, la contraparte es flexible: cliente, proveedor, otro contrato o simplemente un rubro. El sistema deriva cuál corresponde según la acción y limpia los campos que dejaron de aplicar.</w:t>
      </w:r>
    </w:p>
    <w:p>
      <w:r>
        <w:rPr>
          <w:b/>
          <w:i w:val="0"/>
        </w:rPr>
        <w:t>Transferencias entre contratos</w:t>
      </w:r>
    </w:p>
    <w:p>
      <w:r>
        <w:rPr>
          <w:b w:val="0"/>
          <w:i w:val="0"/>
        </w:rPr>
        <w:t>Al registrar una transferencia se genera automáticamente la contrapartida en el contrato de destino, de modo que los saldos de ambas gerencias quedan consistentes. Los dos movimientos quedan vinculados: al editarlos o darlos de baja, el cambio se propaga.</w:t>
      </w:r>
    </w:p>
    <w:p>
      <w:r>
        <w:rPr>
          <w:b/>
          <w:i w:val="0"/>
        </w:rPr>
        <w:t>Transferencia de un contrato a otro sector</w:t>
      </w:r>
    </w:p>
    <w:p>
      <w:r>
        <w:rPr>
          <w:b w:val="0"/>
          <w:i w:val="0"/>
        </w:rPr>
        <w:t>Disponible en el detalle del contrato, sólo para el administrador de sistema, porque puede cruzar el límite de la Gerencia de Área. El contrato y todos sus movimientos acompañan al cambio, y el motivo queda asentado en el historial.</w:t>
      </w:r>
    </w:p>
    <w:p>
      <w:pPr>
        <w:pStyle w:val="Heading1"/>
      </w:pPr>
      <w:r>
        <w:t>5. Saldos y panel de control</w:t>
      </w:r>
    </w:p>
    <w:p>
      <w:r>
        <w:rPr>
          <w:b w:val="0"/>
          <w:i w:val="0"/>
        </w:rPr>
        <w:t>El monto presupuestado de ingresos pasa a llamarse «saldo inicial», que es lo que guardaba en los datos, y se elimina el presupuesto de gastos, que no se usaba.</w:t>
      </w:r>
    </w:p>
    <w:p>
      <w:r>
        <w:rPr>
          <w:rFonts w:ascii="Consolas" w:hAnsi="Consolas"/>
          <w:sz w:val="18"/>
        </w:rPr>
        <w:t>Saldo = saldo inicial + ingresos ejecutados − gastos ejecutados</w:t>
      </w:r>
    </w:p>
    <w:p>
      <w:r>
        <w:rPr>
          <w:b/>
          <w:i w:val="0"/>
        </w:rPr>
        <w:t>Vista de saldos</w:t>
      </w:r>
    </w:p>
    <w:p>
      <w:r>
        <w:rPr>
          <w:b w:val="0"/>
          <w:i w:val="0"/>
        </w:rPr>
        <w:t>Los importes de cada fila incluyen los de toda su rama, así los totales cierran en cualquier nivel al que se mire. El usuario elige la agrupación y puede fijarla como predeterminada.</w:t>
      </w:r>
    </w:p>
    <w:tbl>
      <w:tblPr>
        <w:tblStyle w:val="LightGrid-Accent1"/>
        <w:tblW w:type="auto" w:w="0"/>
        <w:tblLook w:firstColumn="1" w:firstRow="1" w:lastColumn="0" w:lastRow="0" w:noHBand="0" w:noVBand="1" w:val="04A0"/>
      </w:tblPr>
      <w:tblGrid>
        <w:gridCol w:w="4320"/>
        <w:gridCol w:w="4320"/>
      </w:tblGrid>
      <w:tr>
        <w:tc>
          <w:tcPr>
            <w:tcW w:type="dxa" w:w="4320"/>
          </w:tcPr>
          <w:p>
            <w:r>
              <w:rPr>
                <w:b/>
              </w:rPr>
              <w:t>Agrupación</w:t>
            </w:r>
          </w:p>
        </w:tc>
        <w:tc>
          <w:tcPr>
            <w:tcW w:type="dxa" w:w="4320"/>
          </w:tcPr>
          <w:p>
            <w:r>
              <w:rPr>
                <w:b/>
              </w:rPr>
              <w:t>Qué muestra</w:t>
            </w:r>
          </w:p>
        </w:tc>
      </w:tr>
      <w:tr>
        <w:tc>
          <w:tcPr>
            <w:tcW w:type="dxa" w:w="4320"/>
          </w:tcPr>
          <w:p>
            <w:r>
              <w:t>Por Gerencia de Área</w:t>
            </w:r>
          </w:p>
        </w:tc>
        <w:tc>
          <w:tcPr>
            <w:tcW w:type="dxa" w:w="4320"/>
          </w:tcPr>
          <w:p>
            <w:r>
              <w:t>Una fila por Gerencia de Área, con el acumulado de sus subsectores.</w:t>
            </w:r>
          </w:p>
        </w:tc>
      </w:tr>
      <w:tr>
        <w:tc>
          <w:tcPr>
            <w:tcW w:type="dxa" w:w="4320"/>
          </w:tcPr>
          <w:p>
            <w:r>
              <w:t>Por Subsector</w:t>
            </w:r>
          </w:p>
        </w:tc>
        <w:tc>
          <w:tcPr>
            <w:tcW w:type="dxa" w:w="4320"/>
          </w:tcPr>
          <w:p>
            <w:r>
              <w:t>Cada Gerencia de Área y, debajo, sus subsectores.</w:t>
            </w:r>
          </w:p>
        </w:tc>
      </w:tr>
      <w:tr>
        <w:tc>
          <w:tcPr>
            <w:tcW w:type="dxa" w:w="4320"/>
          </w:tcPr>
          <w:p>
            <w:r>
              <w:t>Por Contrato</w:t>
            </w:r>
          </w:p>
        </w:tc>
        <w:tc>
          <w:tcPr>
            <w:tcW w:type="dxa" w:w="4320"/>
          </w:tcPr>
          <w:p>
            <w:r>
              <w:t>Baja un nivel más y abre los contratos de cada subsector.</w:t>
            </w:r>
          </w:p>
        </w:tc>
      </w:tr>
    </w:tbl>
    <w:p/>
    <w:p>
      <w:r>
        <w:rPr>
          <w:b/>
          <w:i w:val="0"/>
        </w:rPr>
        <w:t>Otros cambios del panel</w:t>
      </w:r>
    </w:p>
    <w:p>
      <w:pPr>
        <w:pStyle w:val="ListBullet"/>
      </w:pPr>
      <w:r>
        <w:t>Se quitaron las distribuciones por tipo, por estado y por moneda.</w:t>
      </w:r>
    </w:p>
    <w:p>
      <w:pPr>
        <w:pStyle w:val="ListBullet"/>
      </w:pPr>
      <w:r>
        <w:t>Las tres que quedan —Gerencia de Área, Subsector y UVT— van una por fila, con las barras dimensionadas por el saldo y la cantidad de contratos al costado.</w:t>
      </w:r>
    </w:p>
    <w:p>
      <w:pPr>
        <w:pStyle w:val="ListBullet"/>
      </w:pPr>
      <w:r>
        <w:t>Se agregó la distribución de movimientos por acción.</w:t>
      </w:r>
    </w:p>
    <w:p>
      <w:pPr>
        <w:pStyle w:val="Heading1"/>
      </w:pPr>
      <w:r>
        <w:t>6. Pantalla de contratos</w:t>
      </w:r>
    </w:p>
    <w:p>
      <w:pPr>
        <w:pStyle w:val="ListBullet"/>
      </w:pPr>
      <w:r>
        <w:t>La grilla se ordena por cualquier columna. Se ordena por el nombre de la entidad relacionada —estado, tipo, sector, UVT— y no por su id, y también por saldo, que es un calculado resuelto en la base para no traer todo a memoria.</w:t>
      </w:r>
    </w:p>
    <w:p>
      <w:pPr>
        <w:pStyle w:val="ListBullet"/>
      </w:pPr>
      <w:r>
        <w:t>Filtros por búsqueda, estado, tipo, Gerencia de Área, sector, UVT, moneda, vencidos y dados de baja. Selector de filas por página.</w:t>
      </w:r>
    </w:p>
    <w:p>
      <w:pPr>
        <w:pStyle w:val="ListBullet"/>
      </w:pPr>
      <w:r>
        <w:t>El expediente lleva al detalle. La columna de ejecución muestra saldo inicial, ingresos, gastos y el saldo resultante.</w:t>
      </w:r>
    </w:p>
    <w:p>
      <w:pPr>
        <w:pStyle w:val="ListBullet"/>
      </w:pPr>
      <w:r>
        <w:t>El detalle se ve completo al entrar; un botón «Ejecución» abre la pantalla de movimientos e historial, que tiene URL propia y se puede compartir.</w:t>
      </w:r>
    </w:p>
    <w:p>
      <w:pPr>
        <w:pStyle w:val="ListBullet"/>
      </w:pPr>
      <w:r>
        <w:t>El orden y los filtros viajan al export, así el Excel sale como se ve la pantalla.</w:t>
      </w:r>
    </w:p>
    <w:p>
      <w:pPr>
        <w:pStyle w:val="Heading1"/>
      </w:pPr>
      <w:r>
        <w:t>7. Exportación e importación</w:t>
      </w:r>
    </w:p>
    <w:p>
      <w:r>
        <w:rPr>
          <w:b/>
          <w:i w:val="0"/>
        </w:rPr>
        <w:t>Exportación</w:t>
      </w:r>
    </w:p>
    <w:p>
      <w:r>
        <w:rPr>
          <w:b w:val="0"/>
          <w:i w:val="0"/>
        </w:rPr>
        <w:t>El export consolidado respeta el alcance de quien lo pide. Hasta ahora entregaba todo el sistema a cualquier usuario autenticado.</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Contenido</w:t>
            </w:r>
          </w:p>
        </w:tc>
        <w:tc>
          <w:tcPr>
            <w:tcW w:type="dxa" w:w="2880"/>
          </w:tcPr>
          <w:p>
            <w:r>
              <w:rPr>
                <w:b/>
              </w:rPr>
              <w:t>Administrador de sistema</w:t>
            </w:r>
          </w:p>
        </w:tc>
        <w:tc>
          <w:tcPr>
            <w:tcW w:type="dxa" w:w="2880"/>
          </w:tcPr>
          <w:p>
            <w:r>
              <w:rPr>
                <w:b/>
              </w:rPr>
              <w:t>Roles de gerencia</w:t>
            </w:r>
          </w:p>
        </w:tc>
      </w:tr>
      <w:tr>
        <w:tc>
          <w:tcPr>
            <w:tcW w:type="dxa" w:w="2880"/>
          </w:tcPr>
          <w:p>
            <w:r>
              <w:t>Contratos, movimientos e historial</w:t>
            </w:r>
          </w:p>
        </w:tc>
        <w:tc>
          <w:tcPr>
            <w:tcW w:type="dxa" w:w="2880"/>
          </w:tcPr>
          <w:p>
            <w:r>
              <w:t>Todos</w:t>
            </w:r>
          </w:p>
        </w:tc>
        <w:tc>
          <w:tcPr>
            <w:tcW w:type="dxa" w:w="2880"/>
          </w:tcPr>
          <w:p>
            <w:r>
              <w:t>Los de su Gerencia de Área</w:t>
            </w:r>
          </w:p>
        </w:tc>
      </w:tr>
      <w:tr>
        <w:tc>
          <w:tcPr>
            <w:tcW w:type="dxa" w:w="2880"/>
          </w:tcPr>
          <w:p>
            <w:r>
              <w:t>Sectores</w:t>
            </w:r>
          </w:p>
        </w:tc>
        <w:tc>
          <w:tcPr>
            <w:tcW w:type="dxa" w:w="2880"/>
          </w:tcPr>
          <w:p>
            <w:r>
              <w:t>Todos</w:t>
            </w:r>
          </w:p>
        </w:tc>
        <w:tc>
          <w:tcPr>
            <w:tcW w:type="dxa" w:w="2880"/>
          </w:tcPr>
          <w:p>
            <w:r>
              <w:t>Los de su rama</w:t>
            </w:r>
          </w:p>
        </w:tc>
      </w:tr>
      <w:tr>
        <w:tc>
          <w:tcPr>
            <w:tcW w:type="dxa" w:w="2880"/>
          </w:tcPr>
          <w:p>
            <w:r>
              <w:t>Usuarios</w:t>
            </w:r>
          </w:p>
        </w:tc>
        <w:tc>
          <w:tcPr>
            <w:tcW w:type="dxa" w:w="2880"/>
          </w:tcPr>
          <w:p>
            <w:r>
              <w:t>Todos</w:t>
            </w:r>
          </w:p>
        </w:tc>
        <w:tc>
          <w:tcPr>
            <w:tcW w:type="dxa" w:w="2880"/>
          </w:tcPr>
          <w:p>
            <w:r>
              <w:t>Sólo quien administra usuarios, y de su gerencia</w:t>
            </w:r>
          </w:p>
        </w:tc>
      </w:tr>
      <w:tr>
        <w:tc>
          <w:tcPr>
            <w:tcW w:type="dxa" w:w="2880"/>
          </w:tcPr>
          <w:p>
            <w:r>
              <w:t>Contratos principales</w:t>
            </w:r>
          </w:p>
        </w:tc>
        <w:tc>
          <w:tcPr>
            <w:tcW w:type="dxa" w:w="2880"/>
          </w:tcPr>
          <w:p>
            <w:r>
              <w:t>Sí</w:t>
            </w:r>
          </w:p>
        </w:tc>
        <w:tc>
          <w:tcPr>
            <w:tcW w:type="dxa" w:w="2880"/>
          </w:tcPr>
          <w:p>
            <w:r>
              <w:t>No</w:t>
            </w:r>
          </w:p>
        </w:tc>
      </w:tr>
    </w:tbl>
    <w:p/>
    <w:p>
      <w:r>
        <w:rPr>
          <w:b/>
          <w:i w:val="0"/>
        </w:rPr>
        <w:t>Importación</w:t>
      </w:r>
    </w:p>
    <w:p>
      <w:r>
        <w:rPr>
          <w:b w:val="0"/>
          <w:i w:val="0"/>
        </w:rPr>
        <w:t>Las reglas de carga son comunes a la pantalla de Exportar / Importar y al comando «atlas:importar-legacy», de modo que un mismo archivo se comporte igual por cualquiera de las dos vías:</w:t>
      </w:r>
    </w:p>
    <w:p>
      <w:pPr>
        <w:pStyle w:val="ListBullet"/>
      </w:pPr>
      <w:r>
        <w:t>Traduce el formato anterior: «gerencia_area» y «gerencia» del contrato pasan a «sector_id», y los roles anteriores a los actuales.</w:t>
      </w:r>
    </w:p>
    <w:p>
      <w:pPr>
        <w:pStyle w:val="ListBullet"/>
      </w:pPr>
      <w:r>
        <w:t>Convierte las fechas que Excel entrega como número de serie y normaliza los nombres de moneda.</w:t>
      </w:r>
    </w:p>
    <w:p>
      <w:pPr>
        <w:pStyle w:val="ListBullet"/>
      </w:pPr>
      <w:r>
        <w:t>Las columnas obligatorias que el archivo trae vacías se completan con el valor por defecto de la tabla, y se informa cuáles fueron. Nunca se completa una clave foránea ni una clave primaria: se corta o se omite la fila, indicando el motivo.</w:t>
      </w:r>
    </w:p>
    <w:p>
      <w:pPr>
        <w:pStyle w:val="ListBullet"/>
      </w:pPr>
      <w:r>
        <w:t>Si un contrato apunta a un sector que no está en la solapa de sectores, la importación aborta e informa cuál falta: la estructura la define la organización, no se inventa.</w:t>
      </w:r>
    </w:p>
    <w:p>
      <w:pPr>
        <w:pStyle w:val="ListBullet"/>
      </w:pPr>
      <w:r>
        <w:t>La solapa de contratos principales se ignora: el módulo fue retirado.</w:t>
      </w:r>
    </w:p>
    <w:p>
      <w:pPr>
        <w:pStyle w:val="Heading1"/>
      </w:pPr>
      <w:r>
        <w:t>8. Cambios en la base de datos</w:t>
      </w:r>
    </w:p>
    <w:p>
      <w:r>
        <w:rPr>
          <w:b w:val="0"/>
          <w:i w:val="0"/>
        </w:rPr>
        <w:t>Ocho migraciones, idempotentes y —salvo la última— reversibles.</w:t>
      </w:r>
    </w:p>
    <w:tbl>
      <w:tblPr>
        <w:tblStyle w:val="LightGrid-Accent1"/>
        <w:tblW w:type="auto" w:w="0"/>
        <w:tblLook w:firstColumn="1" w:firstRow="1" w:lastColumn="0" w:lastRow="0" w:noHBand="0" w:noVBand="1" w:val="04A0"/>
      </w:tblPr>
      <w:tblGrid>
        <w:gridCol w:w="4320"/>
        <w:gridCol w:w="4320"/>
      </w:tblGrid>
      <w:tr>
        <w:tc>
          <w:tcPr>
            <w:tcW w:type="dxa" w:w="4320"/>
          </w:tcPr>
          <w:p>
            <w:r>
              <w:rPr>
                <w:b/>
              </w:rPr>
              <w:t>Migración</w:t>
            </w:r>
          </w:p>
        </w:tc>
        <w:tc>
          <w:tcPr>
            <w:tcW w:type="dxa" w:w="4320"/>
          </w:tcPr>
          <w:p>
            <w:r>
              <w:rPr>
                <w:b/>
              </w:rPr>
              <w:t>Qué hace</w:t>
            </w:r>
          </w:p>
        </w:tc>
      </w:tr>
      <w:tr>
        <w:tc>
          <w:tcPr>
            <w:tcW w:type="dxa" w:w="4320"/>
          </w:tcPr>
          <w:p>
            <w:r>
              <w:t>add_sector_to_contratos_ejecucion</w:t>
            </w:r>
          </w:p>
        </w:tc>
        <w:tc>
          <w:tcPr>
            <w:tcW w:type="dxa" w:w="4320"/>
          </w:tcPr>
          <w:p>
            <w:r>
              <w:t>Agrega «sector_id» obligatorio y elimina las columnas de texto libre.</w:t>
            </w:r>
          </w:p>
        </w:tc>
      </w:tr>
      <w:tr>
        <w:tc>
          <w:tcPr>
            <w:tcW w:type="dxa" w:w="4320"/>
          </w:tcPr>
          <w:p>
            <w:r>
              <w:t>add_acciones_to_ejecucion_movimientos</w:t>
            </w:r>
          </w:p>
        </w:tc>
        <w:tc>
          <w:tcPr>
            <w:tcW w:type="dxa" w:w="4320"/>
          </w:tcPr>
          <w:p>
            <w:r>
              <w:t>Agrega acción, tipo de contraparte, contrato contraparte, rubro y movimiento espejo.</w:t>
            </w:r>
          </w:p>
        </w:tc>
      </w:tr>
      <w:tr>
        <w:tc>
          <w:tcPr>
            <w:tcW w:type="dxa" w:w="4320"/>
          </w:tcPr>
          <w:p>
            <w:r>
              <w:t>update_user_roles_scope</w:t>
            </w:r>
          </w:p>
        </w:tc>
        <w:tc>
          <w:tcPr>
            <w:tcW w:type="dxa" w:w="4320"/>
          </w:tcPr>
          <w:p>
            <w:r>
              <w:t>Nuevos roles, «sector_id» y agrupación de saldos.</w:t>
            </w:r>
          </w:p>
        </w:tc>
      </w:tr>
      <w:tr>
        <w:tc>
          <w:tcPr>
            <w:tcW w:type="dxa" w:w="4320"/>
          </w:tcPr>
          <w:p>
            <w:r>
              <w:t>saldo_inicial_en_contratos</w:t>
            </w:r>
          </w:p>
        </w:tc>
        <w:tc>
          <w:tcPr>
            <w:tcW w:type="dxa" w:w="4320"/>
          </w:tcPr>
          <w:p>
            <w:r>
              <w:t>Renombra el presupuesto de ingresos a saldo inicial y elimina el de gastos.</w:t>
            </w:r>
          </w:p>
        </w:tc>
      </w:tr>
      <w:tr>
        <w:tc>
          <w:tcPr>
            <w:tcW w:type="dxa" w:w="4320"/>
          </w:tcPr>
          <w:p>
            <w:r>
              <w:t>eliminar_utt</w:t>
            </w:r>
          </w:p>
        </w:tc>
        <w:tc>
          <w:tcPr>
            <w:tcW w:type="dxa" w:w="4320"/>
          </w:tcPr>
          <w:p>
            <w:r>
              <w:t>Suelta las referencias y elimina la tabla UTT.</w:t>
            </w:r>
          </w:p>
        </w:tc>
      </w:tr>
      <w:tr>
        <w:tc>
          <w:tcPr>
            <w:tcW w:type="dxa" w:w="4320"/>
          </w:tcPr>
          <w:p>
            <w:r>
              <w:t>rol_sin_acceso</w:t>
            </w:r>
          </w:p>
        </w:tc>
        <w:tc>
          <w:tcPr>
            <w:tcW w:type="dxa" w:w="4320"/>
          </w:tcPr>
          <w:p>
            <w:r>
              <w:t>Incorpora el perfil sin acceso.</w:t>
            </w:r>
          </w:p>
        </w:tc>
      </w:tr>
      <w:tr>
        <w:tc>
          <w:tcPr>
            <w:tcW w:type="dxa" w:w="4320"/>
          </w:tcPr>
          <w:p>
            <w:r>
              <w:t>limpiar_datos_para_reimportacion</w:t>
            </w:r>
          </w:p>
        </w:tc>
        <w:tc>
          <w:tcPr>
            <w:tcW w:type="dxa" w:w="4320"/>
          </w:tcPr>
          <w:p>
            <w:r>
              <w:t>Vacía los datos para una carga desde cero. No reversible.</w:t>
            </w:r>
          </w:p>
        </w:tc>
      </w:tr>
    </w:tbl>
    <w:p/>
    <w:p>
      <w:pPr>
        <w:pStyle w:val="Heading1"/>
      </w:pPr>
      <w:r>
        <w:t>9. Procedimiento de implementación</w:t>
      </w:r>
    </w:p>
    <w:p>
      <w:r>
        <w:rPr>
          <w:b w:val="0"/>
          <w:i w:val="0"/>
        </w:rPr>
        <w:t>Sobre un entorno que ya tiene ATLAS v2 en funcionamiento:</w:t>
      </w:r>
    </w:p>
    <w:p>
      <w:pPr>
        <w:pStyle w:val="ListNumber"/>
      </w:pPr>
      <w:r>
        <w:t>Tomar un backup completo de la base. Es el único respaldo de la limpieza, que no se puede revertir.</w:t>
      </w:r>
    </w:p>
    <w:p>
      <w:r>
        <w:rPr>
          <w:rFonts w:ascii="Consolas" w:hAnsi="Consolas"/>
          <w:sz w:val="18"/>
        </w:rPr>
        <w:t>mysqldump -u USUARIO -p --databases atlas_db --routines --triggers \</w:t>
        <w:br/>
        <w:t xml:space="preserve">  --single-transaction &gt; atlas_db_pre_cambios.sql</w:t>
      </w:r>
    </w:p>
    <w:p>
      <w:pPr>
        <w:pStyle w:val="ListNumber"/>
      </w:pPr>
      <w:r>
        <w:t>Desplegar la nueva versión. Al arrancar, el backend aplica las migraciones automáticamente.</w:t>
      </w:r>
    </w:p>
    <w:p>
      <w:r>
        <w:rPr>
          <w:rFonts w:ascii="Consolas" w:hAnsi="Consolas"/>
          <w:sz w:val="18"/>
        </w:rPr>
        <w:t>docker compose build backend frontend</w:t>
        <w:br/>
        <w:t>docker compose up -d</w:t>
      </w:r>
    </w:p>
    <w:p>
      <w:pPr>
        <w:pStyle w:val="ListNumber"/>
      </w:pPr>
      <w:r>
        <w:t>Verificar que las migraciones se aplicaron y que la aplicación responde.</w:t>
      </w:r>
    </w:p>
    <w:p>
      <w:r>
        <w:rPr>
          <w:rFonts w:ascii="Consolas" w:hAnsi="Consolas"/>
          <w:sz w:val="18"/>
        </w:rPr>
        <w:t>docker compose exec backend php artisan migrate:status</w:t>
        <w:br/>
        <w:t>curl -s http://localhost/api/health</w:t>
      </w:r>
    </w:p>
    <w:p>
      <w:pPr>
        <w:pStyle w:val="ListNumber"/>
      </w:pPr>
      <w:r>
        <w:t>Cargar los datos. Si el sistema debe quedar vacío antes, usar el comando de limpieza, que se puede repetir mientras se ajusta el archivo.</w:t>
      </w:r>
    </w:p>
    <w:p>
      <w:r>
        <w:rPr>
          <w:rFonts w:ascii="Consolas" w:hAnsi="Consolas"/>
          <w:sz w:val="18"/>
        </w:rPr>
        <w:t>docker compose exec backend php artisan atlas:limpiar</w:t>
        <w:br/>
        <w:t>docker compose exec backend php artisan atlas:importar-legacy archivo.xlsx --dry-run</w:t>
        <w:br/>
        <w:t>docker compose exec backend php artisan atlas:importar-legacy archivo.xlsx</w:t>
      </w:r>
    </w:p>
    <w:p>
      <w:pPr>
        <w:pStyle w:val="ListNumber"/>
      </w:pPr>
      <w:r>
        <w:t>Revisar la estructura cargada en «Sectores y Gerencias» y confirmar que las Gerencias de Área sean las correctas.</w:t>
      </w:r>
    </w:p>
    <w:p>
      <w:pPr>
        <w:pStyle w:val="ListNumber"/>
      </w:pPr>
      <w:r>
        <w:t>Asignar a cada usuario su rol y su Gerencia de Área. Los roles acotados no ven contratos hasta que se les asigne una.</w:t>
      </w:r>
    </w:p>
    <w:p>
      <w:pPr>
        <w:pStyle w:val="ListNumber"/>
      </w:pPr>
      <w:r>
        <w:t>Asegurar el administrador inicial si hiciera falta.</w:t>
      </w:r>
    </w:p>
    <w:p>
      <w:r>
        <w:rPr>
          <w:rFonts w:ascii="Consolas" w:hAnsi="Consolas"/>
          <w:sz w:val="18"/>
        </w:rPr>
        <w:t>docker compose exec backend php artisan atlas:ensure-admin usuario.institucional</w:t>
      </w:r>
    </w:p>
    <w:p>
      <w:r>
        <w:rPr>
          <w:b/>
          <w:i w:val="0"/>
        </w:rPr>
        <w:t>Consideraciones</w:t>
      </w:r>
    </w:p>
    <w:p>
      <w:pPr>
        <w:pStyle w:val="ListBullet"/>
      </w:pPr>
      <w:r>
        <w:t>La limpieza conserva los usuarios y sus sesiones, pero les suelta la Gerencia de Área, porque los sectores se van y sus ids no se conservan entre cargas.</w:t>
      </w:r>
    </w:p>
    <w:p>
      <w:pPr>
        <w:pStyle w:val="ListBullet"/>
      </w:pPr>
      <w:r>
        <w:t>El archivo index.html se sirve sin caché, de modo que cada despliegue se toma sin necesidad de forzar la recarga en el navegador. Los assets conservan caché larga porque llevan hash.</w:t>
      </w:r>
    </w:p>
    <w:p>
      <w:pPr>
        <w:pStyle w:val="ListBullet"/>
      </w:pPr>
      <w:r>
        <w:t>Importar la solapa de usuarios sobrescribe por id a los que ya existan. Conviene verificar después que siga habiendo un administrador de sistema con acceso.</w:t>
      </w:r>
    </w:p>
    <w:p>
      <w:pPr>
        <w:pStyle w:val="Heading1"/>
      </w:pPr>
      <w:r>
        <w:t>10. Puntos abiertos</w:t>
      </w:r>
    </w:p>
    <w:p>
      <w:r>
        <w:rPr>
          <w:b w:val="0"/>
          <w:i w:val="0"/>
        </w:rPr>
        <w:t>Quedan pendientes de definición por parte de la organización:</w:t>
      </w:r>
    </w:p>
    <w:p>
      <w:pPr>
        <w:pStyle w:val="ListBullet"/>
      </w:pPr>
      <w:r>
        <w:t>Sector 62: durante la carga inicial, 19 contratos apuntaban a un sector inexistente. Se cargó de forma provisoria bajo GAEN con el nombre «A DEFINIR (sector 62)». Además, 18 de esos contratos lo declaraban en GAEN y 1 en GAIDI, de modo que puede tratarse de dos sectores distintos.</w:t>
      </w:r>
    </w:p>
    <w:p>
      <w:pPr>
        <w:pStyle w:val="ListBullet"/>
      </w:pPr>
      <w:r>
        <w:t>Alta de solicitantes: hoy el ABM de catálogos es exclusivo del administrador de sistema. Con el catálogo de solicitantes vacío, un operador no puede completar ese dato al cargar un contrato. Definir si se les habilita.</w:t>
      </w:r>
    </w:p>
    <w:p>
      <w:pPr>
        <w:pStyle w:val="ListBullet"/>
      </w:pPr>
      <w:r>
        <w:t>Números de expediente: en los datos cargados coinciden con el id del contrato. Si existen los expedientes reales, corresponde actualizarlos.</w:t>
      </w:r>
    </w:p>
    <w:p>
      <w:pPr>
        <w:pStyle w:val="ListBullet"/>
      </w:pPr>
      <w:r>
        <w:t>Fechas de alta: los contratos importados quedaron con la fecha de importación como fecha de creación, porque el archivo no la traía. Los filtros por fecha del panel operan sobre ese dato.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