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</w:t>
      </w:r>
    </w:p>
    <w:p>
      <w:r>
        <w:t>Documento de implementación de cambios</w:t>
      </w:r>
    </w:p>
    <w:p>
      <w:r>
        <w:t>Versión: 3.0  ·  Fecha: 23 de septiembre de 2026</w:t>
      </w:r>
    </w:p>
    <w:p>
      <w:r>
        <w:t>Rama: feat/cambios-solicitados</w:t>
      </w:r>
    </w:p>
    <w:p>
      <w:r>
        <w:t>Alcance: la operatoria pasa a la cuenta operativa, el Contrato toma ficha propia con archivos adjuntos, y la puesta en marcha se hace con la base vacía y una importación completa.</w:t>
      </w:r>
    </w:p>
    <w:p>
      <w:pPr>
        <w:pStyle w:val="Heading1"/>
      </w:pPr>
      <w:r>
        <w:t>1. Resumen ejecutivo</w:t>
      </w:r>
    </w:p>
    <w:p>
      <w:r>
        <w:t>Este documento describe los cambios implementados sobre ATLAS y el procedimiento para ponerlos en producción. La implementación arranca con la base de datos limpia y carga los datos desde el archivo de importación que acompaña la entrega.</w:t>
      </w:r>
    </w:p>
    <w:p>
      <w:r>
        <w:t>Los ejes del trabajo son:</w:t>
      </w:r>
    </w:p>
    <w:p>
      <w:pPr>
        <w:pStyle w:val="ListBullet"/>
      </w:pPr>
      <w:r>
        <w:t>La plata vive en la cuenta operativa: ahí se registran los ingresos, los gastos, las transferencias, los incentivos y la MCH. El expediente queda con su número y la cuenta a la que se imputa.</w:t>
      </w:r>
    </w:p>
    <w:p>
      <w:pPr>
        <w:pStyle w:val="ListBullet"/>
      </w:pPr>
      <w:r>
        <w:t>El Contrato, tercer nivel de la estructura, toma la ficha que antes llevaba cada expediente: tipo, estado, UVT, solicitante, responsables, fechas, caja BAS, monto y moneda.</w:t>
      </w:r>
    </w:p>
    <w:p>
      <w:pPr>
        <w:pStyle w:val="ListBullet"/>
      </w:pPr>
      <w:r>
        <w:t>Cada contrato admite archivos adjuntos: el convenio firmado, actas y anexos.</w:t>
      </w:r>
    </w:p>
    <w:p>
      <w:pPr>
        <w:pStyle w:val="ListBullet"/>
      </w:pPr>
      <w:r>
        <w:t>Vuelven al menú los catálogos de tipos, estados, solicitantes y UVT, que la ficha del contrato usa.</w:t>
      </w:r>
    </w:p>
    <w:p>
      <w:pPr>
        <w:pStyle w:val="ListBullet"/>
      </w:pPr>
      <w:r>
        <w:t>La interfaz se ordena: menú por Principal y Operación, el nombre de cada fila abre su registro y todos los desplegables largos se eligen con un buscador.</w:t>
      </w:r>
    </w:p>
    <w:p>
      <w:pPr>
        <w:pStyle w:val="Heading1"/>
      </w:pPr>
      <w:r>
        <w:t>2. Estructura y operatoria</w:t>
      </w:r>
    </w:p>
    <w:p>
      <w:r>
        <w:t>El árbol de la estructura tiene tres niveles, dados por la profundidad del nodo:</w:t>
      </w:r>
    </w:p>
    <w:p>
      <w:r>
        <w:t>Gerencia de Área  →  Gerencia  →  Contrato</w:t>
      </w:r>
    </w:p>
    <w:p>
      <w:pPr>
        <w:pStyle w:val="ListBullet"/>
      </w:pPr>
      <w:r>
        <w:t>De cualquiera de esos nodos cuelgan cuentas operativas, y un nodo puede tener varias.</w:t>
      </w:r>
    </w:p>
    <w:p>
      <w:pPr>
        <w:pStyle w:val="ListBullet"/>
      </w:pPr>
      <w:r>
        <w:t>Cada cuenta tiene su saldo inicial y su historial de movimientos. El saldo de una cuenta es su saldo inicial más lo que entró menos lo que salió.</w:t>
      </w:r>
    </w:p>
    <w:p>
      <w:pPr>
        <w:pStyle w:val="ListBullet"/>
      </w:pPr>
      <w:r>
        <w:t>El expediente se imputa a una cuenta. Su rama se deduce de esa cuenta y es por donde filtran el alcance de cada usuario y el panel.</w:t>
      </w:r>
    </w:p>
    <w:p>
      <w:pPr>
        <w:pStyle w:val="ListBullet"/>
      </w:pPr>
      <w:r>
        <w:t>Cada movimiento puede indicar el contrato con el que se relaciona, sin estar obligado: una cuenta puede acumular ingresos de varios convenios y sus gastos no siempre se vinculan a uno.</w:t>
      </w:r>
    </w:p>
    <w:p>
      <w:pPr>
        <w:pStyle w:val="ListBullet"/>
      </w:pPr>
      <w:r>
        <w:t>La Gerencia de Área sigue siendo el límite de confidencialidad: la información no sale de ella, tampoco por las exportaciones.</w:t>
      </w:r>
    </w:p>
    <w:p>
      <w:pPr>
        <w:pStyle w:val="Heading1"/>
      </w:pPr>
      <w:r>
        <w:t>3. Ficha del contrato</w:t>
      </w:r>
    </w:p>
    <w:p>
      <w:r>
        <w:t>El Contrato deja de ser sólo un nombre en el árbol: tiene una ficha propia, una por nodo, que se completa desde la opción Contratos del menú. El nodo se crea y se borra en la Estructura; en Contratos se cargan sus datos.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Tipo y estado</w:t>
            </w:r>
          </w:p>
        </w:tc>
        <w:tc>
          <w:tcPr>
            <w:tcW w:type="dxa" w:w="4320"/>
          </w:tcPr>
          <w:p>
            <w:r>
              <w:t>Del catálogo de tipos y estados de contrato.</w:t>
            </w:r>
          </w:p>
        </w:tc>
      </w:tr>
      <w:tr>
        <w:tc>
          <w:tcPr>
            <w:tcW w:type="dxa" w:w="4320"/>
          </w:tcPr>
          <w:p>
            <w:r>
              <w:t>UVT y solicitante</w:t>
            </w:r>
          </w:p>
        </w:tc>
        <w:tc>
          <w:tcPr>
            <w:tcW w:type="dxa" w:w="4320"/>
          </w:tcPr>
          <w:p>
            <w:r>
              <w:t>De sus catálogos.</w:t>
            </w:r>
          </w:p>
        </w:tc>
      </w:tr>
      <w:tr>
        <w:tc>
          <w:tcPr>
            <w:tcW w:type="dxa" w:w="4320"/>
          </w:tcPr>
          <w:p>
            <w:r>
              <w:t>Responsables 1 y 2</w:t>
            </w:r>
          </w:p>
        </w:tc>
        <w:tc>
          <w:tcPr>
            <w:tcW w:type="dxa" w:w="4320"/>
          </w:tcPr>
          <w:p>
            <w:r>
              <w:t>Del padrón de personal.</w:t>
            </w:r>
          </w:p>
        </w:tc>
      </w:tr>
      <w:tr>
        <w:tc>
          <w:tcPr>
            <w:tcW w:type="dxa" w:w="4320"/>
          </w:tcPr>
          <w:p>
            <w:r>
              <w:t>Cliente y caja BAS</w:t>
            </w:r>
          </w:p>
        </w:tc>
        <w:tc>
          <w:tcPr>
            <w:tcW w:type="dxa" w:w="4320"/>
          </w:tcPr>
          <w:p>
            <w:r>
              <w:t>Texto libre.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Inicio, vencimiento y finalización, más el acta de finalización.</w:t>
            </w:r>
          </w:p>
        </w:tc>
      </w:tr>
      <w:tr>
        <w:tc>
          <w:tcPr>
            <w:tcW w:type="dxa" w:w="4320"/>
          </w:tcPr>
          <w:p>
            <w:r>
              <w:t>Prórroga y renovación</w:t>
            </w:r>
          </w:p>
        </w:tc>
        <w:tc>
          <w:tcPr>
            <w:tcW w:type="dxa" w:w="4320"/>
          </w:tcPr>
          <w:p>
            <w:r>
              <w:t>Sí o no.</w:t>
            </w:r>
          </w:p>
        </w:tc>
      </w:tr>
      <w:tr>
        <w:tc>
          <w:tcPr>
            <w:tcW w:type="dxa" w:w="4320"/>
          </w:tcPr>
          <w:p>
            <w:r>
              <w:t>Monto y moneda</w:t>
            </w:r>
          </w:p>
        </w:tc>
        <w:tc>
          <w:tcPr>
            <w:tcW w:type="dxa" w:w="4320"/>
          </w:tcPr>
          <w:p>
            <w:r>
              <w:t>Pesos, dólares o euros. Si no es pesos, la cotización es obligatoria y es la que lleva el monto a pesos.</w:t>
            </w:r>
          </w:p>
        </w:tc>
      </w:tr>
      <w:tr>
        <w:tc>
          <w:tcPr>
            <w:tcW w:type="dxa" w:w="4320"/>
          </w:tcPr>
          <w:p>
            <w:r>
              <w:t>Objeto y observaciones</w:t>
            </w:r>
          </w:p>
        </w:tc>
        <w:tc>
          <w:tcPr>
            <w:tcW w:type="dxa" w:w="4320"/>
          </w:tcPr>
          <w:p>
            <w:r>
              <w:t>Texto libre.</w:t>
            </w:r>
          </w:p>
        </w:tc>
      </w:tr>
    </w:tbl>
    <w:p/>
    <w:p>
      <w:r>
        <w:rPr>
          <w:b/>
        </w:rPr>
        <w:t>Quién puede qué</w:t>
      </w:r>
    </w:p>
    <w:p>
      <w:pPr>
        <w:pStyle w:val="ListBullet"/>
      </w:pPr>
      <w:r>
        <w:t>Ve la ficha quien ve el contrato; la modifica quien tiene permiso de escritura sobre esa rama.</w:t>
      </w:r>
    </w:p>
    <w:p>
      <w:pPr>
        <w:pStyle w:val="ListBullet"/>
      </w:pPr>
      <w:r>
        <w:t>Desde el nombre del contrato se abre la ficha para consultarla; para modificarla está el botón de editar al final de la fila.</w:t>
      </w:r>
    </w:p>
    <w:p>
      <w:pPr>
        <w:pStyle w:val="ListBullet"/>
      </w:pPr>
      <w:r>
        <w:t>Cada cambio de la ficha queda registrado en el historial, campo por campo.</w:t>
      </w:r>
    </w:p>
    <w:p>
      <w:pPr>
        <w:pStyle w:val="Heading1"/>
      </w:pPr>
      <w:r>
        <w:t>4. Archivos del contrato</w:t>
      </w:r>
    </w:p>
    <w:p>
      <w:r>
        <w:t>Dentro de la ficha, cada contrato tiene su sección de archivos: el convenio firmado, actas, anexos. Se suben y se quitan en el momento, sin pasar por el botón Guardar, y el listado muestra la cantidad de archivos de cada contrato.</w:t>
      </w:r>
    </w:p>
    <w:p>
      <w:pPr>
        <w:pStyle w:val="ListBullet"/>
      </w:pPr>
      <w:r>
        <w:t>Se aceptan documentos (PDF, Word, Excel, PowerPoint, OpenDocument, texto), imágenes y comprimidos, de hasta 20 MB.</w:t>
      </w:r>
    </w:p>
    <w:p>
      <w:pPr>
        <w:pStyle w:val="ListBullet"/>
      </w:pPr>
      <w:r>
        <w:t>La extensión y el contenido del archivo tienen que corresponder a un tipo admitido, para que un ejecutable no entre disfrazado de documento.</w:t>
      </w:r>
    </w:p>
    <w:p>
      <w:pPr>
        <w:pStyle w:val="ListBullet"/>
      </w:pPr>
      <w:r>
        <w:t>Los archivos se guardan en el disco privado del servidor y se descargan sólo a través del sistema: no tienen una dirección pública.</w:t>
      </w:r>
    </w:p>
    <w:p>
      <w:pPr>
        <w:pStyle w:val="ListBullet"/>
      </w:pPr>
      <w:r>
        <w:t>Descarga quien ve el contrato; sube y quita quien tiene escritura sobre esa rama.</w:t>
      </w:r>
    </w:p>
    <w:p>
      <w:pPr>
        <w:pStyle w:val="ListBullet"/>
      </w:pPr>
      <w:r>
        <w:t>Al borrar un contrato desde la Estructura se borran también sus archivos.</w:t>
      </w:r>
    </w:p>
    <w:p>
      <w:pPr>
        <w:pStyle w:val="ListBullet"/>
      </w:pPr>
      <w:r>
        <w:t>Quedan en el volumen de datos del backend, así que sobreviven a una actualización del sistema. El backup de la base guarda los datos de cada archivo (nombre, descripción, quién lo subió), no el archivo en sí, igual que con las facturas.</w:t>
      </w:r>
    </w:p>
    <w:p>
      <w:pPr>
        <w:pStyle w:val="Heading1"/>
      </w:pPr>
      <w:r>
        <w:t>5. Catálogos</w:t>
      </w:r>
    </w:p>
    <w:p>
      <w:r>
        <w:t>Vuelven al menú los catálogos que la ficha del contrato necesita: tipos de contrato, estados de contrato, solicitantes y UVT, además de personal.</w:t>
      </w:r>
    </w:p>
    <w:p>
      <w:pPr>
        <w:pStyle w:val="ListBullet"/>
      </w:pPr>
      <w:r>
        <w:t>Al intentar eliminar uno que está en uso, el sistema avisa cuántos contratos lo usan. Esa validación miraba columnas que el expediente ya no tiene y por eso fallaba.</w:t>
      </w:r>
    </w:p>
    <w:p>
      <w:pPr>
        <w:pStyle w:val="Heading1"/>
      </w:pPr>
      <w:r>
        <w:t>6. Interfaz</w:t>
      </w:r>
    </w:p>
    <w:p>
      <w:r>
        <w:rPr>
          <w:b/>
        </w:rPr>
        <w:t>Menú</w:t>
      </w:r>
    </w:p>
    <w:p>
      <w:r>
        <w:t>Principal: Panel de Control. Operación: Estructura CNEA, Cuentas, Contratos y Expedientes. Debajo quedan Catálogos y Administración.</w:t>
      </w:r>
    </w:p>
    <w:p>
      <w:r>
        <w:rPr>
          <w:b/>
        </w:rPr>
        <w:t>Acceso a cada registro</w:t>
      </w:r>
    </w:p>
    <w:p>
      <w:pPr>
        <w:pStyle w:val="ListBullet"/>
      </w:pPr>
      <w:r>
        <w:t>En todas las grillas, el nombre de la fila abre el registro. Antes había que usar el botón del final.</w:t>
      </w:r>
    </w:p>
    <w:p>
      <w:pPr>
        <w:pStyle w:val="ListBullet"/>
      </w:pPr>
      <w:r>
        <w:t>Quien no tiene permiso para editar lo abre en modo consulta, con los campos bloqueados. Antes no tenía forma de ver el detalle.</w:t>
      </w:r>
    </w:p>
    <w:p>
      <w:pPr>
        <w:pStyle w:val="ListBullet"/>
      </w:pPr>
      <w:r>
        <w:t>En Contratos el nombre siempre abre la ficha para verla; para modificarla está el botón de editar.</w:t>
      </w:r>
    </w:p>
    <w:p>
      <w:r>
        <w:rPr>
          <w:b/>
        </w:rPr>
        <w:t>Desplegables con buscador</w:t>
      </w:r>
    </w:p>
    <w:p>
      <w:pPr>
        <w:pStyle w:val="ListBullet"/>
      </w:pPr>
      <w:r>
        <w:t>Todos los desplegables de listas largas —gerencias, contratos, cuentas, personal, solicitantes— se eligen escribiendo parte del texto.</w:t>
      </w:r>
    </w:p>
    <w:p>
      <w:pPr>
        <w:pStyle w:val="ListBullet"/>
      </w:pPr>
      <w:r>
        <w:t>En listas de pocas opciones (Sí/No, Ingreso/Gasto) el desplegable funciona igual, sin buscador.</w:t>
      </w:r>
    </w:p>
    <w:p>
      <w:pPr>
        <w:pStyle w:val="Heading1"/>
      </w:pPr>
      <w:r>
        <w:t>7. Arreglos</w:t>
      </w:r>
    </w:p>
    <w:p>
      <w:pPr>
        <w:pStyle w:val="ListBullet"/>
      </w:pPr>
      <w:r>
        <w:t>El detalle de una cuenta con movimientos daba error interno del servidor: la consulta pedía el nombre de proyecto del expediente, que ya no existe. Afectaba a toda cuenta con algún movimiento relacionado con un expediente.</w:t>
      </w:r>
    </w:p>
    <w:p>
      <w:pPr>
        <w:pStyle w:val="ListBullet"/>
      </w:pPr>
      <w:r>
        <w:t>La limpieza de datos no vaciaba las cuentas operativas, que quedaban colgando de nodos borrados.</w:t>
      </w:r>
    </w:p>
    <w:p>
      <w:pPr>
        <w:pStyle w:val="ListBullet"/>
      </w:pPr>
      <w:r>
        <w:t>Una instalación desde cero no llegaba a aplicar todas las migraciones, porque varias buscaban tablas y columnas con los nombres anteriores. Ahora se saltean cuando la base nace con el esquema final.</w:t>
      </w:r>
    </w:p>
    <w:p>
      <w:pPr>
        <w:pStyle w:val="Heading1"/>
      </w:pPr>
      <w:r>
        <w:t>8. Procedimiento de implementación</w:t>
      </w:r>
    </w:p>
    <w:p>
      <w:r>
        <w:t>El backend aplica las migraciones solo al arrancar, así que el despliegue no requiere pasos manuales de base de datos.</w:t>
      </w:r>
    </w:p>
    <w:p>
      <w:r>
        <w:rPr>
          <w:b/>
        </w:rPr>
        <w:t>1. Respaldo</w:t>
      </w:r>
    </w:p>
    <w:p>
      <w:pPr>
        <w:pStyle w:val="ListBullet"/>
      </w:pPr>
      <w:r>
        <w:t>Antes de tocar nada, exportar la base desde Administración → Exportar / Importar → Exportar base de datos. Es el archivo que permite volver atrás.</w:t>
      </w:r>
    </w:p>
    <w:p>
      <w:r>
        <w:rPr>
          <w:b/>
        </w:rPr>
        <w:t>2. Despliegue</w:t>
      </w:r>
    </w:p>
    <w:p>
      <w:pPr>
        <w:pStyle w:val="ListBullet"/>
      </w:pPr>
      <w:r>
        <w:t>Actualizar el código a la rama feat/cambios-solicitados y reconstruir el backend y el frontend.</w:t>
      </w:r>
    </w:p>
    <w:p>
      <w:pPr>
        <w:pStyle w:val="ListBullet"/>
      </w:pPr>
      <w:r>
        <w:t>Reiniciar el proxy (nginx) después de reconstruir: si no, sigue apuntando a los contenedores anteriores y la aplicación responde con error 502.</w:t>
      </w:r>
    </w:p>
    <w:p>
      <w:pPr>
        <w:pStyle w:val="ListBullet"/>
      </w:pPr>
      <w:r>
        <w:t>Al arrancar, el backend aplica las migraciones y crea las carpetas de facturas y de adjuntos.</w:t>
      </w:r>
    </w:p>
    <w:p>
      <w:r>
        <w:rPr>
          <w:b/>
        </w:rPr>
        <w:t>3. Limpieza de la base</w:t>
      </w:r>
    </w:p>
    <w:p>
      <w:pPr>
        <w:pStyle w:val="ListBullet"/>
      </w:pPr>
      <w:r>
        <w:t>Ejecutar: php artisan atlas:limpiar --force</w:t>
      </w:r>
    </w:p>
    <w:p>
      <w:pPr>
        <w:pStyle w:val="ListBullet"/>
      </w:pPr>
      <w:r>
        <w:t>Borra estructura, cuentas, expedientes, contratos, movimientos, personal, catálogos e historial, y los archivos adjuntos del disco.</w:t>
      </w:r>
    </w:p>
    <w:p>
      <w:pPr>
        <w:pStyle w:val="ListBullet"/>
      </w:pPr>
      <w:r>
        <w:t>Conserva los usuarios y sus contraseñas, que es lo único que no viene en el archivo de importación.</w:t>
      </w:r>
    </w:p>
    <w:p>
      <w:r>
        <w:rPr>
          <w:b/>
        </w:rPr>
        <w:t>4. Importación</w:t>
      </w:r>
    </w:p>
    <w:p>
      <w:pPr>
        <w:pStyle w:val="ListBullet"/>
      </w:pPr>
      <w:r>
        <w:t>Ir a Administración → Exportar / Importar → Importar base de datos y cargar el archivo «EXPORTACIÓN atlas nuevo 20260923 completa (con ejecución).xlsx».</w:t>
      </w:r>
    </w:p>
    <w:p>
      <w:pPr>
        <w:pStyle w:val="ListBullet"/>
      </w:pPr>
      <w:r>
        <w:t>Los usuarios se reconocen por nombre de usuario, no por su número: los que ya existen toman los datos del archivo y conservan su contraseña.</w:t>
      </w:r>
    </w:p>
    <w:p>
      <w:r>
        <w:rPr>
          <w:b/>
        </w:rPr>
        <w:t>5. Verificación</w:t>
      </w:r>
    </w:p>
    <w:p>
      <w:pPr>
        <w:pStyle w:val="ListBullet"/>
      </w:pPr>
      <w:r>
        <w:t>Confirmar que hay al menos un administrador de sistema activo y que puede entrar.</w:t>
      </w:r>
    </w:p>
    <w:p>
      <w:pPr>
        <w:pStyle w:val="ListBullet"/>
      </w:pPr>
      <w:r>
        <w:t>Revisar los totales del panel y abrir una cuenta con movimientos.</w:t>
      </w:r>
    </w:p>
    <w:p>
      <w:pPr>
        <w:pStyle w:val="Heading1"/>
      </w:pPr>
      <w:r>
        <w:t>9. Resultado de la prueba de implementación</w:t>
      </w:r>
    </w:p>
    <w:p>
      <w:r>
        <w:t>El procedimiento se ensayó completo sobre una copia de la base, en los dos escenarios: instalación nueva y base existente limpiada. En ambos, la importación cargó lo siguiente: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Filas</w:t>
            </w:r>
          </w:p>
        </w:tc>
      </w:tr>
      <w:tr>
        <w:tc>
          <w:tcPr>
            <w:tcW w:type="dxa" w:w="4320"/>
          </w:tcPr>
          <w:p>
            <w:r>
              <w:t>Estructura (gerencias y contratos)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Cuentas operativas</w:t>
            </w:r>
          </w:p>
        </w:tc>
        <w:tc>
          <w:tcPr>
            <w:tcW w:type="dxa" w:w="4320"/>
          </w:tcPr>
          <w:p>
            <w:r>
              <w:t>294</w:t>
            </w:r>
          </w:p>
        </w:tc>
      </w:tr>
      <w:tr>
        <w:tc>
          <w:tcPr>
            <w:tcW w:type="dxa" w:w="4320"/>
          </w:tcPr>
          <w:p>
            <w:r>
              <w:t>Expedientes</w:t>
            </w:r>
          </w:p>
        </w:tc>
        <w:tc>
          <w:tcPr>
            <w:tcW w:type="dxa" w:w="4320"/>
          </w:tcPr>
          <w:p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Fichas de contrato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Personal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Usuarios y permisos</w:t>
            </w:r>
          </w:p>
        </w:tc>
        <w:tc>
          <w:tcPr>
            <w:tcW w:type="dxa" w:w="4320"/>
          </w:tcPr>
          <w:p>
            <w:r>
              <w:t>49 y 14</w:t>
            </w:r>
          </w:p>
        </w:tc>
      </w:tr>
      <w:tr>
        <w:tc>
          <w:tcPr>
            <w:tcW w:type="dxa" w:w="4320"/>
          </w:tcPr>
          <w:p>
            <w:r>
              <w:t>Movimientos de ejecución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Tipos, estados y UVT</w:t>
            </w:r>
          </w:p>
        </w:tc>
        <w:tc>
          <w:tcPr>
            <w:tcW w:type="dxa" w:w="4320"/>
          </w:tcPr>
          <w:p>
            <w:r>
              <w:t>10, 8 y 2</w:t>
            </w:r>
          </w:p>
        </w:tc>
      </w:tr>
    </w:tbl>
    <w:p/>
    <w:p>
      <w:r>
        <w:t>Controles hechos después de importar, todos sin diferencias:</w:t>
      </w:r>
    </w:p>
    <w:p>
      <w:pPr>
        <w:pStyle w:val="ListBullet"/>
      </w:pPr>
      <w:r>
        <w:t>Ninguna cuenta, ficha, expediente, movimiento ni permiso quedó apuntando a un registro inexistente.</w:t>
      </w:r>
    </w:p>
    <w:p>
      <w:pPr>
        <w:pStyle w:val="ListBullet"/>
      </w:pPr>
      <w:r>
        <w:t>Cada expediente está en la misma rama que su cuenta, y ninguna ficha quedó en un nodo que no sea un Contrato.</w:t>
      </w:r>
    </w:p>
    <w:p>
      <w:pPr>
        <w:pStyle w:val="ListBullet"/>
      </w:pPr>
      <w:r>
        <w:t>El árbol no tiene nodos por debajo del tercer nivel.</w:t>
      </w:r>
    </w:p>
    <w:p>
      <w:pPr>
        <w:pStyle w:val="ListBullet"/>
      </w:pPr>
      <w:r>
        <w:t>La transferencia entre cuentas quedó espejada en las dos, y los saldos cierran.</w:t>
      </w:r>
    </w:p>
    <w:p>
      <w:pPr>
        <w:pStyle w:val="ListBullet"/>
      </w:pPr>
      <w:r>
        <w:t>El panel, los listados, el árbol de la estructura y las dos exportaciones responden correctamente.</w:t>
      </w:r>
    </w:p>
    <w:p>
      <w:pPr>
        <w:pStyle w:val="ListBullet"/>
      </w:pPr>
      <w:r>
        <w:t>El esquema que resulta de una instalación nueva es idéntico, columna por columna y clave foránea por clave foránea, al de una base ya existente actualizada.</w:t>
      </w:r>
    </w:p>
    <w:p>
      <w:pPr>
        <w:pStyle w:val="Heading1"/>
      </w:pPr>
      <w:r>
        <w:t>10. Qué revisar después de la carga</w:t>
      </w:r>
    </w:p>
    <w:p>
      <w:pPr>
        <w:pStyle w:val="ListBullet"/>
      </w:pPr>
      <w:r>
        <w:t>Tres contratos están repetidos en la estructura, con el mismo nombre bajo la misma Gerencia y cada uno con su cuenta: CPN-I-02/24, LABDRX y UAFISICA. Conviene confirmar si son dos contratos distintos o si hay que unificarlos.</w:t>
      </w:r>
    </w:p>
    <w:p>
      <w:pPr>
        <w:pStyle w:val="ListBullet"/>
      </w:pPr>
      <w:r>
        <w:t>Las fichas se cargaron con los datos que traían los expedientes. En la mayoría sólo vienen el tipo, el estado, la UVT y la caja BAS; el resto queda para completar.</w:t>
      </w:r>
    </w:p>
    <w:p>
      <w:pPr>
        <w:pStyle w:val="ListBullet"/>
      </w:pPr>
      <w:r>
        <w:t>Los archivos adjuntos no vienen en el archivo de importación: se cargan desde la ficha de cada contrato.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