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ATLAS — Cambios solicitados al sistema</w:t>
      </w:r>
    </w:p>
    <w:p>
      <w:r>
        <w:rPr>
          <w:i/>
        </w:rPr>
        <w:t>Estructura por sectores, permisos por Gerencia de Área y nuevas acciones de ejecución</w:t>
      </w:r>
    </w:p>
    <w:p>
      <w:r>
        <w:rPr>
          <w:b w:val="0"/>
        </w:rPr>
        <w:t>Fecha: 19 de agosto de 2026</w:t>
      </w:r>
    </w:p>
    <w:p>
      <w:r>
        <w:rPr>
          <w:b w:val="0"/>
        </w:rPr>
        <w:t>Rama: feat/gerencias-area-permisos-ejecucion</w:t>
      </w:r>
    </w:p>
    <w:p>
      <w:pPr>
        <w:pStyle w:val="Heading1"/>
      </w:pPr>
      <w:r>
        <w:t>1. Alcance</w:t>
      </w:r>
    </w:p>
    <w:p>
      <w:r>
        <w:rPr>
          <w:b w:val="0"/>
        </w:rPr>
        <w:t>Implementación de «CAMBIOS SOLICITADOS AL SISTEMA ATLAS», ajustada al modelo de datos real del archivo «ATLAS import - ejecución 20260813 base de datos.xlsx». Cubre los cuatro puntos del documento original: el reemplazo de la gestión de Contratos Principales por la estructura de Gerencias de Área, la administración de vistas por rol, las nuevas acciones de ejecución y la transferencia de un contrato a otra gerencia.</w:t>
      </w:r>
    </w:p>
    <w:p>
      <w:pPr>
        <w:pStyle w:val="Heading1"/>
      </w:pPr>
      <w:r>
        <w:t>2. Estructura organizativa</w:t>
      </w:r>
    </w:p>
    <w:p>
      <w:r>
        <w:rPr>
          <w:b w:val="0"/>
        </w:rPr>
        <w:t>La estructura es la tabla «sector», que ya existía y se referencia a sí misma. No se crean tablas nuevas: se le da su significado funcional.</w:t>
      </w:r>
    </w:p>
    <w:p>
      <w:r>
        <w:rPr>
          <w:rFonts w:ascii="Consolas" w:hAnsi="Consolas"/>
          <w:sz w:val="19"/>
        </w:rPr>
        <w:t>Gerencia de Área (sector raíz)  →  Subsector  →  Contrato  →  Movimiento de ejecución</w:t>
      </w:r>
    </w:p>
    <w:p>
      <w:pPr>
        <w:pStyle w:val="ListBullet"/>
      </w:pPr>
      <w:r>
        <w:t>Un sector sin dependencia es una Gerencia de Área. Es el nivel al que se asocian los administradores y operadores de gerencia, y el límite de confidencialidad: la información no sale de la Gerencia de Área.</w:t>
      </w:r>
    </w:p>
    <w:p>
      <w:pPr>
        <w:pStyle w:val="ListBullet"/>
      </w:pPr>
      <w:r>
        <w:t>Los sectores dependientes son sus subsectores.</w:t>
      </w:r>
    </w:p>
    <w:p>
      <w:pPr>
        <w:pStyle w:val="ListBullet"/>
      </w:pPr>
      <w:r>
        <w:t>Cada contrato cuelga de un sector («sector_id», obligatorio). Su Gerencia de Área se deriva subiendo por la jerarquía, así que no hay dato duplicado que pueda quedar desfasado.</w:t>
      </w:r>
    </w:p>
    <w:p>
      <w:pPr>
        <w:pStyle w:val="ListBullet"/>
      </w:pPr>
      <w:r>
        <w:t>Se retiró el módulo de Contratos Principales y sus catálogos de tipos y estados. La tabla «contratos_principal» se conserva para consultar y exportar lo ya cargado.</w:t>
      </w:r>
    </w:p>
    <w:p>
      <w:pPr>
        <w:pStyle w:val="ListBullet"/>
      </w:pPr>
      <w:r>
        <w:t>En la interfaz, los «contratos de ejecución» pasan a llamarse simplemente «Contratos». Los endpoints conservan el nombre anterior para no romper la trazabilidad del historial.</w:t>
      </w:r>
    </w:p>
    <w:p>
      <w:r>
        <w:rPr>
          <w:b w:val="0"/>
        </w:rPr>
        <w:t>Las columnas de texto libre «gerencia_area» y «gerencia» desaparecen del contrato: en los datos cargados ya guardaban el id del sector raíz y el del subsector, de modo que la migración los convierte en «sector_id» sin pérdida.</w:t>
      </w:r>
    </w:p>
    <w:p>
      <w:pPr>
        <w:pStyle w:val="Heading1"/>
      </w:pPr>
      <w:r>
        <w:t>3. Saldos jerarquizados en el panel</w:t>
      </w:r>
    </w:p>
    <w:p>
      <w:r>
        <w:rPr>
          <w:b w:val="0"/>
        </w:rPr>
        <w:t>El panel incorpora una vista de saldos que el usuario agrupa como necesite. Los importes de cada fila incluyen los de toda su rama, así que los totales cierran en cualquier nivel al que se mire.</w:t>
      </w:r>
    </w:p>
    <w:tbl>
      <w:tblPr>
        <w:tblStyle w:val="LightGrid-Accent1"/>
        <w:tblW w:type="auto" w:w="0"/>
        <w:tblLook w:firstColumn="1" w:firstRow="1" w:lastColumn="0" w:lastRow="0" w:noHBand="0" w:noVBand="1" w:val="04A0"/>
      </w:tblPr>
      <w:tblGrid>
        <w:gridCol w:w="4320"/>
        <w:gridCol w:w="4320"/>
      </w:tblGrid>
      <w:tr>
        <w:tc>
          <w:tcPr>
            <w:tcW w:type="dxa" w:w="4320"/>
          </w:tcPr>
          <w:p>
            <w:r>
              <w:rPr>
                <w:b/>
              </w:rPr>
              <w:t>Agrupación</w:t>
            </w:r>
          </w:p>
        </w:tc>
        <w:tc>
          <w:tcPr>
            <w:tcW w:type="dxa" w:w="4320"/>
          </w:tcPr>
          <w:p>
            <w:r>
              <w:rPr>
                <w:b/>
              </w:rPr>
              <w:t>Qué muestra</w:t>
            </w:r>
          </w:p>
        </w:tc>
      </w:tr>
      <w:tr>
        <w:tc>
          <w:tcPr>
            <w:tcW w:type="dxa" w:w="4320"/>
          </w:tcPr>
          <w:p>
            <w:r>
              <w:t>Por Gerencia de Área</w:t>
            </w:r>
          </w:p>
        </w:tc>
        <w:tc>
          <w:tcPr>
            <w:tcW w:type="dxa" w:w="4320"/>
          </w:tcPr>
          <w:p>
            <w:r>
              <w:t>Una fila por Gerencia de Área, con el acumulado de todos sus subsectores.</w:t>
            </w:r>
          </w:p>
        </w:tc>
      </w:tr>
      <w:tr>
        <w:tc>
          <w:tcPr>
            <w:tcW w:type="dxa" w:w="4320"/>
          </w:tcPr>
          <w:p>
            <w:r>
              <w:t>Por Subsector</w:t>
            </w:r>
          </w:p>
        </w:tc>
        <w:tc>
          <w:tcPr>
            <w:tcW w:type="dxa" w:w="4320"/>
          </w:tcPr>
          <w:p>
            <w:r>
              <w:t>Cada Gerencia de Área y, debajo, sus subsectores con sus propios importes.</w:t>
            </w:r>
          </w:p>
        </w:tc>
      </w:tr>
      <w:tr>
        <w:tc>
          <w:tcPr>
            <w:tcW w:type="dxa" w:w="4320"/>
          </w:tcPr>
          <w:p>
            <w:r>
              <w:t>Por Contrato</w:t>
            </w:r>
          </w:p>
        </w:tc>
        <w:tc>
          <w:tcPr>
            <w:tcW w:type="dxa" w:w="4320"/>
          </w:tcPr>
          <w:p>
            <w:r>
              <w:t>Baja un nivel más y abre los contratos de cada subsector.</w:t>
            </w:r>
          </w:p>
        </w:tc>
      </w:tr>
    </w:tbl>
    <w:p/>
    <w:p>
      <w:r>
        <w:rPr>
          <w:b w:val="0"/>
        </w:rPr>
        <w:t>Cada fila informa presupuestado (ingresos y gastos), ejecutado (ingresos y gastos) y el saldo resultante. La agrupación elegida puede fijarse como predeterminada: queda guardada en el usuario y es la que se aplica al ingresar.</w:t>
      </w:r>
    </w:p>
    <w:p>
      <w:pPr>
        <w:pStyle w:val="Heading1"/>
      </w:pPr>
      <w:r>
        <w:t>4. Usuarios: roles y alcance</w:t>
      </w:r>
    </w:p>
    <w:p>
      <w:r>
        <w:rPr>
          <w:b w:val="0"/>
        </w:rPr>
        <w:t>Los roles anteriores (admin, operador, consulta) se reemplazan por tres roles con alcance por Gerencia de Área.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Rol</w:t>
            </w:r>
          </w:p>
        </w:tc>
        <w:tc>
          <w:tcPr>
            <w:tcW w:type="dxa" w:w="2160"/>
          </w:tcPr>
          <w:p>
            <w:r>
              <w:rPr>
                <w:b/>
              </w:rPr>
              <w:t>Contratos</w:t>
            </w:r>
          </w:p>
        </w:tc>
        <w:tc>
          <w:tcPr>
            <w:tcW w:type="dxa" w:w="2160"/>
          </w:tcPr>
          <w:p>
            <w:r>
              <w:rPr>
                <w:b/>
              </w:rPr>
              <w:t>Saldos</w:t>
            </w:r>
          </w:p>
        </w:tc>
        <w:tc>
          <w:tcPr>
            <w:tcW w:type="dxa" w:w="2160"/>
          </w:tcPr>
          <w:p>
            <w:r>
              <w:rPr>
                <w:b/>
              </w:rPr>
              <w:t>Usuarios</w:t>
            </w:r>
          </w:p>
        </w:tc>
      </w:tr>
      <w:tr>
        <w:tc>
          <w:tcPr>
            <w:tcW w:type="dxa" w:w="2160"/>
          </w:tcPr>
          <w:p>
            <w:r>
              <w:t>Administrador de sistema</w:t>
            </w:r>
          </w:p>
        </w:tc>
        <w:tc>
          <w:tcPr>
            <w:tcW w:type="dxa" w:w="2160"/>
          </w:tcPr>
          <w:p>
            <w:r>
              <w:t>Todas las Gerencias de Área</w:t>
            </w:r>
          </w:p>
        </w:tc>
        <w:tc>
          <w:tcPr>
            <w:tcW w:type="dxa" w:w="2160"/>
          </w:tcPr>
          <w:p>
            <w:r>
              <w:t>Todas</w:t>
            </w:r>
          </w:p>
        </w:tc>
        <w:tc>
          <w:tcPr>
            <w:tcW w:type="dxa" w:w="2160"/>
          </w:tcPr>
          <w:p>
            <w:r>
              <w:t>Cualquier rol y Gerencia de Área</w:t>
            </w:r>
          </w:p>
        </w:tc>
      </w:tr>
      <w:tr>
        <w:tc>
          <w:tcPr>
            <w:tcW w:type="dxa" w:w="2160"/>
          </w:tcPr>
          <w:p>
            <w:r>
              <w:t>Administrador de gerencia</w:t>
            </w:r>
          </w:p>
        </w:tc>
        <w:tc>
          <w:tcPr>
            <w:tcW w:type="dxa" w:w="2160"/>
          </w:tcPr>
          <w:p>
            <w:r>
              <w:t>Su Gerencia de Área y subsectores</w:t>
            </w:r>
          </w:p>
        </w:tc>
        <w:tc>
          <w:tcPr>
            <w:tcW w:type="dxa" w:w="2160"/>
          </w:tcPr>
          <w:p>
            <w:r>
              <w:t>Su Gerencia de Área</w:t>
            </w:r>
          </w:p>
        </w:tc>
        <w:tc>
          <w:tcPr>
            <w:tcW w:type="dxa" w:w="2160"/>
          </w:tcPr>
          <w:p>
            <w:r>
              <w:t>Operadores de su Gerencia de Área</w:t>
            </w:r>
          </w:p>
        </w:tc>
      </w:tr>
      <w:tr>
        <w:tc>
          <w:tcPr>
            <w:tcW w:type="dxa" w:w="2160"/>
          </w:tcPr>
          <w:p>
            <w:r>
              <w:t>Operador de gerencia</w:t>
            </w:r>
          </w:p>
        </w:tc>
        <w:tc>
          <w:tcPr>
            <w:tcW w:type="dxa" w:w="2160"/>
          </w:tcPr>
          <w:p>
            <w:r>
              <w:t>Su Gerencia de Área y subsectores</w:t>
            </w:r>
          </w:p>
        </w:tc>
        <w:tc>
          <w:tcPr>
            <w:tcW w:type="dxa" w:w="2160"/>
          </w:tcPr>
          <w:p>
            <w:r>
              <w:t>Su Gerencia de Área</w:t>
            </w:r>
          </w:p>
        </w:tc>
        <w:tc>
          <w:tcPr>
            <w:tcW w:type="dxa" w:w="2160"/>
          </w:tcPr>
          <w:p>
            <w:r>
              <w:t>—</w:t>
            </w:r>
          </w:p>
        </w:tc>
      </w:tr>
    </w:tbl>
    <w:p/>
    <w:p>
      <w:pPr>
        <w:pStyle w:val="ListBullet"/>
      </w:pPr>
      <w:r>
        <w:t>El usuario se asocia a una Gerencia de Área, nunca a un subsector; el sistema lo valida.</w:t>
      </w:r>
    </w:p>
    <w:p>
      <w:pPr>
        <w:pStyle w:val="ListBullet"/>
      </w:pPr>
      <w:r>
        <w:t>El recorte se aplica en el servidor sobre contratos, movimientos, historial, saldos y exportaciones: un contrato fuera del alcance responde «no encontrado», no sólo se oculta.</w:t>
      </w:r>
    </w:p>
    <w:p>
      <w:pPr>
        <w:pStyle w:val="ListBullet"/>
      </w:pPr>
      <w:r>
        <w:t>El ABM de la estructura y de los catálogos queda reservado al administrador de sistema.</w:t>
      </w:r>
    </w:p>
    <w:p>
      <w:pPr>
        <w:pStyle w:val="ListBullet"/>
      </w:pPr>
      <w:r>
        <w:t>Se mantiene la protección que impide degradar o eliminar al último administrador de sistema activo.</w:t>
      </w:r>
    </w:p>
    <w:p>
      <w:r>
        <w:rPr>
          <w:b w:val="0"/>
        </w:rPr>
        <w:t>Equivalencias al migrar: admin → admin_sistema; operador y consulta → operador_gerencia. La Gerencia de Área de cada usuario no se asigna automáticamente: la define la organización, y hasta entonces el usuario no ve contratos.</w:t>
      </w:r>
    </w:p>
    <w:p>
      <w:pPr>
        <w:pStyle w:val="Heading1"/>
      </w:pPr>
      <w:r>
        <w:t>5. Nuevas acciones de ejecución</w:t>
      </w:r>
    </w:p>
    <w:p>
      <w:r>
        <w:rPr>
          <w:b w:val="0"/>
        </w:rPr>
        <w:t>En la ejecución ya no hay solamente gastos e ingresos por facturas. El movimiento incorpora una acción: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Acción</w:t>
            </w:r>
          </w:p>
        </w:tc>
        <w:tc>
          <w:tcPr>
            <w:tcW w:type="dxa" w:w="2880"/>
          </w:tcPr>
          <w:p>
            <w:r>
              <w:rPr>
                <w:b/>
              </w:rPr>
              <w:t>Contraparte</w:t>
            </w:r>
          </w:p>
        </w:tc>
        <w:tc>
          <w:tcPr>
            <w:tcW w:type="dxa" w:w="2880"/>
          </w:tcPr>
          <w:p>
            <w:r>
              <w:rPr>
                <w:b/>
              </w:rPr>
              <w:t>Observaciones</w:t>
            </w:r>
          </w:p>
        </w:tc>
      </w:tr>
      <w:tr>
        <w:tc>
          <w:tcPr>
            <w:tcW w:type="dxa" w:w="2880"/>
          </w:tcPr>
          <w:p>
            <w:r>
              <w:t>Factura</w:t>
            </w:r>
          </w:p>
        </w:tc>
        <w:tc>
          <w:tcPr>
            <w:tcW w:type="dxa" w:w="2880"/>
          </w:tcPr>
          <w:p>
            <w:r>
              <w:t>Cliente (ingreso) o proveedor (gasto)</w:t>
            </w:r>
          </w:p>
        </w:tc>
        <w:tc>
          <w:tcPr>
            <w:tcW w:type="dxa" w:w="2880"/>
          </w:tcPr>
          <w:p>
            <w:r>
              <w:t>Admite adjuntar la factura en los ingresos.</w:t>
            </w:r>
          </w:p>
        </w:tc>
      </w:tr>
      <w:tr>
        <w:tc>
          <w:tcPr>
            <w:tcW w:type="dxa" w:w="2880"/>
          </w:tcPr>
          <w:p>
            <w:r>
              <w:t>Transferencia a otro contrato</w:t>
            </w:r>
          </w:p>
        </w:tc>
        <w:tc>
          <w:tcPr>
            <w:tcW w:type="dxa" w:w="2880"/>
          </w:tcPr>
          <w:p>
            <w:r>
              <w:t>Otro contrato</w:t>
            </w:r>
          </w:p>
        </w:tc>
        <w:tc>
          <w:tcPr>
            <w:tcW w:type="dxa" w:w="2880"/>
          </w:tcPr>
          <w:p>
            <w:r>
              <w:t>De la misma o de otra gerencia.</w:t>
            </w:r>
          </w:p>
        </w:tc>
      </w:tr>
      <w:tr>
        <w:tc>
          <w:tcPr>
            <w:tcW w:type="dxa" w:w="2880"/>
          </w:tcPr>
          <w:p>
            <w:r>
              <w:t>Pago de incentivos</w:t>
            </w:r>
          </w:p>
        </w:tc>
        <w:tc>
          <w:tcPr>
            <w:tcW w:type="dxa" w:w="2880"/>
          </w:tcPr>
          <w:p>
            <w:r>
              <w:t>Rubro</w:t>
            </w:r>
          </w:p>
        </w:tc>
        <w:tc>
          <w:tcPr>
            <w:tcW w:type="dxa" w:w="2880"/>
          </w:tcPr>
          <w:p>
            <w:r>
              <w:t>Se registra siempre como gasto.</w:t>
            </w:r>
          </w:p>
        </w:tc>
      </w:tr>
      <w:tr>
        <w:tc>
          <w:tcPr>
            <w:tcW w:type="dxa" w:w="2880"/>
          </w:tcPr>
          <w:p>
            <w:r>
              <w:t>MCH (Mayor Carga Horaria)</w:t>
            </w:r>
          </w:p>
        </w:tc>
        <w:tc>
          <w:tcPr>
            <w:tcW w:type="dxa" w:w="2880"/>
          </w:tcPr>
          <w:p>
            <w:r>
              <w:t>Rubro</w:t>
            </w:r>
          </w:p>
        </w:tc>
        <w:tc>
          <w:tcPr>
            <w:tcW w:type="dxa" w:w="2880"/>
          </w:tcPr>
          <w:p>
            <w:r>
              <w:t>Se registra siempre como gasto.</w:t>
            </w:r>
          </w:p>
        </w:tc>
      </w:tr>
    </w:tbl>
    <w:p/>
    <w:p>
      <w:r>
        <w:rPr>
          <w:b w:val="0"/>
        </w:rPr>
        <w:t>Como no siempre hay un cliente o un proveedor, la contraparte es flexible: cliente, proveedor, otro contrato o simplemente un rubro. El sistema deriva cuál corresponde según la acción y limpia los campos que dejaron de aplicar.</w:t>
      </w:r>
    </w:p>
    <w:p>
      <w:r>
        <w:rPr>
          <w:b/>
        </w:rPr>
        <w:t>Transferencias entre contratos:</w:t>
      </w:r>
    </w:p>
    <w:p>
      <w:r>
        <w:rPr>
          <w:b w:val="0"/>
        </w:rPr>
        <w:t>Al registrar una transferencia se genera automáticamente la contrapartida en el contrato de destino, de modo que los saldos de ambas gerencias quedan consistentes. Los dos movimientos quedan vinculados: al editarlos o darlos de baja, el cambio se propaga.</w:t>
      </w:r>
    </w:p>
    <w:p>
      <w:pPr>
        <w:pStyle w:val="Heading1"/>
      </w:pPr>
      <w:r>
        <w:t>6. Transferencia de un contrato a otro sector</w:t>
      </w:r>
    </w:p>
    <w:p>
      <w:r>
        <w:rPr>
          <w:b w:val="0"/>
        </w:rPr>
        <w:t>Acción «Transferir a otro sector» en el detalle del contrato, disponible sólo para el administrador de sistema, porque la transferencia puede cruzar el límite de la Gerencia de Área.</w:t>
      </w:r>
    </w:p>
    <w:p>
      <w:pPr>
        <w:pStyle w:val="ListBullet"/>
      </w:pPr>
      <w:r>
        <w:t>El contrato y todos sus movimientos de ejecución pasan al sector de destino.</w:t>
      </w:r>
    </w:p>
    <w:p>
      <w:pPr>
        <w:pStyle w:val="ListBullet"/>
      </w:pPr>
      <w:r>
        <w:t>Se puede asentar el motivo, que queda junto al cambio en el historial.</w:t>
      </w:r>
    </w:p>
    <w:p>
      <w:pPr>
        <w:pStyle w:val="Heading1"/>
      </w:pPr>
      <w:r>
        <w:t>7. Importación de la base</w:t>
      </w:r>
    </w:p>
    <w:p>
      <w:r>
        <w:rPr>
          <w:b w:val="0"/>
        </w:rPr>
        <w:t>Se agregó el comando «atlas:importar-legacy», que carga un Excel con una solapa por tabla y traduce el formato anterior al modelo actual:</w:t>
      </w:r>
    </w:p>
    <w:p>
      <w:pPr>
        <w:pStyle w:val="ListBullet"/>
      </w:pPr>
      <w:r>
        <w:t>Convierte «gerencia_area» y «gerencia» del contrato en «sector_id».</w:t>
      </w:r>
    </w:p>
    <w:p>
      <w:pPr>
        <w:pStyle w:val="ListBullet"/>
      </w:pPr>
      <w:r>
        <w:t>Traduce los roles anteriores a los nuevos.</w:t>
      </w:r>
    </w:p>
    <w:p>
      <w:pPr>
        <w:pStyle w:val="ListBullet"/>
      </w:pPr>
      <w:r>
        <w:t>Normaliza fechas en formato de Excel y nombres de moneda («Pesos» → «Peso»).</w:t>
      </w:r>
    </w:p>
    <w:p>
      <w:pPr>
        <w:pStyle w:val="ListBullet"/>
      </w:pPr>
      <w:r>
        <w:t>Si un contrato apunta a un sector que no está en la solapa «sector», aborta e informa cuál falta: la estructura la define la organización, no se inventa.</w:t>
      </w:r>
    </w:p>
    <w:p>
      <w:pPr>
        <w:pStyle w:val="ListBullet"/>
      </w:pPr>
      <w:r>
        <w:t>Informa las filas que se omiten por no traer clave primaria y las columnas obligatorias que quedaron vacías.</w:t>
      </w:r>
    </w:p>
    <w:p>
      <w:r>
        <w:rPr>
          <w:rFonts w:ascii="Consolas" w:hAnsi="Consolas"/>
          <w:sz w:val="19"/>
        </w:rPr>
        <w:t>php artisan atlas:importar-legacy archivo.xlsx --dry-run</w:t>
        <w:br/>
        <w:t>php artisan atlas:importar-legacy archivo.xlsx --reemplazar</w:t>
      </w:r>
    </w:p>
    <w:p>
      <w:r>
        <w:rPr>
          <w:b w:val="0"/>
        </w:rPr>
        <w:t>La solapa «contratos_principal» se ignora: el módulo fue retirado y sus filas duplican los saldos iniciales que ya vienen en «contratos_ejecucion».</w:t>
      </w:r>
    </w:p>
    <w:p>
      <w:pPr>
        <w:pStyle w:val="Heading1"/>
      </w:pPr>
      <w:r>
        <w:t>8. Impacto técnico</w:t>
      </w:r>
    </w:p>
    <w:p>
      <w:r>
        <w:rPr>
          <w:b/>
        </w:rPr>
        <w:t>Base de datos</w:t>
      </w:r>
    </w:p>
    <w:p>
      <w:pPr>
        <w:pStyle w:val="ListBullet"/>
      </w:pPr>
      <w:r>
        <w:t>contratos_ejecucion: se agrega «sector_id» (obligatorio, con clave foránea a «sector») y se eliminan «gerencia_area» y «gerencia».</w:t>
      </w:r>
    </w:p>
    <w:p>
      <w:pPr>
        <w:pStyle w:val="ListBullet"/>
      </w:pPr>
      <w:r>
        <w:t>ejecucion_movimientos: se agregan «accion», «contraparte_tipo», «contrato_contraparte_id», «rubro» y «movimiento_espejo_id».</w:t>
      </w:r>
    </w:p>
    <w:p>
      <w:pPr>
        <w:pStyle w:val="ListBullet"/>
      </w:pPr>
      <w:r>
        <w:t>user_roles: nuevos valores de rol, más «sector_id» y «saldos_agrupacion».</w:t>
      </w:r>
    </w:p>
    <w:p>
      <w:r>
        <w:rPr>
          <w:b w:val="0"/>
        </w:rPr>
        <w:t>Las tres migraciones son idempotentes y reversibles.</w:t>
      </w:r>
    </w:p>
    <w:p>
      <w:r>
        <w:rPr>
          <w:b/>
        </w:rPr>
        <w:t>API</w:t>
      </w:r>
    </w:p>
    <w:p>
      <w:pPr>
        <w:pStyle w:val="ListBullet"/>
      </w:pPr>
      <w:r>
        <w:t>Nuevos: /api/panel/saldos, /api/panel/por-accion, /api/auth/preferencias y /api/contratos-ejecucion/{id}/transferir.</w:t>
      </w:r>
    </w:p>
    <w:p>
      <w:pPr>
        <w:pStyle w:val="ListBullet"/>
      </w:pPr>
      <w:r>
        <w:t>La estructura se administra por el endpoint de sectores que ya existía.</w:t>
      </w:r>
    </w:p>
    <w:p>
      <w:pPr>
        <w:pStyle w:val="ListBullet"/>
      </w:pPr>
      <w:r>
        <w:t>Eliminados: /api/contratos-principal, /api/tipos-contrato-principal, /api/estados-principal.</w:t>
      </w:r>
    </w:p>
    <w:p>
      <w:r>
        <w:rPr>
          <w:b/>
        </w:rPr>
        <w:t>Exportaciones</w:t>
      </w:r>
    </w:p>
    <w:p>
      <w:pPr>
        <w:pStyle w:val="ListBullet"/>
      </w:pPr>
      <w:r>
        <w:t>La solapa de sectores indica el nivel y la Gerencia de Área de cada uno.</w:t>
      </w:r>
    </w:p>
    <w:p>
      <w:pPr>
        <w:pStyle w:val="ListBullet"/>
      </w:pPr>
      <w:r>
        <w:t>La solapa de contratos muestra Gerencia de Área y Sector.</w:t>
      </w:r>
    </w:p>
    <w:p>
      <w:pPr>
        <w:pStyle w:val="ListBullet"/>
      </w:pPr>
      <w:r>
        <w:t>La de movimientos incorpora acción, tipo de contraparte, contraparte, contrato contraparte y rubro.</w:t>
      </w:r>
    </w:p>
    <w:p>
      <w:pPr>
        <w:pStyle w:val="Heading1"/>
      </w:pPr>
      <w:r>
        <w:t>9. Puesta en marcha</w:t>
      </w:r>
    </w:p>
    <w:p>
      <w:pPr>
        <w:pStyle w:val="ListNumber"/>
      </w:pPr>
      <w:r>
        <w:t>Aplicar las migraciones.</w:t>
      </w:r>
    </w:p>
    <w:p>
      <w:pPr>
        <w:pStyle w:val="ListNumber"/>
      </w:pPr>
      <w:r>
        <w:t>Cargar la estructura de sectores, verificando que las Gerencias de Área sean las correctas.</w:t>
      </w:r>
    </w:p>
    <w:p>
      <w:pPr>
        <w:pStyle w:val="ListNumber"/>
      </w:pPr>
      <w:r>
        <w:t>Importar la base con «atlas:importar-legacy», primero con --dry-run.</w:t>
      </w:r>
    </w:p>
    <w:p>
      <w:pPr>
        <w:pStyle w:val="ListNumber"/>
      </w:pPr>
      <w:r>
        <w:t>Asignar a cada usuario su rol y su Gerencia de Área: hasta entonces los roles acotados no ven contratos.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