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 Cambios solicitados al sistema</w:t>
      </w:r>
    </w:p>
    <w:p>
      <w:pPr>
        <w:jc w:val="left"/>
      </w:pPr>
      <w:r>
        <w:rPr>
          <w:i/>
        </w:rPr>
        <w:t>Gerencias de Área, permisos por gerencia y nuevas acciones de ejecución</w:t>
      </w:r>
    </w:p>
    <w:p>
      <w:r>
        <w:rPr>
          <w:b w:val="0"/>
        </w:rPr>
        <w:t>Fecha: 18 de agosto de 2026</w:t>
      </w:r>
    </w:p>
    <w:p>
      <w:r>
        <w:rPr>
          <w:b w:val="0"/>
        </w:rPr>
        <w:t>Rama: feat/gerencias-area-permisos-ejecucion</w:t>
      </w:r>
    </w:p>
    <w:p>
      <w:pPr>
        <w:pStyle w:val="Heading1"/>
      </w:pPr>
      <w:r>
        <w:t>1. Alcance</w:t>
      </w:r>
    </w:p>
    <w:p>
      <w:r>
        <w:rPr>
          <w:b w:val="0"/>
        </w:rPr>
        <w:t>Este documento describe la implementación de los cambios pedidos en «CAMBIOS SOLICITADOS AL SISTEMA ATLAS». Se cubren los cuatro puntos del documento original: el reemplazo de la gestión de Contratos Principales por la estructura de Gerencias de Área, la administración de vistas por rol y gerencia, las nuevas acciones de ejecución y la transferencia de un contrato completo a otra gerencia.</w:t>
      </w:r>
    </w:p>
    <w:p>
      <w:pPr>
        <w:pStyle w:val="Heading1"/>
      </w:pPr>
      <w:r>
        <w:t>2. Estructura organizativa</w:t>
      </w:r>
    </w:p>
    <w:p>
      <w:r>
        <w:rPr>
          <w:b w:val="0"/>
        </w:rPr>
        <w:t>La gestión de Contratos Principales fue reemplazada por dos entidades nuevas. La jerarquía del sistema queda:</w:t>
      </w:r>
    </w:p>
    <w:p>
      <w:r>
        <w:rPr>
          <w:rFonts w:ascii="Consolas" w:hAnsi="Consolas"/>
          <w:sz w:val="19"/>
        </w:rPr>
        <w:t>Gerencia de Área  →  Gerencia  →  Contrato  →  Movimiento de ejecución</w:t>
      </w:r>
    </w:p>
    <w:p>
      <w:r>
        <w:rPr>
          <w:b w:val="0"/>
        </w:rPr>
        <w:t>Cada contrato pertenece obligatoriamente a una gerencia, y cada gerencia a una Gerencia de Área. La Gerencia de Área es el límite de confidencialidad: los saldos y registros de una Gerencia de Área no pueden verse desde otra.</w:t>
      </w:r>
    </w:p>
    <w:p>
      <w:r>
        <w:rPr>
          <w:b/>
        </w:rPr>
        <w:t>Cambios concretos:</w:t>
      </w:r>
    </w:p>
    <w:p>
      <w:pPr>
        <w:pStyle w:val="ListBullet"/>
      </w:pPr>
      <w:r>
        <w:t>Nuevas tablas gerencias_area y gerencias, con ABM propio en el menú «Estructura».</w:t>
      </w:r>
    </w:p>
    <w:p>
      <w:pPr>
        <w:pStyle w:val="ListBullet"/>
      </w:pPr>
      <w:r>
        <w:t>contratos_ejecucion.gerencia_id es obligatorio y reemplaza a los campos de texto libre gerencia_area y gerencia, que se eliminaron.</w:t>
      </w:r>
    </w:p>
    <w:p>
      <w:pPr>
        <w:pStyle w:val="ListBullet"/>
      </w:pPr>
      <w:r>
        <w:t>Se retiraron del sistema el módulo de Contratos Principales y sus catálogos de tipos y estados. La tabla contratos_principal se conserva sólo para consultar y exportar lo ya cargado; el vínculo contrato_principal_id queda como referencia histórica.</w:t>
      </w:r>
    </w:p>
    <w:p>
      <w:pPr>
        <w:pStyle w:val="ListBullet"/>
      </w:pPr>
      <w:r>
        <w:t>En la interfaz, los «contratos de ejecución» pasan a llamarse simplemente «Contratos». Los endpoints conservan el nombre /api/contratos-ejecucion para no romper la trazabilidad del historial.</w:t>
      </w:r>
    </w:p>
    <w:p>
      <w:r>
        <w:rPr>
          <w:b w:val="0"/>
        </w:rPr>
        <w:t>Migración de datos: los valores de texto libre que ya existían en gerencia_area y gerencia se convierten automáticamente en registros del catálogo, y cada contrato queda vinculado a la gerencia que le corresponde. Los contratos que no tenían gerencia cargada van a una Gerencia de Área «Sin asignar», para que el administrador los reubique.</w:t>
      </w:r>
    </w:p>
    <w:p>
      <w:pPr>
        <w:pStyle w:val="Heading1"/>
      </w:pPr>
      <w:r>
        <w:t>3. Saldos configurables en el panel</w:t>
      </w:r>
    </w:p>
    <w:p>
      <w:r>
        <w:rPr>
          <w:b w:val="0"/>
        </w:rPr>
        <w:t>El panel incorpora una vista de saldos que el usuario puede agrupar como necesite:</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Agrupación</w:t>
            </w:r>
          </w:p>
        </w:tc>
        <w:tc>
          <w:tcPr>
            <w:tcW w:type="dxa" w:w="4320"/>
          </w:tcPr>
          <w:p>
            <w:r>
              <w:rPr>
                <w:b/>
              </w:rPr>
              <w:t>Qué muestra</w:t>
            </w:r>
          </w:p>
        </w:tc>
      </w:tr>
      <w:tr>
        <w:tc>
          <w:tcPr>
            <w:tcW w:type="dxa" w:w="4320"/>
          </w:tcPr>
          <w:p>
            <w:r>
              <w:t>Por Gerencia de Área</w:t>
            </w:r>
          </w:p>
        </w:tc>
        <w:tc>
          <w:tcPr>
            <w:tcW w:type="dxa" w:w="4320"/>
          </w:tcPr>
          <w:p>
            <w:r>
              <w:t>Una fila por Gerencia de Área, con los saldos de todas sus gerencias.</w:t>
            </w:r>
          </w:p>
        </w:tc>
      </w:tr>
      <w:tr>
        <w:tc>
          <w:tcPr>
            <w:tcW w:type="dxa" w:w="4320"/>
          </w:tcPr>
          <w:p>
            <w:r>
              <w:t>Por Gerencia</w:t>
            </w:r>
          </w:p>
        </w:tc>
        <w:tc>
          <w:tcPr>
            <w:tcW w:type="dxa" w:w="4320"/>
          </w:tcPr>
          <w:p>
            <w:r>
              <w:t>Una fila por gerencia.</w:t>
            </w:r>
          </w:p>
        </w:tc>
      </w:tr>
      <w:tr>
        <w:tc>
          <w:tcPr>
            <w:tcW w:type="dxa" w:w="4320"/>
          </w:tcPr>
          <w:p>
            <w:r>
              <w:t>Por Contrato</w:t>
            </w:r>
          </w:p>
        </w:tc>
        <w:tc>
          <w:tcPr>
            <w:tcW w:type="dxa" w:w="4320"/>
          </w:tcPr>
          <w:p>
            <w:r>
              <w:t>Una fila por contrato.</w:t>
            </w:r>
          </w:p>
        </w:tc>
      </w:tr>
    </w:tbl>
    <w:p/>
    <w:p>
      <w:r>
        <w:rPr>
          <w:b w:val="0"/>
        </w:rPr>
        <w:t>Cada fila informa presupuestado (ingresos y gastos), ejecutado (ingresos y gastos) y el saldo resultante. La agrupación elegida puede fijarse como predeterminada: queda guardada en el usuario (user_roles.saldos_agrupacion) y es la que se aplica al ingresar.</w:t>
      </w:r>
    </w:p>
    <w:p>
      <w:pPr>
        <w:pStyle w:val="Heading1"/>
      </w:pPr>
      <w:r>
        <w:t>4. Usuarios: roles y alcance</w:t>
      </w:r>
    </w:p>
    <w:p>
      <w:r>
        <w:rPr>
          <w:b w:val="0"/>
        </w:rPr>
        <w:t>Los roles anteriores (admin, operador, consulta) se reemplazan por tres roles con alcance por gerencia.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w:t>
            </w:r>
          </w:p>
        </w:tc>
        <w:tc>
          <w:tcPr>
            <w:tcW w:type="dxa" w:w="2160"/>
          </w:tcPr>
          <w:p>
            <w:r>
              <w:rPr>
                <w:b/>
              </w:rPr>
              <w:t>Contratos</w:t>
            </w:r>
          </w:p>
        </w:tc>
        <w:tc>
          <w:tcPr>
            <w:tcW w:type="dxa" w:w="2160"/>
          </w:tcPr>
          <w:p>
            <w:r>
              <w:rPr>
                <w:b/>
              </w:rPr>
              <w:t>Saldos</w:t>
            </w:r>
          </w:p>
        </w:tc>
        <w:tc>
          <w:tcPr>
            <w:tcW w:type="dxa" w:w="2160"/>
          </w:tcPr>
          <w:p>
            <w:r>
              <w:rPr>
                <w:b/>
              </w:rPr>
              <w:t>Usuarios</w:t>
            </w:r>
          </w:p>
        </w:tc>
      </w:tr>
      <w:tr>
        <w:tc>
          <w:tcPr>
            <w:tcW w:type="dxa" w:w="2160"/>
          </w:tcPr>
          <w:p>
            <w:r>
              <w:t>Administrador de sistema</w:t>
            </w:r>
          </w:p>
        </w:tc>
        <w:tc>
          <w:tcPr>
            <w:tcW w:type="dxa" w:w="2160"/>
          </w:tcPr>
          <w:p>
            <w:r>
              <w:t>Ver, crear y modificar en todas las gerencias</w:t>
            </w:r>
          </w:p>
        </w:tc>
        <w:tc>
          <w:tcPr>
            <w:tcW w:type="dxa" w:w="2160"/>
          </w:tcPr>
          <w:p>
            <w:r>
              <w:t>Todas las Gerencias de Área</w:t>
            </w:r>
          </w:p>
        </w:tc>
        <w:tc>
          <w:tcPr>
            <w:tcW w:type="dxa" w:w="2160"/>
          </w:tcPr>
          <w:p>
            <w:r>
              <w:t>Crear y modificar usuarios de cualquier rol y gerencia</w:t>
            </w:r>
          </w:p>
        </w:tc>
      </w:tr>
      <w:tr>
        <w:tc>
          <w:tcPr>
            <w:tcW w:type="dxa" w:w="2160"/>
          </w:tcPr>
          <w:p>
            <w:r>
              <w:t>Administrador de gerencia</w:t>
            </w:r>
          </w:p>
        </w:tc>
        <w:tc>
          <w:tcPr>
            <w:tcW w:type="dxa" w:w="2160"/>
          </w:tcPr>
          <w:p>
            <w:r>
              <w:t>Ver, crear y modificar en su gerencia</w:t>
            </w:r>
          </w:p>
        </w:tc>
        <w:tc>
          <w:tcPr>
            <w:tcW w:type="dxa" w:w="2160"/>
          </w:tcPr>
          <w:p>
            <w:r>
              <w:t>Su Gerencia de Área</w:t>
            </w:r>
          </w:p>
        </w:tc>
        <w:tc>
          <w:tcPr>
            <w:tcW w:type="dxa" w:w="2160"/>
          </w:tcPr>
          <w:p>
            <w:r>
              <w:t>Crear y modificar operadores de su gerencia</w:t>
            </w:r>
          </w:p>
        </w:tc>
      </w:tr>
      <w:tr>
        <w:tc>
          <w:tcPr>
            <w:tcW w:type="dxa" w:w="2160"/>
          </w:tcPr>
          <w:p>
            <w:r>
              <w:t>Operador de gerencia</w:t>
            </w:r>
          </w:p>
        </w:tc>
        <w:tc>
          <w:tcPr>
            <w:tcW w:type="dxa" w:w="2160"/>
          </w:tcPr>
          <w:p>
            <w:r>
              <w:t>Ver, crear y modificar en su gerencia</w:t>
            </w:r>
          </w:p>
        </w:tc>
        <w:tc>
          <w:tcPr>
            <w:tcW w:type="dxa" w:w="2160"/>
          </w:tcPr>
          <w:p>
            <w:r>
              <w:t>Su gerencia</w:t>
            </w:r>
          </w:p>
        </w:tc>
        <w:tc>
          <w:tcPr>
            <w:tcW w:type="dxa" w:w="2160"/>
          </w:tcPr>
          <w:p>
            <w:r>
              <w:t>—</w:t>
            </w:r>
          </w:p>
        </w:tc>
      </w:tr>
    </w:tbl>
    <w:p/>
    <w:p>
      <w:pPr>
        <w:pStyle w:val="ListBullet"/>
      </w:pPr>
      <w:r>
        <w:t>Los roles de gerencia requieren tener asignada una gerencia; el administrador de sistema no está acotado a ninguna.</w:t>
      </w:r>
    </w:p>
    <w:p>
      <w:pPr>
        <w:pStyle w:val="ListBullet"/>
      </w:pPr>
      <w:r>
        <w:t>El recorte se aplica en el servidor sobre contratos, movimientos, historial, saldos y exportaciones: un contrato fuera del alcance responde «no encontrado», no sólo se oculta en pantalla.</w:t>
      </w:r>
    </w:p>
    <w:p>
      <w:pPr>
        <w:pStyle w:val="ListBullet"/>
      </w:pPr>
      <w:r>
        <w:t>El ABM de estructura y catálogos queda reservado al administrador de sistema.</w:t>
      </w:r>
    </w:p>
    <w:p>
      <w:pPr>
        <w:pStyle w:val="ListBullet"/>
      </w:pPr>
      <w:r>
        <w:t>Se mantiene la protección que impide degradar o eliminar al último administrador de sistema activo.</w:t>
      </w:r>
    </w:p>
    <w:p>
      <w:r>
        <w:rPr>
          <w:b/>
        </w:rPr>
        <w:t>Equivalencias al migrar:</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 anterior</w:t>
            </w:r>
          </w:p>
        </w:tc>
        <w:tc>
          <w:tcPr>
            <w:tcW w:type="dxa" w:w="4320"/>
          </w:tcPr>
          <w:p>
            <w:r>
              <w:rPr>
                <w:b/>
              </w:rPr>
              <w:t>Rol nuevo</w:t>
            </w:r>
          </w:p>
        </w:tc>
      </w:tr>
      <w:tr>
        <w:tc>
          <w:tcPr>
            <w:tcW w:type="dxa" w:w="4320"/>
          </w:tcPr>
          <w:p>
            <w:r>
              <w:t>admin</w:t>
            </w:r>
          </w:p>
        </w:tc>
        <w:tc>
          <w:tcPr>
            <w:tcW w:type="dxa" w:w="4320"/>
          </w:tcPr>
          <w:p>
            <w:r>
              <w:t>admin_sistema</w:t>
            </w:r>
          </w:p>
        </w:tc>
      </w:tr>
      <w:tr>
        <w:tc>
          <w:tcPr>
            <w:tcW w:type="dxa" w:w="4320"/>
          </w:tcPr>
          <w:p>
            <w:r>
              <w:t>operador</w:t>
            </w:r>
          </w:p>
        </w:tc>
        <w:tc>
          <w:tcPr>
            <w:tcW w:type="dxa" w:w="4320"/>
          </w:tcPr>
          <w:p>
            <w:r>
              <w:t>operador_gerencia</w:t>
            </w:r>
          </w:p>
        </w:tc>
      </w:tr>
      <w:tr>
        <w:tc>
          <w:tcPr>
            <w:tcW w:type="dxa" w:w="4320"/>
          </w:tcPr>
          <w:p>
            <w:r>
              <w:t>consulta</w:t>
            </w:r>
          </w:p>
        </w:tc>
        <w:tc>
          <w:tcPr>
            <w:tcW w:type="dxa" w:w="4320"/>
          </w:tcPr>
          <w:p>
            <w:r>
              <w:t>operador_gerencia</w:t>
            </w:r>
          </w:p>
        </w:tc>
      </w:tr>
    </w:tbl>
    <w:p/>
    <w:p>
      <w:r>
        <w:rPr>
          <w:b w:val="0"/>
        </w:rPr>
        <w:t>Los usuarios que quedan acotados a una gerencia y no tenían ninguna se asignan a la gerencia «Sin asignar» hasta que el administrador los reubique.</w:t>
      </w:r>
    </w:p>
    <w:p>
      <w:pPr>
        <w:pStyle w:val="Heading1"/>
      </w:pPr>
      <w:r>
        <w:t>5. Nuevas acciones de ejecución</w:t>
      </w:r>
    </w:p>
    <w:p>
      <w:r>
        <w:rPr>
          <w:b w:val="0"/>
        </w:rPr>
        <w:t>En la ejecución ya no hay solamente gastos e ingresos por facturas. El movimiento incorpora una acción: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Contraparte</w:t>
            </w:r>
          </w:p>
        </w:tc>
        <w:tc>
          <w:tcPr>
            <w:tcW w:type="dxa" w:w="2880"/>
          </w:tcPr>
          <w:p>
            <w:r>
              <w:rPr>
                <w:b/>
              </w:rPr>
              <w:t>Observaciones</w:t>
            </w:r>
          </w:p>
        </w:tc>
      </w:tr>
      <w:tr>
        <w:tc>
          <w:tcPr>
            <w:tcW w:type="dxa" w:w="2880"/>
          </w:tcPr>
          <w:p>
            <w:r>
              <w:t>Factura</w:t>
            </w:r>
          </w:p>
        </w:tc>
        <w:tc>
          <w:tcPr>
            <w:tcW w:type="dxa" w:w="2880"/>
          </w:tcPr>
          <w:p>
            <w:r>
              <w:t>Cliente (ingreso) o proveedor (gasto)</w:t>
            </w:r>
          </w:p>
        </w:tc>
        <w:tc>
          <w:tcPr>
            <w:tcW w:type="dxa" w:w="2880"/>
          </w:tcPr>
          <w:p>
            <w:r>
              <w:t>Comportamiento anterior; admite adjuntar la factura en los ingresos.</w:t>
            </w:r>
          </w:p>
        </w:tc>
      </w:tr>
      <w:tr>
        <w:tc>
          <w:tcPr>
            <w:tcW w:type="dxa" w:w="2880"/>
          </w:tcPr>
          <w:p>
            <w:r>
              <w:t>Transferencia a otro contrato</w:t>
            </w:r>
          </w:p>
        </w:tc>
        <w:tc>
          <w:tcPr>
            <w:tcW w:type="dxa" w:w="2880"/>
          </w:tcPr>
          <w:p>
            <w:r>
              <w:t>Otro contrato</w:t>
            </w:r>
          </w:p>
        </w:tc>
        <w:tc>
          <w:tcPr>
            <w:tcW w:type="dxa" w:w="2880"/>
          </w:tcPr>
          <w:p>
            <w:r>
              <w:t>De la misma o de otra gerencia.</w:t>
            </w:r>
          </w:p>
        </w:tc>
      </w:tr>
      <w:tr>
        <w:tc>
          <w:tcPr>
            <w:tcW w:type="dxa" w:w="2880"/>
          </w:tcPr>
          <w:p>
            <w:r>
              <w:t>Pago de incentivos</w:t>
            </w:r>
          </w:p>
        </w:tc>
        <w:tc>
          <w:tcPr>
            <w:tcW w:type="dxa" w:w="2880"/>
          </w:tcPr>
          <w:p>
            <w:r>
              <w:t>Rubro</w:t>
            </w:r>
          </w:p>
        </w:tc>
        <w:tc>
          <w:tcPr>
            <w:tcW w:type="dxa" w:w="2880"/>
          </w:tcPr>
          <w:p>
            <w:r>
              <w:t>Se registra siempre como gasto.</w:t>
            </w:r>
          </w:p>
        </w:tc>
      </w:tr>
      <w:tr>
        <w:tc>
          <w:tcPr>
            <w:tcW w:type="dxa" w:w="2880"/>
          </w:tcPr>
          <w:p>
            <w:r>
              <w:t>MCH (Mayor Carga Horaria)</w:t>
            </w:r>
          </w:p>
        </w:tc>
        <w:tc>
          <w:tcPr>
            <w:tcW w:type="dxa" w:w="2880"/>
          </w:tcPr>
          <w:p>
            <w:r>
              <w:t>Rubro</w:t>
            </w:r>
          </w:p>
        </w:tc>
        <w:tc>
          <w:tcPr>
            <w:tcW w:type="dxa" w:w="2880"/>
          </w:tcPr>
          <w:p>
            <w:r>
              <w:t>Se registra siempre como gasto.</w:t>
            </w:r>
          </w:p>
        </w:tc>
      </w:tr>
    </w:tbl>
    <w:p/>
    <w:p>
      <w:r>
        <w:rPr>
          <w:b w:val="0"/>
        </w:rPr>
        <w:t>Como no siempre hay un cliente o un proveedor, la contraparte pasa a ser flexible: puede ser un cliente, un proveedor, otro contrato o simplemente un rubro. El sistema deriva qué campo corresponde a partir de la acción elegida y limpia los que dejaron de aplicar.</w:t>
      </w:r>
    </w:p>
    <w:p>
      <w:r>
        <w:rPr>
          <w:b/>
        </w:rPr>
        <w:t>Transferencias entre contratos:</w:t>
      </w:r>
    </w:p>
    <w:p>
      <w:r>
        <w:rPr>
          <w:b w:val="0"/>
        </w:rPr>
        <w:t>Al registrar una transferencia se genera automáticamente la contrapartida en el contrato de destino (lo que sale de uno entra en el otro), de modo que los saldos de ambas gerencias quedan consistentes. Los dos movimientos quedan vinculados: al editarlos o darlos de baja, el cambio se propaga a su contrapartida.</w:t>
      </w:r>
    </w:p>
    <w:p>
      <w:pPr>
        <w:pStyle w:val="Heading1"/>
      </w:pPr>
      <w:r>
        <w:t>6. Transferencia de un contrato a otra gerencia</w:t>
      </w:r>
    </w:p>
    <w:p>
      <w:r>
        <w:rPr>
          <w:b w:val="0"/>
        </w:rPr>
        <w:t>Se agregó la acción «Transferir a otra gerencia» en el detalle del contrato, disponible sólo para el administrador de sistema, porque la transferencia puede cruzar el límite de la Gerencia de Área.</w:t>
      </w:r>
    </w:p>
    <w:p>
      <w:pPr>
        <w:pStyle w:val="ListBullet"/>
      </w:pPr>
      <w:r>
        <w:t>El contrato y todos sus movimientos de ejecución pasan a la gerencia de destino.</w:t>
      </w:r>
    </w:p>
    <w:p>
      <w:pPr>
        <w:pStyle w:val="ListBullet"/>
      </w:pPr>
      <w:r>
        <w:t>Se puede dejar asentado el motivo, que se guarda junto al cambio de gerencia en el historial de cambios.</w:t>
      </w:r>
    </w:p>
    <w:p>
      <w:r>
        <w:rPr>
          <w:b w:val="0"/>
        </w:rPr>
        <w:t>Responde al punto planteado como consulta en el documento original: los movimientos de estructura —gerencias que se dan de baja y otras que se crean— hacen que un contrato deba cambiar de gerencia sin perder su historia.</w:t>
      </w:r>
    </w:p>
    <w:p>
      <w:pPr>
        <w:pStyle w:val="Heading1"/>
      </w:pPr>
      <w:r>
        <w:t>7. Impacto técnico</w:t>
      </w:r>
    </w:p>
    <w:p>
      <w:r>
        <w:rPr>
          <w:b/>
        </w:rPr>
        <w:t>Base de datos</w:t>
      </w:r>
    </w:p>
    <w:p>
      <w:pPr>
        <w:pStyle w:val="ListBullet"/>
      </w:pPr>
      <w:r>
        <w:t>Nuevas tablas: gerencias_area, gerencias.</w:t>
      </w:r>
    </w:p>
    <w:p>
      <w:pPr>
        <w:pStyle w:val="ListBullet"/>
      </w:pPr>
      <w:r>
        <w:t>contratos_ejecucion: se agrega gerencia_id (obligatorio, con clave foránea) y se eliminan gerencia_area y gerencia.</w:t>
      </w:r>
    </w:p>
    <w:p>
      <w:pPr>
        <w:pStyle w:val="ListBullet"/>
      </w:pPr>
      <w:r>
        <w:t>ejecucion_movimientos: se agregan accion, contraparte_tipo, contrato_contraparte_id, rubro y movimiento_espejo_id.</w:t>
      </w:r>
    </w:p>
    <w:p>
      <w:pPr>
        <w:pStyle w:val="ListBullet"/>
      </w:pPr>
      <w:r>
        <w:t>user_roles: nuevos valores de rol, más gerencia_id y saldos_agrupacion.</w:t>
      </w:r>
    </w:p>
    <w:p>
      <w:r>
        <w:rPr>
          <w:b w:val="0"/>
        </w:rPr>
        <w:t>Las cuatro migraciones son idempotentes y reversibles, y convierten los datos existentes sin pérdida. Se aplican con:</w:t>
      </w:r>
    </w:p>
    <w:p>
      <w:r>
        <w:rPr>
          <w:rFonts w:ascii="Consolas" w:hAnsi="Consolas"/>
          <w:sz w:val="19"/>
        </w:rPr>
        <w:t>docker compose exec backend php artisan migrate --force</w:t>
      </w:r>
    </w:p>
    <w:p>
      <w:r>
        <w:rPr>
          <w:b/>
        </w:rPr>
        <w:t>API</w:t>
      </w:r>
    </w:p>
    <w:p>
      <w:pPr>
        <w:pStyle w:val="ListBullet"/>
      </w:pPr>
      <w:r>
        <w:t>Nuevos: /api/gerencias-area, /api/gerencias, /api/panel/saldos, /api/panel/por-accion, /api/auth/preferencias, /api/contratos-ejecucion/{id}/transferir.</w:t>
      </w:r>
    </w:p>
    <w:p>
      <w:pPr>
        <w:pStyle w:val="ListBullet"/>
      </w:pPr>
      <w:r>
        <w:t>Eliminados: /api/contratos-principal, /api/tipos-contrato-principal, /api/estados-principal.</w:t>
      </w:r>
    </w:p>
    <w:p>
      <w:pPr>
        <w:pStyle w:val="ListBullet"/>
      </w:pPr>
      <w:r>
        <w:t>El panel deja de informar contratos principales por separado; sus indicadores pasan a referirse a los contratos.</w:t>
      </w:r>
    </w:p>
    <w:p>
      <w:r>
        <w:rPr>
          <w:b/>
        </w:rPr>
        <w:t>Exportaciones</w:t>
      </w:r>
    </w:p>
    <w:p>
      <w:pPr>
        <w:pStyle w:val="ListBullet"/>
      </w:pPr>
      <w:r>
        <w:t>El export consolidado suma las solapas «Gerencias de Área» y «Gerencias».</w:t>
      </w:r>
    </w:p>
    <w:p>
      <w:pPr>
        <w:pStyle w:val="ListBullet"/>
      </w:pPr>
      <w:r>
        <w:t>La solapa de contratos muestra Gerencia de Área y Gerencia del catálogo.</w:t>
      </w:r>
    </w:p>
    <w:p>
      <w:pPr>
        <w:pStyle w:val="ListBullet"/>
      </w:pPr>
      <w:r>
        <w:t>La solapa de movimientos incorpora acción, tipo de contraparte, contraparte, contrato contraparte y rubro.</w:t>
      </w:r>
    </w:p>
    <w:p>
      <w:pPr>
        <w:pStyle w:val="ListBullet"/>
      </w:pPr>
      <w:r>
        <w:t>El backup técnico (exportar / importar base de datos) incluye las tablas nuevas y conserva el round-trip.</w:t>
      </w:r>
    </w:p>
    <w:p>
      <w:pPr>
        <w:pStyle w:val="Heading1"/>
      </w:pPr>
      <w:r>
        <w:t>8. Puesta en marcha</w:t>
      </w:r>
    </w:p>
    <w:p>
      <w:r>
        <w:rPr>
          <w:b w:val="0"/>
        </w:rPr>
        <w:t>Orden sugerido tras desplegar:</w:t>
      </w:r>
    </w:p>
    <w:p>
      <w:pPr>
        <w:pStyle w:val="ListNumber"/>
      </w:pPr>
      <w:r>
        <w:t>Aplicar las migraciones.</w:t>
      </w:r>
    </w:p>
    <w:p>
      <w:pPr>
        <w:pStyle w:val="ListNumber"/>
      </w:pPr>
      <w:r>
        <w:t>Dar de alta las Gerencias de Área y las Gerencias reales desde el menú «Estructura».</w:t>
      </w:r>
    </w:p>
    <w:p>
      <w:pPr>
        <w:pStyle w:val="ListNumber"/>
      </w:pPr>
      <w:r>
        <w:t>Reubicar los contratos que hayan quedado en «Sin asignar».</w:t>
      </w:r>
    </w:p>
    <w:p>
      <w:pPr>
        <w:pStyle w:val="ListNumber"/>
      </w:pPr>
      <w:r>
        <w:t>Revisar los usuarios: asignar rol y gerencia definitivos, en especial los que quedaron en la gerencia «Sin asignar».</w:t>
      </w:r>
    </w:p>
    <w:p>
      <w:pPr>
        <w:pStyle w:val="ListNumber"/>
      </w:pPr>
      <w:r>
        <w:t>Eliminar la Gerencia de Área «Sin asignar» una vez que no queden contratos ni usuarios en ella.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