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56"/>
        <w:gridCol w:w="1033"/>
        <w:gridCol w:w="1917"/>
        <w:gridCol w:w="2078"/>
        <w:gridCol w:w="661"/>
        <w:gridCol w:w="1745"/>
        <w:gridCol w:w="627"/>
        <w:gridCol w:w="661"/>
        <w:gridCol w:w="1122"/>
        <w:gridCol w:w="639"/>
      </w:tblGrid>
      <w:tr>
        <w:trPr>
          <w:cantSplit/>
          <w:trHeight w:val="332" w:hRule="exact"/>
          <w:tblHeader/>
        </w:trPr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Hydrologic group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Threshold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 (months)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Severity (-)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44" w:hRule="exact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SPI accumulation period (months)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Average number of events per station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Max.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Median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Max.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-13.1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-3.9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-10.5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-7.6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-12.5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-21.0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-15.4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-32.3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-12.0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-23.6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-17.1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-17.9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-38.2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-15.3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-33.6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-9.9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-36.5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-18.4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-3.4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-6.7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-6.9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-9.0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-10.3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-7.0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-9.2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-13.3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-17.2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-15.1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-8.9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-12.1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-15.8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-33.4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-25.9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-43.1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-24.0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-18.6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-16.7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-15.0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-11.6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-2.6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-5.1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-6.7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-5.5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-18.0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-12.0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-2.1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Black Hills Plateau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-9.4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-8.2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SRI-6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-8.8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Pierre Shale 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-30.0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Pierre Shale High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-4.3</w:t>
            </w:r>
          </w:p>
        </w:tc>
      </w:tr>
      <w:tr>
        <w:trPr>
          <w:cantSplit/>
          <w:trHeight w:val="344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Tertiary Clays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-10.4</w:t>
            </w:r>
          </w:p>
        </w:tc>
      </w:tr>
      <w:tr>
        <w:trPr>
          <w:cantSplit/>
          <w:trHeight w:val="34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Keya Paha Tablelands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-6.2</w:t>
            </w:r>
          </w:p>
        </w:tc>
      </w:tr>
      <w:tr>
        <w:trPr>
          <w:cantSplit/>
          <w:trHeight w:val="325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GW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-15.3</w:t>
            </w:r>
          </w:p>
        </w:tc>
      </w:tr>
      <w:tr>
        <w:trPr>
          <w:cantSplit/>
          <w:trHeight w:val="325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Sand Hills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SRI-18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-5.8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-13.2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2020-01-27T14:03:11Z</dcterms:modified>
  <cp:category/>
</cp:coreProperties>
</file>