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  <w:r>
        <w:rPr>
          <w:rFonts w:ascii="Consolas" w:cs="Consolas" w:eastAsia="Consolas" w:hAnsi="Consolas"/>
          <w:color w:val="0D9488"/>
          <w:sz w:val="18"/>
          <w:szCs w:val="18"/>
        </w:rPr>
        <w:t xml:space="preserve">&gt; gdp-slep-studio / licencias / camino-rpa / marco-legal</w:t>
      </w:r>
    </w:p>
    <w:p>
      <w:pPr>
        <w:spacing w:after="240"/>
      </w:pPr>
      <w:r>
        <w:rPr>
          <w:rFonts w:ascii="Consolas" w:cs="Consolas" w:eastAsia="Consolas" w:hAnsi="Consolas"/>
          <w:b/>
          <w:bCs/>
          <w:color w:val="64748B"/>
          <w:spacing w:val="40"/>
          <w:sz w:val="18"/>
          <w:szCs w:val="18"/>
        </w:rPr>
        <w:t xml:space="preserve">INFORME 08.1.1  ·  SERIE DE INFORMES GDP-SLEP STUDIO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0F172A"/>
          <w:sz w:val="80"/>
          <w:szCs w:val="80"/>
        </w:rPr>
        <w:t xml:space="preserve">Camino RPA</w:t>
      </w:r>
    </w:p>
    <w:p>
      <w:pPr>
        <w:spacing w:after="220"/>
      </w:pPr>
      <w:r>
        <w:rPr>
          <w:rFonts w:ascii="Calibri" w:cs="Calibri" w:eastAsia="Calibri" w:hAnsi="Calibri"/>
          <w:b/>
          <w:bCs/>
          <w:color w:val="0F172A"/>
          <w:sz w:val="80"/>
          <w:szCs w:val="80"/>
        </w:rPr>
        <w:t xml:space="preserve">· marco legal</w:t>
      </w:r>
    </w:p>
    <w:p>
      <w:pPr>
        <w:pBdr>
          <w:bottom w:val="single" w:color="0D9488" w:sz="24" w:space="1"/>
        </w:pBdr>
        <w:spacing w:after="300"/>
        <w:ind w:right="8340"/>
      </w:pPr>
    </w:p>
    <w:p>
      <w:pPr>
        <w:spacing w:after="120"/>
      </w:pPr>
      <w:r>
        <w:rPr>
          <w:rFonts w:ascii="Calibri" w:cs="Calibri" w:eastAsia="Calibri" w:hAnsi="Calibri"/>
          <w:color w:val="0D9488"/>
          <w:sz w:val="30"/>
          <w:szCs w:val="30"/>
        </w:rPr>
        <w:t xml:space="preserve">Marco legal y verificación previa del camino RPA para la tramitación de licencias médicas</w:t>
      </w:r>
    </w:p>
    <w:p>
      <w:pPr>
        <w:spacing w:after="1000" w:line="290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Qué permite y qué no la ley, marco legal de cada propuesta (costo cero, óptima y avanzada), seguridad y cumplimiento, qué hay que verificar antes de construir y requisitos para avanzar. Cómo funciona el camino está en los Informes 08.1 (general) y 08.1.2 (técnico); los montos, en el 08.1.3.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0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ORGANIZACIÓN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Dirección de Educación Pública (DEP)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UNIDAD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Subdepartamento de Gestión y Desarrollo de Personas para los SLEP (GDP-SLEP)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PROYECTO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GDP-SLEP Studio · Aplicación 2: Automatización de licencias médicas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TIPO DE INFORME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Informe de marco legal · Camino RPA (robot de software asistido)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ELABORADO POR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César Torres · Desarrollador (honorarios)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DIRIGIDO 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Claudia Manzano · Jefatura directa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PERÍODO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 de octubre – 27 de noviembre de 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16 de octubre de 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CLASIFICACIÓN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Uso interno</w:t>
            </w:r>
          </w:p>
        </w:tc>
      </w:tr>
    </w:tbl>
    <w:p>
      <w:pPr>
        <w:spacing w:after="500"/>
      </w:pPr>
    </w:p>
    <w:p>
      <w:r>
        <w:rPr>
          <w:rFonts w:ascii="Calibri" w:cs="Calibri" w:eastAsia="Calibri" w:hAnsi="Calibri"/>
          <w:i/>
          <w:iCs/>
          <w:color w:val="94A3B8"/>
          <w:sz w:val="16"/>
          <w:szCs w:val="16"/>
        </w:rPr>
        <w:t xml:space="preserve">Reúne las reglas legales, la seguridad y el cumplimiento y la verificación previa del camino RPA. Lo acompañan los Informes 08.1 (general), 08.1.2 (técnico) y 08.1.3 (costos).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ficha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Ficha del documento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734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CAMPO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Título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Informe 08.1.1 — Camino RPA · marco legal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Serie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Informe de marco legal del camino RPA. Complementa los Informes 08.1 (general) y 08.1.2 (técnico)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Objeto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Reunir lo que la ley permite y exige al camino, el marco legal de cada propuesta, los controles de seguridad y lo que hay que verificar antes de construir, dentro de los límites de los Informes 00 y 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Período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 de octubre – 27 de noviembre de 2026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César Torres, Desarrollador a honorarios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Dirigido a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Claudia Manzano, Jefatura directa · Subdepartamento GDP-SLEP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Condición previa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Autorización escrita de FONASA para operar asistentes automatizados sobre el PIEE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Informes relacionados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Informe 08.1 (general) · Informe 08.1.2 (técnico) · Informe 08.1.3 (costos) · Informe 08 (factibilidad) · Informe 00 (marco legal transversal) · Informe 08.5 (anexos)</w:t>
            </w:r>
          </w:p>
        </w:tc>
      </w:tr>
    </w:tbl>
    <w:p>
      <w:pPr>
        <w:spacing w:after="120" w:before="0" w:line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Lugar de este informe en la serie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30"/>
        <w:gridCol w:w="240"/>
        <w:gridCol w:w="2230"/>
        <w:gridCol w:w="240"/>
        <w:gridCol w:w="2230"/>
        <w:gridCol w:w="240"/>
        <w:gridCol w:w="2230"/>
      </w:tblGrid>
      <w:tr>
        <w:trPr>
          <w:cantSplit/>
        </w:trPr>
        <w:tc>
          <w:tcPr>
            <w:tcW w:type="dxa" w:w="223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GENERAL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08.1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Para entender el camino sin tecnicismos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230"/>
            <w:tcBorders>
              <w:top w:val="single" w:color="0D9488" w:sz="12"/>
              <w:left w:val="single" w:color="0D9488" w:sz="12"/>
              <w:bottom w:val="single" w:color="0D9488" w:sz="12"/>
              <w:right w:val="single" w:color="0D9488" w:sz="12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ESTE DOCUMENTO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08.1.1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Marco legal: ley, verificación y riesgos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23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TÉCNICO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08.1.2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Cómo se construye, en detalle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23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COSTOS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08.1.3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Cuánto cuesta cada propuesta</w:t>
            </w:r>
          </w:p>
        </w:tc>
      </w:tr>
    </w:tbl>
    <w:p>
      <w:pPr>
        <w:spacing w:after="200" w:before="80"/>
      </w:pPr>
      <w:r>
        <w:rPr>
          <w:rFonts w:ascii="Consolas" w:cs="Consolas" w:eastAsia="Consolas" w:hAnsi="Consolas"/>
          <w:b/>
          <w:bCs/>
          <w:color w:val="0D9488"/>
          <w:sz w:val="15"/>
          <w:szCs w:val="15"/>
        </w:rPr>
        <w:t xml:space="preserve">FIG. 1  </w:t>
      </w:r>
      <w:r>
        <w:rPr>
          <w:rFonts w:ascii="Calibri" w:cs="Calibri" w:eastAsia="Calibri" w:hAnsi="Calibri"/>
          <w:color w:val="64748B"/>
          <w:sz w:val="16"/>
          <w:szCs w:val="16"/>
        </w:rPr>
        <w:t xml:space="preserve">Este es el documento de marco legal del camino RPA.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índice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Índice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874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01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Qué permite y qué no la ley</w:t>
            </w:r>
          </w:p>
          <w:p>
            <w:r>
              <w:rPr>
                <w:color w:val="64748B"/>
                <w:sz w:val="17"/>
                <w:szCs w:val="17"/>
              </w:rPr>
              <w:t xml:space="preserve">Las reglas, en lenguaje simple.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02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Marco legal por propuesta</w:t>
            </w:r>
          </w:p>
          <w:p>
            <w:r>
              <w:rPr>
                <w:color w:val="64748B"/>
                <w:sz w:val="17"/>
                <w:szCs w:val="17"/>
              </w:rPr>
              <w:t xml:space="preserve">Qué es factible y qué es riesgoso en cada propuesta, aspecto por aspecto.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03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Seguridad y cumplimiento</w:t>
            </w:r>
          </w:p>
          <w:p>
            <w:r>
              <w:rPr>
                <w:color w:val="64748B"/>
                <w:sz w:val="17"/>
                <w:szCs w:val="17"/>
              </w:rPr>
              <w:t xml:space="preserve">Controles frente a cada norma aplicable.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04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Qué hay que verificar</w:t>
            </w:r>
          </w:p>
          <w:p>
            <w:r>
              <w:rPr>
                <w:color w:val="64748B"/>
                <w:sz w:val="17"/>
                <w:szCs w:val="17"/>
              </w:rPr>
              <w:t xml:space="preserve">Lo que el diagnóstico debe confirmar antes de construir.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05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Conclusión y requisitos para avanzar</w:t>
            </w:r>
          </w:p>
          <w:p>
            <w:r>
              <w:rPr>
                <w:color w:val="64748B"/>
                <w:sz w:val="17"/>
                <w:szCs w:val="17"/>
              </w:rPr>
              <w:t xml:space="preserve">Por qué el marco legal condiciona el desarrollo en la DEP y los SLEP, y qué falta.</w:t>
            </w:r>
          </w:p>
        </w:tc>
      </w:tr>
    </w:tbl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01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reglas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Qué permite y qué no la ley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La tramitación de licencias maneja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datos de salud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y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sueldos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de personas identificadas, que son de los datos más protegidos por la ley chilena. Además, el portal de FONASA se usa con la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ClaveÚnica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, que tiene reglas propias sobre quién y cómo puede usarla.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El camino RPA fue diseñado para respetar esas reglas desde el principio. La tabla resume cada regla y lo que significa en la práctica para el robot.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00"/>
        <w:gridCol w:w="5940"/>
      </w:tblGrid>
      <w:tr>
        <w:trPr>
          <w:tblHeader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REGLA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QUÉ SIGNIFICA PARA ESTE CAMINO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La clave del Estado (ClaveÚnica) no se puede automatizar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Siempre entra la persona; el robot nunca guarda ni usa su clave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El empleador no puede ver el diagnóstico médico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El robot nunca lee ni guarda esa parte de la licencia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Hay que usar canales autorizados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Se necesita autorización escrita de FONASA antes de operar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Los datos de las personas deben estar protegidos y en Chile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La IA funciona dentro de la DEP; nada se manda a internet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Una persona debe decidir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El envío siempre lo confirma el encargado, no el robot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La IA en la nube nunca recibe datos personales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Claude solo se usa para normativa, redacción y código; los datos de licencias, de salud y de remuneraciones quedan en la IA local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El plazo de tramitación es legal: 3 días hábiles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El sistema calcula el vencimiento de cada licencia y alerta antes; ninguna debe quedar fuera de plazo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Solo se usan los datos que pide la zona C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Del ERP se toman únicamente los haberes que exige FONASA; nada más se copia ni se guarda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Cada SLEP responde por los datos de su personal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El SLEP es el empleador y decide; la DEP entrega la herramienta y opera solo lo que se le encargue formalmente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Antes de usar datos reales, evaluación de impacto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Con la Ley 21.719 vigente desde el 1 de diciembre de 2026, el piloto con datos reales exige esa evaluación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Todo queda registrado, sin datos clínicos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Cada acción deja constancia de quién, cuándo y qué hizo, para auditoría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Los incidentes se informan en plazo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Una filtración o una caída se reporta según el protocolo de la Ley 21.663 (3 horas, 72 horas y 15 días)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El código es de la institución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 formaliza la cesión de derechos del código para que la DEP pueda usarlo, cambiarlo y mantenerlo</w:t>
            </w:r>
          </w:p>
        </w:tc>
      </w:tr>
    </w:tbl>
    <w:p>
      <w:pPr>
        <w:spacing w:after="12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EN UNA FRASE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El camino es legal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si una persona entra, confirma cada envío y nunca se toca el diagnóstico</w:t>
            </w:r>
            <w:r>
              <w:rPr>
                <w:color w:val="334155"/>
                <w:sz w:val="19"/>
                <w:szCs w:val="19"/>
              </w:rPr>
              <w:t xml:space="preserve">. La única condición externa es la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autorización de FONASA</w:t>
            </w:r>
            <w:r>
              <w:rPr>
                <w:color w:val="334155"/>
                <w:sz w:val="19"/>
                <w:szCs w:val="19"/>
              </w:rPr>
              <w:t xml:space="preserve">. El detalle legal de cada propuesta está en la sección 02.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02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legal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Marco legal por propuesta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Las tres propuestas comparten las reglas legales del robot asistido, pero difieren en licencias, ubicación de los datos y forma de compra.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Mostrar, para cada propuesta, qué es factible, qué es riesgoso y por qué.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Tabla aspecto × propuesta con semáforo, a partir del Informe 00 y la sección 03.</w:t>
            </w:r>
          </w:p>
        </w:tc>
      </w:tr>
    </w:tbl>
    <w:p>
      <w:pPr>
        <w:spacing w:after="14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2510"/>
        <w:gridCol w:w="2510"/>
        <w:gridCol w:w="2520"/>
      </w:tblGrid>
      <w:tr>
        <w:trPr>
          <w:tblHeader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ASPECTO Y NORMA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803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A1 · COSTO CERO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948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A2 · ÓPTIMA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30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A3 · AVANZADA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Acceso al PIEE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Res. Ex. 733/2025 §6.5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Solo asistido: el encargado inicia sesión con su ClaveÚnica; el robot no la conoce ni la guarda.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A1. La licencia Premium </w:t>
            </w:r>
            <w:r>
              <w:rPr>
                <w:b/>
                <w:bCs/>
                <w:color w:val="0F172A"/>
                <w:sz w:val="14"/>
                <w:szCs w:val="14"/>
              </w:rPr>
              <w:t xml:space="preserve">no</w:t>
            </w:r>
            <w:r>
              <w:rPr>
                <w:color w:val="334155"/>
                <w:sz w:val="14"/>
                <w:szCs w:val="14"/>
              </w:rPr>
              <w:t xml:space="preserve"> se usa para ejecución desatendida.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A1. Sin robots desatendidos ni credenciales de ClaveÚnica en Orchestrator.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Autorización del portal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Condiciones de uso del PIEE · Ley 21.459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Requisito previo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Autorización escrita de FONASA antes de operar con licencias reales.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Requisito previo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A1.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Requisito previo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A1.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Licencia del software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Ley 17.336 · términos del fabricante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Apache-2.0: uso, modificación y distribución libres, sin auditorías de licencias.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Licencia comercial por usuario. La versión gratuita de escritorio es para </w:t>
            </w:r>
            <w:r>
              <w:rPr>
                <w:b/>
                <w:bCs/>
                <w:color w:val="0F172A"/>
                <w:sz w:val="14"/>
                <w:szCs w:val="14"/>
              </w:rPr>
              <w:t xml:space="preserve">productividad personal</w:t>
            </w:r>
            <w:r>
              <w:rPr>
                <w:color w:val="334155"/>
                <w:sz w:val="14"/>
                <w:szCs w:val="14"/>
              </w:rPr>
              <w:t xml:space="preserve">: no sirve para distribuir a 36 SLEP.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Licencia comercial. </w:t>
            </w:r>
            <w:r>
              <w:rPr>
                <w:b/>
                <w:bCs/>
                <w:color w:val="0F172A"/>
                <w:sz w:val="14"/>
                <w:szCs w:val="14"/>
              </w:rPr>
              <w:t xml:space="preserve">UiPath Community no aplica</w:t>
            </w:r>
            <w:r>
              <w:rPr>
                <w:color w:val="334155"/>
                <w:sz w:val="14"/>
                <w:szCs w:val="14"/>
              </w:rPr>
              <w:t xml:space="preserve"> a una institución del tamaño de la DEP: usarla en producción sería incumplir sus términos.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Ubicación de los datos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Ley 21.719 (transferencia internacional) · Ley 19.628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Todo corre en la estación y en el servidor de TI, en Chile.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El flujo corre en la estación, pero historial y definiciones quedan en el entorno de Power Platform: </w:t>
            </w:r>
            <w:r>
              <w:rPr>
                <w:b/>
                <w:bCs/>
                <w:color w:val="0F172A"/>
                <w:sz w:val="14"/>
                <w:szCs w:val="14"/>
              </w:rPr>
              <w:t xml:space="preserve">confirmar su región</w:t>
            </w:r>
            <w:r>
              <w:rPr>
                <w:color w:val="334155"/>
                <w:sz w:val="14"/>
                <w:szCs w:val="14"/>
              </w:rPr>
              <w:t xml:space="preserve"> y desactivar el registro de entradas y salidas.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Riesgoso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Automation Cloud </w:t>
            </w:r>
            <w:r>
              <w:rPr>
                <w:b/>
                <w:bCs/>
                <w:color w:val="0F172A"/>
                <w:sz w:val="14"/>
                <w:szCs w:val="14"/>
              </w:rPr>
              <w:t xml:space="preserve">no tiene región en Chile</w:t>
            </w:r>
            <w:r>
              <w:rPr>
                <w:color w:val="334155"/>
                <w:sz w:val="14"/>
                <w:szCs w:val="14"/>
              </w:rPr>
              <w:t xml:space="preserve">: colas, registros y activos quedarían en EE. UU. o Europa. Exige colas </w:t>
            </w:r>
            <w:r>
              <w:rPr>
                <w:b/>
                <w:bCs/>
                <w:color w:val="0F172A"/>
                <w:sz w:val="14"/>
                <w:szCs w:val="14"/>
              </w:rPr>
              <w:t xml:space="preserve">sin datos personales</w:t>
            </w:r>
            <w:r>
              <w:rPr>
                <w:color w:val="334155"/>
                <w:sz w:val="14"/>
                <w:szCs w:val="14"/>
              </w:rPr>
              <w:t xml:space="preserve"> o instalar Orchestrator en la DEP.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Compras públicas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Ley 19.886 (mod. Ley 21.634) y su reglamento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No hay compra.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Gasto anual sobre 100 UTM: convenio marco o acuerdo de licenciamiento Microsoft del Estado; no cabe compra ágil.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Riesgoso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Licencias y partner superan holgadamente 100 UTM al año: </w:t>
            </w:r>
            <w:r>
              <w:rPr>
                <w:b/>
                <w:bCs/>
                <w:color w:val="0F172A"/>
                <w:sz w:val="14"/>
                <w:szCs w:val="14"/>
              </w:rPr>
              <w:t xml:space="preserve">licitación pública</w:t>
            </w:r>
            <w:r>
              <w:rPr>
                <w:color w:val="334155"/>
                <w:sz w:val="14"/>
                <w:szCs w:val="14"/>
              </w:rPr>
              <w:t xml:space="preserve">, con plazos de meses; no alcanza para el piloto de noviembre.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Datos clínicos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Ley 19.628 · Circular SUSESO 3779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Selectores limitados a la zona C; trazas y capturas de Playwright desactivadas.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Mismos selectores; </w:t>
            </w:r>
            <w:r>
              <w:rPr>
                <w:b/>
                <w:bCs/>
                <w:color w:val="0F172A"/>
                <w:sz w:val="14"/>
                <w:szCs w:val="14"/>
              </w:rPr>
              <w:t xml:space="preserve">desactivar capturas automáticas</w:t>
            </w:r>
            <w:r>
              <w:rPr>
                <w:color w:val="334155"/>
                <w:sz w:val="14"/>
                <w:szCs w:val="14"/>
              </w:rPr>
              <w:t xml:space="preserve"> en errores.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Mismos selectores; </w:t>
            </w:r>
            <w:r>
              <w:rPr>
                <w:b/>
                <w:bCs/>
                <w:color w:val="0F172A"/>
                <w:sz w:val="14"/>
                <w:szCs w:val="14"/>
              </w:rPr>
              <w:t xml:space="preserve">desactivar capturas</w:t>
            </w:r>
            <w:r>
              <w:rPr>
                <w:color w:val="334155"/>
                <w:sz w:val="14"/>
                <w:szCs w:val="14"/>
              </w:rPr>
              <w:t xml:space="preserve"> y registros detallados.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Propiedad del código y continuidad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Ley 17.336 · contrato a honorarios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El código es de la DEP solo si el contrato incluye la </w:t>
            </w:r>
            <w:r>
              <w:rPr>
                <w:b/>
                <w:bCs/>
                <w:color w:val="0F172A"/>
                <w:sz w:val="14"/>
                <w:szCs w:val="14"/>
              </w:rPr>
              <w:t xml:space="preserve">cesión de derechos</w:t>
            </w:r>
            <w:r>
              <w:rPr>
                <w:color w:val="334155"/>
                <w:sz w:val="14"/>
                <w:szCs w:val="14"/>
              </w:rPr>
              <w:t xml:space="preserve"> y el repositorio es institucional. Alta dependencia de una persona.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Flujos en el entorno de la DEP; los puede mantener cualquier funcionario capacitado.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Paquetes en Orchestrator; soporte del partner.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Seguridad de la información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DS 7/2023 · Ley 21.663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La seguridad depende del diseño propio: ejecutable firmado, actualización controlada, revisión de dependencias.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Políticas de prevención de pérdida de datos y Entra ID.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Roles, auditoría y gobierno de Orchestrator.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IA en la nube (Claude)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Ley 19.628 · Ley 21.719 (transferencia internacional)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No se usa: toda la IA corre dentro de la DEP.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Solo tareas sin datos personales, con un plan que no entrena modelos con los datos de la institución.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Además, la API pasa por una pasarela que bloquea datos personales y registra lo enviado.</w:t>
            </w:r>
          </w:p>
        </w:tc>
      </w:tr>
    </w:tbl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03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cumplimiento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Seguridad y cumplimiento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 camino RPA es el más expuesto legalmente de los cuatro: actúa sobre un portal de terceros.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Mostrar cómo cada control del diseño responde a una norma concreta.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Matriz norma → riesgo → control, a partir de los Informes 00 y 08.</w:t>
            </w:r>
          </w:p>
        </w:tc>
      </w:tr>
    </w:tbl>
    <w:p>
      <w:pPr>
        <w:spacing w:after="14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00"/>
        <w:gridCol w:w="3100"/>
        <w:gridCol w:w="3840"/>
      </w:tblGrid>
      <w:tr>
        <w:trPr>
          <w:tblHeader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NORMA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EXIGENCIA</w:t>
            </w:r>
          </w:p>
        </w:tc>
        <w:tc>
          <w:tcPr>
            <w:tcW w:type="dxa" w:w="3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CONTROL EN EL ROBOT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Res. Ex. 733/2025 §6.5 (ClaveÚnica)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No almacenar credenciales ni automatizar el acceso</w:t>
            </w:r>
          </w:p>
        </w:tc>
        <w:tc>
          <w:tcPr>
            <w:tcW w:type="dxa" w:w="3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Inicio de sesión siempre manual; el robot no conoce la clave ni la guarda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Condiciones de uso del PIEE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Uso solo para fines laborales y autorizados</w:t>
            </w:r>
          </w:p>
        </w:tc>
        <w:tc>
          <w:tcPr>
            <w:tcW w:type="dxa" w:w="3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Autorización escrita de FONASA antes de operar; uso limitado a la zona C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Ley 21.459 (delitos informáticos)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No acceder a sistemas sin autorización</w:t>
            </w:r>
          </w:p>
        </w:tc>
        <w:tc>
          <w:tcPr>
            <w:tcW w:type="dxa" w:w="3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Solo interfaz pública del PIEE dentro de una sesión legítima; sin servicios internos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Ley 19.628 · Circular SUSESO 3779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Diagnóstico vedado al empleador</w:t>
            </w:r>
          </w:p>
        </w:tc>
        <w:tc>
          <w:tcPr>
            <w:tcW w:type="dxa" w:w="3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Sin lectura de zona A; sin capturas; selectores limitados a la zona C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Ley 21.719 (desde 1-dic-2026)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Minimización, seguridad, evaluación de impacto</w:t>
            </w:r>
          </w:p>
        </w:tc>
        <w:tc>
          <w:tcPr>
            <w:tcW w:type="dxa" w:w="3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Solo haberes de la zona C; planilla cifrada; registro sin montos; evaluación previa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DS 7/2023 · Ley 21.663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Control de acceso, gestión de incidentes</w:t>
            </w:r>
          </w:p>
        </w:tc>
        <w:tc>
          <w:tcPr>
            <w:tcW w:type="dxa" w:w="3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Token de servicio por estación, guardado en el almacén seguro de Windows; alertas al servidor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DS 3/1984 art. 13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Zona C en 3 días hábiles</w:t>
            </w:r>
          </w:p>
        </w:tc>
        <w:tc>
          <w:tcPr>
            <w:tcW w:type="dxa" w:w="3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Calendario hábil, cola por urgencia y alertas de vencimiento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Seguridad de la estación del encargado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Medidas mínimas del equipo y de la sesión</w:t>
            </w:r>
          </w:p>
        </w:tc>
        <w:tc>
          <w:tcPr>
            <w:tcW w:type="dxa" w:w="3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Equipo institucional con disco cifrado (BitLocker), sesión de Windows personal y bloqueo automático. · Perfil de navegador dedicado al robot, sin extensiones ajenas y sin guardar contraseñas. · Planilla de remuneraciones en carpeta protegida; se elimina al cierre del mes. · El robot no funciona si la estación no tiene el token vigente de GDP-SLEP Studio.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IA en la nube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Ningún dato personal sale de la DEP</w:t>
            </w:r>
          </w:p>
        </w:tc>
        <w:tc>
          <w:tcPr>
            <w:tcW w:type="dxa" w:w="3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Uso limitado a tareas sin datos personales; en la propuesta avanzada, pasarela que filtra RUT, nombres y datos de salud y deja registro de lo enviado</w:t>
            </w:r>
          </w:p>
        </w:tc>
      </w:tr>
    </w:tbl>
    <w:p>
      <w:pPr>
        <w:spacing w:after="12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4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RESULTADO</w:t>
            </w:r>
          </w:p>
        </w:tc>
        <w:tc>
          <w:tcPr>
            <w:tcW w:type="dxa" w:w="7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FUNDAMENTO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8"/>
                <w:szCs w:val="18"/>
              </w:rPr>
              <w:t xml:space="preserve">● Cumple con condiciones</w:t>
            </w:r>
          </w:p>
        </w:tc>
        <w:tc>
          <w:tcPr>
            <w:tcW w:type="dxa" w:w="74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El diseño respeta las prohibiciones de la Res. Ex. 733/2025 y la reserva del diagnóstico. Queda sujeto a la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autorización escrita de FONASA</w:t>
            </w: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 y a la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evaluación de impacto</w:t>
            </w: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 antes de usar datos reales.</w:t>
            </w:r>
          </w:p>
        </w:tc>
      </w:tr>
    </w:tbl>
    <w:p>
      <w:pPr>
        <w:spacing w:after="12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04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por confirmar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Qué hay que verificar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 camino RPA tiene supuestos técnicos que deben confirmarse antes de construir; el diagnóstico existe para eso.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Dejar la lista técnica de comprobaciones, su método y su consecuencia.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Cada punto se resuelve en las dos primeras semanas (sección 09 del Informe 08.1.2) y es requisito de salida del diagnóstico.</w:t>
            </w:r>
          </w:p>
        </w:tc>
      </w:tr>
    </w:tbl>
    <w:p>
      <w:pPr>
        <w:spacing w:after="14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Todo proyecto parte de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supuestos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: cosas que creemos ciertas pero que aún no están comprobadas. En este camino hay varios, y algunos son decisivos: si uno de ellos resulta falso, puede cambiar la propuesta elegida o incluso hacer conveniente otro camino.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100"/>
        <w:gridCol w:w="3200"/>
        <w:gridCol w:w="2740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QUÉ VERIFICAR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CÓMO (MÉTODO)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SI FALLA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V1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Autorización escrita de FONASA para asistentes automatizados sobre el PIEE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Oficio y respuesta formal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El camino no pasa a datos reales; se evalúan 08.2/08.3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V2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Estabilidad de las pantallas del PIEE (portal nuevo desde el 1-oct)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Observación y registro de cambios durante el diagnóstico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Más mantención; preferir selectores por etiqueta accesible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V3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Controles anti-automatización del portal (captcha, "no soy un robot", límites de velocidad)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Inspección con las herramientas de desarrollo del navegador (F12)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 hay captcha, el camino RPA se descarta y se evalúa 08.2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V4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Cómo mantiene la sesión el portal (cookie o token) y cuánto dura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F12 → pestaña Red (Network) y Aplicación (Application), en una sesión real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Define las ventanas de trabajo del robot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V5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 hay token anti-CSRF u otros valores de un solo uso en el formulario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F12 → inspección de la petición al guardar un paso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El robot debe leerlo y respetarlo; más trabajo de desarrollo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V6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Estructura del contenido de la página (DOM) de la bandeja y del formulario de zona C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Inspección del DOM con F12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Ajusta los selectores del robot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V7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Versión de Windows de las estaciones de los encargados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Levantamiento a los SLEP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Condiciona qué herramienta de robot se puede usar (sección 02 del Informe 08.1.2)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V8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Origen y formato de las remuneraciones de cada SLEP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Levantamiento a los SLEP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Sin esto el robot no puede llenar C.2 y C.3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V9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Capacidad de integración del ERP del SLEP (Proexsi en el piloto): API, servicio web, archivo o solo pantalla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Consulta al proveedor + prueba en el SLEP piloto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 solo hay pantalla, el conector del ERP se hace con robot asistido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V10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Formato de los haberes que entrega el ERP y su correspondencia con los campos de la zona C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Levantamiento con Remuneraciones del SLEP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Ajusta el mapeo; sin esto no se prellena la zona C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V11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 el ERP acepta escritura masiva/por lote de la licencia y con qué credenciales de servicio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Consulta al proveedor y a TI del SLEP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Define si el ahorro es por lote; nunca se usan claves de personas</w:t>
            </w:r>
          </w:p>
        </w:tc>
      </w:tr>
    </w:tbl>
    <w:p>
      <w:pPr>
        <w:spacing w:after="12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B45309"/>
                <w:spacing w:val="20"/>
                <w:sz w:val="15"/>
                <w:szCs w:val="15"/>
              </w:rPr>
              <w:t xml:space="preserve">REGLA DE SALIDA DEL DIAGNÓSTICO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La construcción (sección 09 del Informe 08.1.2, semanas S6–S8)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no empieza</w:t>
            </w:r>
            <w:r>
              <w:rPr>
                <w:color w:val="334155"/>
                <w:sz w:val="19"/>
                <w:szCs w:val="19"/>
              </w:rPr>
              <w:t xml:space="preserve"> hasta que V1 a V11 están respondidas. Verificar sobre el portal se hace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siempre dentro de una sesión iniciada por una persona</w:t>
            </w:r>
            <w:r>
              <w:rPr>
                <w:color w:val="334155"/>
                <w:sz w:val="19"/>
                <w:szCs w:val="19"/>
              </w:rPr>
              <w:t xml:space="preserve"> y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sin esquivar</w:t>
            </w:r>
            <w:r>
              <w:rPr>
                <w:color w:val="334155"/>
                <w:sz w:val="19"/>
                <w:szCs w:val="19"/>
              </w:rPr>
              <w:t xml:space="preserve"> ningún control de seguridad: si aparece un captcha o un bloqueo, es una señal de que este camino no corresponde, no un obstáculo a sortear.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05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cierre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Conclusión y requisitos para avanzar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En el sector público, un desarrollo solo es viable si tiene base legal: el Estado hace únicamente lo que la ley le permite.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Explicar por qué el marco legal condiciona el camino RPA en la DEP y en los SLEP, y qué falta para avanzar.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Principios del sector público, relación DEP–SLEP y requisitos con su responsable y estado.</w:t>
            </w:r>
          </w:p>
        </w:tc>
      </w:tr>
    </w:tbl>
    <w:p>
      <w:pPr>
        <w:spacing w:after="14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En una institución pública, el marco legal no es un trámite posterior al desarrollo: lo define. Por 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principio de legalidad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(artículos 6 y 7 de la Constitución), los órganos del Estado solo actúan dentro de su competencia y en la forma que fija la ley. Por eso cada tratamiento de datos, cada uso de un portal de terceros y cada compra deben tener fundamento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antes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de construir, no después.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La DEP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coordina y apoya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, pero no reemplaza a los SLEP: cada Servicio Local de Educación Pública es un servicio público descentralizado, con personalidad jurídica y patrimonio propios (Ley 21.040), y es 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empleador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de su personal. Es cada SLEP —no la DEP— quien tramita las licencias de sus trabajadores, responde por esos datos ante FONASA y decide adoptar la solución. GDP-SLEP Studio entrega la herramienta y las reglas comunes; si los datos pasan por servidores de la DEP, esa relación debe formalizarse con cada SLEP.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El camino RPA es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más expuesto legalmente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de los cuatro, porque actúa sobre un portal de terceros. Aun así, es defendible en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modo asistido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: la persona inicia sesión y confirma, el robot no guarda credenciales ni lee el diagnóstico y los datos quedan en Chile. Todo depende de la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autorización escrita de FONASA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, y la construcción no empieza hasta que la verificación de la sección 04 esté respondida.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Requisitos para iniciar la construcción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5000"/>
        <w:gridCol w:w="2000"/>
        <w:gridCol w:w="2040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REQUISITO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RESPONSABLE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ESTADO AL 16-OCT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1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Autorización escrita de FONASA para asistentes automatizados en el PIEE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Jefatura / DEP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Oficio enviado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2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Evaluación de impacto en protección de datos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GDP-SLEP con TI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En curso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3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SLEP piloto, encargado y planilla de remuneraciones en formato estándar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Jefatura · SLEP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Por confirmar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4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Equipo con Windows 11 Pro o Enterprise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SLEP piloto / TI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Por verificar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5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Elección de propuesta y, si es A2 o A3, canal de compra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Jefatura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30 de octubre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6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Cesión de derechos del código (A1) y repositorio institucional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Jurídica · TI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Por formalizar</w:t>
            </w:r>
          </w:p>
        </w:tc>
      </w:tr>
    </w:tbl>
    <w:p>
      <w:pPr>
        <w:spacing w:after="12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RECOMENDACIÓN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Antes de construir: base legal para cada tratamiento, acuerdo de cada SLEP que adopte la solución y, si la DEP aloja datos, la formalización de ese encargo. Enviar el oficio a FONASA, iniciar la evaluación de impacto y formalizar la cesión de derechos del código. Con la autorización en mano y la verificación completa,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A1 (costo cero)</w:t>
            </w:r>
            <w:r>
              <w:rPr>
                <w:color w:val="334155"/>
                <w:sz w:val="19"/>
                <w:szCs w:val="19"/>
              </w:rPr>
              <w:t xml:space="preserve"> es la propuesta con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menor riesgo legal</w:t>
            </w:r>
            <w:r>
              <w:rPr>
                <w:color w:val="334155"/>
                <w:sz w:val="19"/>
                <w:szCs w:val="19"/>
              </w:rPr>
              <w:t xml:space="preserve"> para el piloto.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50" w:right="1300" w:bottom="1150" w:left="130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40"/>
      </w:tabs>
    </w:pPr>
    <w:r>
      <w:rPr>
        <w:rFonts w:ascii="Calibri" w:cs="Calibri" w:eastAsia="Calibri" w:hAnsi="Calibri"/>
        <w:color w:val="94A3B8"/>
        <w:sz w:val="14"/>
        <w:szCs w:val="14"/>
      </w:rPr>
      <w:t xml:space="preserve">DEP · Subdepartamento GDP-SLEP · Uso interno</w:t>
    </w:r>
    <w:r>
      <w:rPr>
        <w:rFonts w:ascii="Consolas" w:cs="Consolas" w:eastAsia="Consolas" w:hAnsi="Consolas"/>
        <w:color w:val="94A3B8"/>
        <w:sz w:val="14"/>
        <w:szCs w:val="14"/>
      </w:rPr>
      <w:t xml:space="preserve">	pág. </w:t>
    </w:r>
    <w:r>
      <w:rPr>
        <w:rFonts w:ascii="Consolas" w:cs="Consolas" w:eastAsia="Consolas" w:hAnsi="Consolas"/>
        <w:b/>
        <w:bCs/>
        <w:color w:val="0F172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6"/>
      </w:pBdr>
      <w:tabs>
        <w:tab w:val="right" w:pos="9640"/>
      </w:tabs>
    </w:pPr>
    <w:r>
      <w:rPr>
        <w:rFonts w:ascii="Consolas" w:cs="Consolas" w:eastAsia="Consolas" w:hAnsi="Consolas"/>
        <w:b/>
        <w:bCs/>
        <w:color w:val="0D9488"/>
        <w:spacing w:val="20"/>
        <w:sz w:val="14"/>
        <w:szCs w:val="14"/>
      </w:rPr>
      <w:t xml:space="preserve">GDP - SLEP STUDIO</w:t>
    </w:r>
    <w:r>
      <w:rPr>
        <w:rFonts w:ascii="Consolas" w:cs="Consolas" w:eastAsia="Consolas" w:hAnsi="Consolas"/>
        <w:color w:val="94A3B8"/>
        <w:spacing w:val="10"/>
        <w:sz w:val="14"/>
        <w:szCs w:val="14"/>
      </w:rPr>
      <w:t xml:space="preserve">	INFORME 08.1.1  ·  CAMINO RPA · MARCO LEGAL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D948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0D948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rFonts w:ascii="Calibri" w:cs="Calibri" w:eastAsia="Calibri" w:hAnsi="Calibri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F766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08.1.1 — Camino RPA · marco legal</dc:title>
  <dc:subject>GDP-SLEP Studio</dc:subject>
  <dc:creator>César Torres</dc:creator>
  <dc:description>Diseño técnico, herramientas, pruebas, Gantt y costos detallados del robot asistido para la tramitación de licencias médicas</dc:description>
  <cp:lastModifiedBy>Un-named</cp:lastModifiedBy>
  <cp:revision>1</cp:revision>
  <dcterms:created xsi:type="dcterms:W3CDTF">2026-10-06T00:05:05.767Z</dcterms:created>
  <dcterms:modified xsi:type="dcterms:W3CDTF">2026-10-06T00:05:05.770Z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