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  <w:r>
        <w:rPr>
          <w:rFonts w:ascii="Consolas" w:cs="Consolas" w:eastAsia="Consolas" w:hAnsi="Consolas"/>
          <w:color w:val="0D9488"/>
          <w:sz w:val="18"/>
          <w:szCs w:val="18"/>
        </w:rPr>
        <w:t xml:space="preserve">&gt; gdp-slep-studio / licencias / camino-api / general</w:t>
      </w:r>
    </w:p>
    <w:p>
      <w:pPr>
        <w:spacing w:after="240"/>
      </w:pPr>
      <w:r>
        <w:rPr>
          <w:rFonts w:ascii="Consolas" w:cs="Consolas" w:eastAsia="Consolas" w:hAnsi="Consolas"/>
          <w:b/>
          <w:bCs/>
          <w:color w:val="64748B"/>
          <w:spacing w:val="40"/>
          <w:sz w:val="18"/>
          <w:szCs w:val="18"/>
        </w:rPr>
        <w:t xml:space="preserve">INFORME 08.2  ·  SERIE DE INFORMES GDP-SLEP STUDIO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0F172A"/>
          <w:sz w:val="80"/>
          <w:szCs w:val="80"/>
        </w:rPr>
        <w:t xml:space="preserve">Camino API del PIEE</w:t>
      </w:r>
    </w:p>
    <w:p>
      <w:pPr>
        <w:spacing w:after="220"/>
      </w:pPr>
      <w:r>
        <w:rPr>
          <w:rFonts w:ascii="Calibri" w:cs="Calibri" w:eastAsia="Calibri" w:hAnsi="Calibri"/>
          <w:b/>
          <w:bCs/>
          <w:color w:val="0F172A"/>
          <w:sz w:val="80"/>
          <w:szCs w:val="80"/>
        </w:rPr>
        <w:t xml:space="preserve">· general</w:t>
      </w:r>
    </w:p>
    <w:p>
      <w:pPr>
        <w:pBdr>
          <w:bottom w:val="single" w:color="0D9488" w:sz="24" w:space="1"/>
        </w:pBdr>
        <w:spacing w:after="300"/>
        <w:ind w:right="8340"/>
      </w:pPr>
    </w:p>
    <w:p>
      <w:pPr>
        <w:spacing w:after="120"/>
      </w:pPr>
      <w:r>
        <w:rPr>
          <w:rFonts w:ascii="Calibri" w:cs="Calibri" w:eastAsia="Calibri" w:hAnsi="Calibri"/>
          <w:color w:val="0D9488"/>
          <w:sz w:val="28"/>
          <w:szCs w:val="28"/>
        </w:rPr>
        <w:t xml:space="preserve">Explicación general del segundo camino: conversar directamente con el sistema de FONASA, con sesión y confirmación de una persona</w:t>
      </w:r>
    </w:p>
    <w:p>
      <w:pPr>
        <w:spacing w:after="1000" w:line="290"/>
      </w:pPr>
      <w:r>
        <w:rPr>
          <w:rFonts w:ascii="Calibri" w:cs="Calibri" w:eastAsia="Calibri" w:hAnsi="Calibri"/>
          <w:color w:val="64748B"/>
          <w:sz w:val="20"/>
          <w:szCs w:val="20"/>
        </w:rPr>
        <w:t xml:space="preserve">Qué es, cómo funciona paso a paso, sus tres propuestas (costo cero, óptima y avanzada), ventajas, límites y carta Gantt. Sin lenguaje técnico y sin montos: lo legal, lo que hay que verificar y los riesgos están en el Informe 08.2.1; el detalle técnico, en el 08.2.2, y los costos, en el 08.2.3.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70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ORGANIZACIÓN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Dirección de Educación Pública (DEP)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UNIDAD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Subdepartamento de Gestión y Desarrollo de Personas para los SLEP (GDP-SLEP)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PROYECTO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GDP-SLEP Studio · Aplicación 2: Automatización de licencias médicas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TIPO DE INFORME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Informe general del camino · API del PIEE (sesión asistida)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ELABORADO POR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César Torres · Desarrollador (honorarios)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DIRIGIDO A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Claudia Manzano · Jefatura directa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PERÍODO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1 de octubre – 27 de noviembre de 2026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FECHA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18 de octubre de 2026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VERSIÓN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CLASIFICACIÓN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Uso interno</w:t>
            </w:r>
          </w:p>
        </w:tc>
      </w:tr>
    </w:tbl>
    <w:p>
      <w:pPr>
        <w:spacing w:after="500"/>
      </w:pPr>
    </w:p>
    <w:p>
      <w:r>
        <w:rPr>
          <w:rFonts w:ascii="Calibri" w:cs="Calibri" w:eastAsia="Calibri" w:hAnsi="Calibri"/>
          <w:i/>
          <w:iCs/>
          <w:color w:val="94A3B8"/>
          <w:sz w:val="16"/>
          <w:szCs w:val="16"/>
        </w:rPr>
        <w:t xml:space="preserve">Uno de los cuatro caminos evaluados (RPA · API del PIEE · servicios web · mixto). Cada camino tiene cuatro informes: general, marco legal, técnico y costos.</w:t>
      </w:r>
    </w:p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DOCUMENTO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ficha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Ficha del documento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00"/>
        <w:gridCol w:w="7340"/>
      </w:tblGrid>
      <w:tr>
        <w:trPr>
          <w:tblHeader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CAMPO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Título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Informe 08.2 — Camino API del PIEE · general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Para quién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Jefatura y lectores no técnicos: explica el camino sin tecnicismos ni montos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Objeto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Que la jefatura entienda qué es el camino API, cómo funcionaría y qué se decide, para compararlo con los otros tres caminos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Las tres propuestas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Costo cero · Óptima · Avanzada (misma conexión, distinto nivel de IA local y respaldo; los montos están en el Informe 08.2.3)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Período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1 de octubre – 27 de noviembre de 2026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Elaborado por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César Torres, Desarrollador a honorarios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Dirigido a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Claudia Manzano, Jefatura directa · Subdepartamento GDP-SLEP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Informes del camino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08.2 general (este) · 08.2.1 marco legal · 08.2.2 técnico · 08.2.3 costos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Informes relacionados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Informe 08 (factibilidad general) · caminos 08.1 (RPA), 08.3 (servicios web) y 08.4 (mixto)</w:t>
            </w:r>
          </w:p>
        </w:tc>
      </w:tr>
    </w:tbl>
    <w:p>
      <w:pPr>
        <w:spacing w:after="120" w:before="0" w:line="120"/>
      </w:pP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0F766E"/>
          <w:sz w:val="22"/>
          <w:szCs w:val="22"/>
        </w:rPr>
        <w:t xml:space="preserve">Los cuatro documentos de este camino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30"/>
        <w:gridCol w:w="240"/>
        <w:gridCol w:w="2230"/>
        <w:gridCol w:w="240"/>
        <w:gridCol w:w="2230"/>
        <w:gridCol w:w="240"/>
        <w:gridCol w:w="2230"/>
      </w:tblGrid>
      <w:tr>
        <w:trPr>
          <w:cantSplit/>
        </w:trPr>
        <w:tc>
          <w:tcPr>
            <w:tcW w:type="dxa" w:w="2230"/>
            <w:tcBorders>
              <w:top w:val="single" w:color="0D9488" w:sz="12"/>
              <w:left w:val="single" w:color="0D9488" w:sz="12"/>
              <w:bottom w:val="single" w:color="0D9488" w:sz="12"/>
              <w:right w:val="single" w:color="0D9488" w:sz="12"/>
            </w:tcBorders>
            <w:shd w:fill="F0FD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3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3"/>
                <w:szCs w:val="13"/>
              </w:rPr>
              <w:t xml:space="preserve">ESTE DOCUMENTO</w:t>
            </w:r>
          </w:p>
          <w:p>
            <w:pPr>
              <w:spacing w:after="20" w:line="240"/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Informe 08.2</w:t>
            </w:r>
          </w:p>
          <w:p>
            <w:pPr>
              <w:spacing w:after="0" w:line="230"/>
              <w:jc w:val="left"/>
            </w:pPr>
            <w:r>
              <w:rPr>
                <w:color w:val="64748B"/>
                <w:sz w:val="14"/>
                <w:szCs w:val="14"/>
              </w:rPr>
              <w:t xml:space="preserve">General: para entender el camino sin tecnicismos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"/>
              <w:bottom w:type="dxa" w:w="80"/>
              <w:right w:type="dxa" w:w="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26"/>
                <w:szCs w:val="26"/>
              </w:rPr>
              <w:t xml:space="preserve">→</w:t>
            </w:r>
          </w:p>
        </w:tc>
        <w:tc>
          <w:tcPr>
            <w:tcW w:type="dxa" w:w="2230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fill="F8FAFC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3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3"/>
                <w:szCs w:val="13"/>
              </w:rPr>
              <w:t xml:space="preserve">MARCO LEGAL</w:t>
            </w:r>
          </w:p>
          <w:p>
            <w:pPr>
              <w:spacing w:after="20" w:line="240"/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Informe 08.2.1</w:t>
            </w:r>
          </w:p>
          <w:p>
            <w:pPr>
              <w:spacing w:after="0" w:line="230"/>
              <w:jc w:val="left"/>
            </w:pPr>
            <w:r>
              <w:rPr>
                <w:color w:val="64748B"/>
                <w:sz w:val="14"/>
                <w:szCs w:val="14"/>
              </w:rPr>
              <w:t xml:space="preserve">Qué permite la ley, qué verificar y qué riesgos hay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"/>
              <w:bottom w:type="dxa" w:w="80"/>
              <w:right w:type="dxa" w:w="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26"/>
                <w:szCs w:val="26"/>
              </w:rPr>
              <w:t xml:space="preserve">→</w:t>
            </w:r>
          </w:p>
        </w:tc>
        <w:tc>
          <w:tcPr>
            <w:tcW w:type="dxa" w:w="2230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fill="F8FAFC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3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3"/>
                <w:szCs w:val="13"/>
              </w:rPr>
              <w:t xml:space="preserve">TÉCNICO</w:t>
            </w:r>
          </w:p>
          <w:p>
            <w:pPr>
              <w:spacing w:after="20" w:line="240"/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Informe 08.2.2</w:t>
            </w:r>
          </w:p>
          <w:p>
            <w:pPr>
              <w:spacing w:after="0" w:line="230"/>
              <w:jc w:val="left"/>
            </w:pPr>
            <w:r>
              <w:rPr>
                <w:color w:val="64748B"/>
                <w:sz w:val="14"/>
                <w:szCs w:val="14"/>
              </w:rPr>
              <w:t xml:space="preserve">Cómo se construye, en detalle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"/>
              <w:bottom w:type="dxa" w:w="80"/>
              <w:right w:type="dxa" w:w="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26"/>
                <w:szCs w:val="26"/>
              </w:rPr>
              <w:t xml:space="preserve">→</w:t>
            </w:r>
          </w:p>
        </w:tc>
        <w:tc>
          <w:tcPr>
            <w:tcW w:type="dxa" w:w="2230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fill="F8FAFC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3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3"/>
                <w:szCs w:val="13"/>
              </w:rPr>
              <w:t xml:space="preserve">COSTOS</w:t>
            </w:r>
          </w:p>
          <w:p>
            <w:pPr>
              <w:spacing w:after="20" w:line="240"/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Informe 08.2.3</w:t>
            </w:r>
          </w:p>
          <w:p>
            <w:pPr>
              <w:spacing w:after="0" w:line="230"/>
              <w:jc w:val="left"/>
            </w:pPr>
            <w:r>
              <w:rPr>
                <w:color w:val="64748B"/>
                <w:sz w:val="14"/>
                <w:szCs w:val="14"/>
              </w:rPr>
              <w:t xml:space="preserve">Cuánto cuesta cada propuesta</w:t>
            </w:r>
          </w:p>
        </w:tc>
      </w:tr>
    </w:tbl>
    <w:p>
      <w:pPr>
        <w:spacing w:after="200" w:before="80"/>
      </w:pPr>
      <w:r>
        <w:rPr>
          <w:rFonts w:ascii="Consolas" w:cs="Consolas" w:eastAsia="Consolas" w:hAnsi="Consolas"/>
          <w:b/>
          <w:bCs/>
          <w:color w:val="0D9488"/>
          <w:sz w:val="15"/>
          <w:szCs w:val="15"/>
        </w:rPr>
        <w:t xml:space="preserve">FIG. 1  </w:t>
      </w:r>
      <w:r>
        <w:rPr>
          <w:rFonts w:ascii="Calibri" w:cs="Calibri" w:eastAsia="Calibri" w:hAnsi="Calibri"/>
          <w:color w:val="64748B"/>
          <w:sz w:val="16"/>
          <w:szCs w:val="16"/>
        </w:rPr>
        <w:t xml:space="preserve">Este informe es la puerta de entrada; los otros tres profundizan.</w:t>
      </w:r>
    </w:p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DOCUMENTO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índice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Índice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00"/>
        <w:gridCol w:w="874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0D9488"/>
                <w:sz w:val="24"/>
                <w:szCs w:val="24"/>
              </w:rPr>
              <w:t xml:space="preserve">01</w:t>
            </w:r>
          </w:p>
        </w:tc>
        <w:tc>
          <w:tcPr>
            <w:tcW w:type="dxa" w:w="8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1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 una página</w:t>
            </w:r>
          </w:p>
          <w:p>
            <w:r>
              <w:rPr>
                <w:color w:val="64748B"/>
                <w:sz w:val="17"/>
                <w:szCs w:val="17"/>
              </w:rPr>
              <w:t xml:space="preserve">Qué es el camino API y qué se pide decidir.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0D9488"/>
                <w:sz w:val="24"/>
                <w:szCs w:val="24"/>
              </w:rPr>
              <w:t xml:space="preserve">02</w:t>
            </w:r>
          </w:p>
        </w:tc>
        <w:tc>
          <w:tcPr>
            <w:tcW w:type="dxa" w:w="8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1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Qué es, en palabras simples</w:t>
            </w:r>
          </w:p>
          <w:p>
            <w:r>
              <w:rPr>
                <w:color w:val="64748B"/>
                <w:sz w:val="17"/>
                <w:szCs w:val="17"/>
              </w:rPr>
              <w:t xml:space="preserve">Hablar con el sistema por dentro, con una comparación.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0D9488"/>
                <w:sz w:val="24"/>
                <w:szCs w:val="24"/>
              </w:rPr>
              <w:t xml:space="preserve">03</w:t>
            </w:r>
          </w:p>
        </w:tc>
        <w:tc>
          <w:tcPr>
            <w:tcW w:type="dxa" w:w="8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1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Cómo funciona paso a paso</w:t>
            </w:r>
          </w:p>
          <w:p>
            <w:r>
              <w:rPr>
                <w:color w:val="64748B"/>
                <w:sz w:val="17"/>
                <w:szCs w:val="17"/>
              </w:rPr>
              <w:t xml:space="preserve">El recorrido de una licencia, de principio a fin.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0D9488"/>
                <w:sz w:val="24"/>
                <w:szCs w:val="24"/>
              </w:rPr>
              <w:t xml:space="preserve">04</w:t>
            </w:r>
          </w:p>
        </w:tc>
        <w:tc>
          <w:tcPr>
            <w:tcW w:type="dxa" w:w="8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1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Las tres propuestas</w:t>
            </w:r>
          </w:p>
          <w:p>
            <w:r>
              <w:rPr>
                <w:color w:val="64748B"/>
                <w:sz w:val="17"/>
                <w:szCs w:val="17"/>
              </w:rPr>
              <w:t xml:space="preserve">Costo cero, óptima y avanzada, sin montos.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0D9488"/>
                <w:sz w:val="24"/>
                <w:szCs w:val="24"/>
              </w:rPr>
              <w:t xml:space="preserve">05</w:t>
            </w:r>
          </w:p>
        </w:tc>
        <w:tc>
          <w:tcPr>
            <w:tcW w:type="dxa" w:w="8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1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El marco legal en una página</w:t>
            </w:r>
          </w:p>
          <w:p>
            <w:r>
              <w:rPr>
                <w:color w:val="64748B"/>
                <w:sz w:val="17"/>
                <w:szCs w:val="17"/>
              </w:rPr>
              <w:t xml:space="preserve">Qué exige la ley a este camino; el detalle está en el Informe 08.2.1.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0D9488"/>
                <w:sz w:val="24"/>
                <w:szCs w:val="24"/>
              </w:rPr>
              <w:t xml:space="preserve">06</w:t>
            </w:r>
          </w:p>
        </w:tc>
        <w:tc>
          <w:tcPr>
            <w:tcW w:type="dxa" w:w="8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1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Ventajas y límites</w:t>
            </w:r>
          </w:p>
          <w:p>
            <w:r>
              <w:rPr>
                <w:color w:val="64748B"/>
                <w:sz w:val="17"/>
                <w:szCs w:val="17"/>
              </w:rPr>
              <w:t xml:space="preserve">Para qué es bueno y para qué no.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0D9488"/>
                <w:sz w:val="24"/>
                <w:szCs w:val="24"/>
              </w:rPr>
              <w:t xml:space="preserve">07</w:t>
            </w:r>
          </w:p>
        </w:tc>
        <w:tc>
          <w:tcPr>
            <w:tcW w:type="dxa" w:w="8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1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Cuándo estaría listo</w:t>
            </w:r>
          </w:p>
          <w:p>
            <w:r>
              <w:rPr>
                <w:color w:val="64748B"/>
                <w:sz w:val="17"/>
                <w:szCs w:val="17"/>
              </w:rPr>
              <w:t xml:space="preserve">Carta Gantt general del camino.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0D9488"/>
                <w:sz w:val="24"/>
                <w:szCs w:val="24"/>
              </w:rPr>
              <w:t xml:space="preserve">08</w:t>
            </w:r>
          </w:p>
        </w:tc>
        <w:tc>
          <w:tcPr>
            <w:tcW w:type="dxa" w:w="8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1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Conclusión y decisión</w:t>
            </w:r>
          </w:p>
          <w:p>
            <w:r>
              <w:rPr>
                <w:color w:val="64748B"/>
                <w:sz w:val="17"/>
                <w:szCs w:val="17"/>
              </w:rPr>
              <w:t xml:space="preserve">Qué recomendamos y qué se aprueba.</w:t>
            </w:r>
          </w:p>
        </w:tc>
      </w:tr>
    </w:tbl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SECCIÓN 01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resumen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En una página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3"/>
        <w:gridCol w:w="3213"/>
        <w:gridCol w:w="3214"/>
      </w:tblGrid>
      <w:tr>
        <w:trPr>
          <w:cantSplit/>
        </w:trPr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POR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Cada SLEP debe completar y enviar su parte de cada licencia en 3 días hábiles; hoy es trabajo manual, de mucho volumen y con riesgo de perder la recuperación del subsidio.</w:t>
            </w:r>
          </w:p>
        </w:tc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PARA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Explicar a la jefatura, sin tecnicismos ni montos, el camino API para automatizarlo, y dar lo necesario para compararlo con los otros tres caminos.</w:t>
            </w:r>
          </w:p>
        </w:tc>
        <w:tc>
          <w:tcPr>
            <w:tcW w:type="dxa" w:w="3214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CÓMO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El sistema conversa directamente con el sistema de FONASA, siempre dentro de la sesión que abre el encargado y con su confirmación; se presentan tres propuestas y los plazos; lo legal, lo que hay que verificar y los riesgos están en el Informe 08.2.1.</w:t>
            </w:r>
          </w:p>
        </w:tc>
      </w:tr>
    </w:tbl>
    <w:p>
      <w:pPr>
        <w:spacing w:after="140" w:before="0" w:line="120"/>
      </w:pP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El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camino API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 hace lo mismo que el robot (camino RPA), pero por un camino más directo: en lugar de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rellenar la pantalla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 del portal como lo haría una persona, el sistema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conversa con el sistema de FONASA por dentro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, usando la misma vía que usa el portal cuando el encargado lo opera. Siempre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dentro de la sesión que abre el encargado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 con su ClaveÚnica, y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deteniéndose para que él confirme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 cada envío.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2410"/>
            <w:tcBorders>
              <w:top w:val="single" w:color="0F172A" w:sz="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8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40"/>
                <w:szCs w:val="40"/>
              </w:rPr>
              <w:t xml:space="preserve">3</w:t>
            </w:r>
          </w:p>
          <w:p>
            <w:pPr>
              <w:spacing w:after="0" w:line="240"/>
            </w:pPr>
            <w:r>
              <w:rPr>
                <w:color w:val="64748B"/>
                <w:sz w:val="16"/>
                <w:szCs w:val="16"/>
              </w:rPr>
              <w:t xml:space="preserve">días hábiles para enviar cada licencia</w:t>
            </w:r>
          </w:p>
        </w:tc>
        <w:tc>
          <w:tcPr>
            <w:tcW w:type="dxa" w:w="2410"/>
            <w:tcBorders>
              <w:top w:val="single" w:color="0F172A" w:sz="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8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40"/>
                <w:szCs w:val="40"/>
              </w:rPr>
              <w:t xml:space="preserve">≈ 1.000</w:t>
            </w:r>
          </w:p>
          <w:p>
            <w:pPr>
              <w:spacing w:after="0" w:line="240"/>
            </w:pPr>
            <w:r>
              <w:rPr>
                <w:color w:val="64748B"/>
                <w:sz w:val="16"/>
                <w:szCs w:val="16"/>
              </w:rPr>
              <w:t xml:space="preserve">licencias al mes en un SLEP mediano</w:t>
            </w:r>
          </w:p>
        </w:tc>
        <w:tc>
          <w:tcPr>
            <w:tcW w:type="dxa" w:w="2410"/>
            <w:tcBorders>
              <w:top w:val="single" w:color="0F172A" w:sz="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8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40"/>
                <w:szCs w:val="40"/>
              </w:rPr>
              <w:t xml:space="preserve">3</w:t>
            </w:r>
          </w:p>
          <w:p>
            <w:pPr>
              <w:spacing w:after="0" w:line="240"/>
            </w:pPr>
            <w:r>
              <w:rPr>
                <w:color w:val="64748B"/>
                <w:sz w:val="16"/>
                <w:szCs w:val="16"/>
              </w:rPr>
              <w:t xml:space="preserve">propuestas: costo cero, óptima y avanzada</w:t>
            </w:r>
          </w:p>
        </w:tc>
        <w:tc>
          <w:tcPr>
            <w:tcW w:type="dxa" w:w="2410"/>
            <w:tcBorders>
              <w:top w:val="single" w:color="0F172A" w:sz="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8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40"/>
                <w:szCs w:val="40"/>
              </w:rPr>
              <w:t xml:space="preserve">1</w:t>
            </w:r>
          </w:p>
          <w:p>
            <w:pPr>
              <w:spacing w:after="0" w:line="240"/>
            </w:pPr>
            <w:r>
              <w:rPr>
                <w:color w:val="64748B"/>
                <w:sz w:val="16"/>
                <w:szCs w:val="16"/>
              </w:rPr>
              <w:t xml:space="preserve">persona confirma cada envío</w:t>
            </w:r>
          </w:p>
        </w:tc>
      </w:tr>
    </w:tbl>
    <w:p>
      <w:pPr>
        <w:spacing w:after="160" w:before="0" w:line="120"/>
      </w:pP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40"/>
      </w:tblGrid>
      <w:tr>
        <w:trPr>
          <w:cantSplit/>
        </w:trPr>
        <w:tc>
          <w:tcPr>
            <w:tcW w:type="dxa" w:w="9640"/>
            <w:tcBorders>
              <w:top w:val="none" w:color="FFFFFF" w:sz="0"/>
              <w:left w:val="single" w:color="0D9488" w:sz="24"/>
              <w:bottom w:val="none" w:color="FFFFFF" w:sz="0"/>
              <w:right w:val="none" w:color="FFFFFF" w:sz="0"/>
            </w:tcBorders>
            <w:shd w:fill="F0FDFA" w:color="auto" w:val="clear"/>
            <w:tcMar>
              <w:top w:type="dxa" w:w="110"/>
              <w:left w:type="dxa" w:w="220"/>
              <w:bottom w:type="dxa" w:w="11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LO DECISIVO DE ESTE CAMINO</w:t>
            </w:r>
          </w:p>
          <w:p>
            <w:pPr>
              <w:spacing w:after="50" w:line="260"/>
            </w:pPr>
            <w:r>
              <w:rPr>
                <w:color w:val="334155"/>
                <w:sz w:val="19"/>
                <w:szCs w:val="19"/>
              </w:rPr>
              <w:t xml:space="preserve">El camino API es el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más eficiente y estable</w:t>
            </w:r>
            <w:r>
              <w:rPr>
                <w:color w:val="334155"/>
                <w:sz w:val="19"/>
                <w:szCs w:val="19"/>
              </w:rPr>
              <w:t xml:space="preserve">, pero su viabilidad depende por completo de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dos respuestas de FONASA</w:t>
            </w:r>
            <w:r>
              <w:rPr>
                <w:color w:val="334155"/>
                <w:sz w:val="19"/>
                <w:szCs w:val="19"/>
              </w:rPr>
              <w:t xml:space="preserve">: que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autorice</w:t>
            </w:r>
            <w:r>
              <w:rPr>
                <w:color w:val="334155"/>
                <w:sz w:val="19"/>
                <w:szCs w:val="19"/>
              </w:rPr>
              <w:t xml:space="preserve"> este tipo de conexión y que la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verificación técnica</w:t>
            </w:r>
            <w:r>
              <w:rPr>
                <w:color w:val="334155"/>
                <w:sz w:val="19"/>
                <w:szCs w:val="19"/>
              </w:rPr>
              <w:t xml:space="preserve"> (sección 04 del Informe 08.2.1) resulte favorable. Por eso aquí el "qué hay que verificar" no es un detalle: es la condición para que el camino exista. Este informe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no trae montos</w:t>
            </w:r>
            <w:r>
              <w:rPr>
                <w:color w:val="334155"/>
                <w:sz w:val="19"/>
                <w:szCs w:val="19"/>
              </w:rPr>
              <w:t xml:space="preserve">: están en el Informe 08.2.3.</w:t>
            </w:r>
          </w:p>
        </w:tc>
      </w:tr>
    </w:tbl>
    <w:p>
      <w:pPr>
        <w:spacing w:after="140" w:before="0" w:line="120"/>
      </w:pPr>
    </w:p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SECCIÓN 02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la idea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Qué es, en palabras simples</w:t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Cuando el encargado usa el portal de FONASA, pasa algo que no se ve: el computador del encargado y el sistema de FONASA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se mandan mensajes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 todo el tiempo. Al abrir la bandeja, el portal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pide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 la lista de licencias; al guardar un paso,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envía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 los datos. La pantalla es solo la cara visible de esa conversación.</w:t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El camino API aprovecha esa conversación: en vez de que el sistema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imite a una persona tecleando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 en la pantalla (eso es el camino RPA),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participa de la conversación directamente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, pidiendo la lista y enviando los datos por la misma vía que el portal, pero siempre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dentro de la sesión que el encargado abrió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 y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con su confirmación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. Es como la diferencia entre dictarle a alguien que escriba una carta y entregarle el texto ya listo: el resultado es el mismo, pero el segundo es más rápido y tiene menos errores.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0F766E"/>
          <w:sz w:val="22"/>
          <w:szCs w:val="22"/>
        </w:rPr>
        <w:t xml:space="preserve">Lo que el sistema sí hace y lo que nunca hace</w:t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Igual que en el camino RPA, conviene separar lo que el sistema automatiza de lo que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siempre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 queda en manos de una persona.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670"/>
        <w:gridCol w:w="300"/>
        <w:gridCol w:w="4670"/>
      </w:tblGrid>
      <w:tr>
        <w:trPr>
          <w:cantSplit/>
        </w:trPr>
        <w:tc>
          <w:tcPr>
            <w:tcW w:type="dxa" w:w="4670"/>
            <w:tcBorders>
              <w:top w:val="single" w:color="0D9488" w:sz="12"/>
              <w:left w:val="single" w:color="0D9488" w:sz="12"/>
              <w:bottom w:val="single" w:color="0D9488" w:sz="12"/>
              <w:right w:val="single" w:color="0D9488" w:sz="12"/>
            </w:tcBorders>
            <w:shd w:fill="F0FD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3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3"/>
                <w:szCs w:val="13"/>
              </w:rPr>
              <w:t xml:space="preserve">AYUDA</w:t>
            </w:r>
          </w:p>
          <w:p>
            <w:pPr>
              <w:spacing w:after="20" w:line="240"/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El sistema SÍ</w:t>
            </w:r>
          </w:p>
          <w:p>
            <w:pPr>
              <w:spacing w:after="0" w:line="230"/>
              <w:jc w:val="left"/>
            </w:pPr>
            <w:r>
              <w:rPr>
                <w:color w:val="64748B"/>
                <w:sz w:val="14"/>
                <w:szCs w:val="14"/>
              </w:rPr>
              <w:t xml:space="preserve">Pide la lista de licencias · prepara los datos de cada una · los envía cuando la persona confirma · guarda el comprobante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10"/>
              <w:bottom w:type="dxa" w:w="3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4670"/>
            <w:tcBorders>
              <w:top w:val="single" w:color="B91C1C" w:sz="6"/>
              <w:left w:val="single" w:color="B91C1C" w:sz="6"/>
              <w:bottom w:val="single" w:color="B91C1C" w:sz="6"/>
              <w:right w:val="single" w:color="B91C1C" w:sz="6"/>
            </w:tcBorders>
            <w:shd w:fill="FEF2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3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3"/>
                <w:szCs w:val="13"/>
              </w:rPr>
              <w:t xml:space="preserve">PROHIBIDO</w:t>
            </w:r>
          </w:p>
          <w:p>
            <w:pPr>
              <w:spacing w:after="20" w:line="240"/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El sistema NUNCA</w:t>
            </w:r>
          </w:p>
          <w:p>
            <w:pPr>
              <w:spacing w:after="0" w:line="230"/>
              <w:jc w:val="left"/>
            </w:pPr>
            <w:r>
              <w:rPr>
                <w:color w:val="64748B"/>
                <w:sz w:val="14"/>
                <w:szCs w:val="14"/>
              </w:rPr>
              <w:t xml:space="preserve">Abre sesión solo · guarda la ClaveÚnica · esquiva candados de seguridad del portal · ve el diagnóstico médico · envía sin que una persona confirme</w:t>
            </w:r>
          </w:p>
        </w:tc>
      </w:tr>
    </w:tbl>
    <w:p>
      <w:pPr>
        <w:spacing w:after="200" w:before="80"/>
      </w:pPr>
      <w:r>
        <w:rPr>
          <w:rFonts w:ascii="Consolas" w:cs="Consolas" w:eastAsia="Consolas" w:hAnsi="Consolas"/>
          <w:b/>
          <w:bCs/>
          <w:color w:val="0D9488"/>
          <w:sz w:val="15"/>
          <w:szCs w:val="15"/>
        </w:rPr>
        <w:t xml:space="preserve">FIG. 2  </w:t>
      </w:r>
      <w:r>
        <w:rPr>
          <w:rFonts w:ascii="Calibri" w:cs="Calibri" w:eastAsia="Calibri" w:hAnsi="Calibri"/>
          <w:color w:val="64748B"/>
          <w:sz w:val="16"/>
          <w:szCs w:val="16"/>
        </w:rPr>
        <w:t xml:space="preserve">El sistema participa de la conversación, pero la persona la inicia y la aprueba.</w:t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Como en los cuatro caminos, el sistema se apoya en una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inteligencia artificial que funciona dentro de la DEP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 (no en internet) para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ordenar y clasificar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 los casos. Esa IA tampoco decide ni envía: solo ordena y sugiere.</w:t>
      </w:r>
    </w:p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SECCIÓN 03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el recorrido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Cómo funciona paso a paso</w:t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El recorrido de una licencia es casi igual al del camino RPA; la diferencia está en que los pasos 2, 4 y 6 ocurren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por la conversación directa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 con el sistema de FONASA, no sobre la pantalla. La persona sigue abriendo la sesión (paso 1) y confirmando (paso 5).</w:t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18"/>
          <w:szCs w:val="18"/>
        </w:rPr>
        <w:t xml:space="preserve">Los recuadros con borde verde son tareas automáticas; los de borde oscuro, tareas del encargado.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50"/>
        <w:gridCol w:w="230"/>
        <w:gridCol w:w="1750"/>
        <w:gridCol w:w="230"/>
        <w:gridCol w:w="1750"/>
        <w:gridCol w:w="230"/>
        <w:gridCol w:w="1750"/>
        <w:gridCol w:w="230"/>
        <w:gridCol w:w="1720"/>
      </w:tblGrid>
      <w:tr>
        <w:trPr>
          <w:cantSplit/>
        </w:trPr>
        <w:tc>
          <w:tcPr>
            <w:tcW w:type="dxa" w:w="1750"/>
            <w:tcBorders>
              <w:top w:val="single" w:color="0F172A" w:sz="12"/>
              <w:left w:val="single" w:color="0F172A" w:sz="12"/>
              <w:bottom w:val="single" w:color="0F172A" w:sz="12"/>
              <w:right w:val="single" w:color="0F172A" w:sz="12"/>
            </w:tcBorders>
            <w:shd w:fill="F8FAFC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3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3"/>
                <w:szCs w:val="13"/>
              </w:rPr>
              <w:t xml:space="preserve">ENCARGADO</w:t>
            </w:r>
          </w:p>
          <w:p>
            <w:pPr>
              <w:spacing w:after="20" w:line="240"/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1 · Persona</w:t>
            </w:r>
          </w:p>
          <w:p>
            <w:pPr>
              <w:spacing w:after="0" w:line="230"/>
              <w:jc w:val="left"/>
            </w:pPr>
            <w:r>
              <w:rPr>
                <w:color w:val="64748B"/>
                <w:sz w:val="14"/>
                <w:szCs w:val="14"/>
              </w:rPr>
              <w:t xml:space="preserve">El encargado entra al portal de FONASA con su ClaveÚnica, como siempre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"/>
              <w:bottom w:type="dxa" w:w="80"/>
              <w:right w:type="dxa" w:w="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26"/>
                <w:szCs w:val="26"/>
              </w:rPr>
              <w:t xml:space="preserve">→</w:t>
            </w:r>
          </w:p>
        </w:tc>
        <w:tc>
          <w:tcPr>
            <w:tcW w:type="dxa" w:w="1750"/>
            <w:tcBorders>
              <w:top w:val="single" w:color="0D9488" w:sz="6"/>
              <w:left w:val="single" w:color="0D9488" w:sz="6"/>
              <w:bottom w:val="single" w:color="0D9488" w:sz="6"/>
              <w:right w:val="single" w:color="0D9488" w:sz="6"/>
            </w:tcBorders>
            <w:shd w:fill="F0FD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3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3"/>
                <w:szCs w:val="13"/>
              </w:rPr>
              <w:t xml:space="preserve">SISTEMA</w:t>
            </w:r>
          </w:p>
          <w:p>
            <w:pPr>
              <w:spacing w:after="20" w:line="240"/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2 · Sistema</w:t>
            </w:r>
          </w:p>
          <w:p>
            <w:pPr>
              <w:spacing w:after="0" w:line="230"/>
              <w:jc w:val="left"/>
            </w:pPr>
            <w:r>
              <w:rPr>
                <w:color w:val="64748B"/>
                <w:sz w:val="14"/>
                <w:szCs w:val="14"/>
              </w:rPr>
              <w:t xml:space="preserve">Pide al sistema de FONASA la lista de licencias pendientes y las ordena por vencimiento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"/>
              <w:bottom w:type="dxa" w:w="80"/>
              <w:right w:type="dxa" w:w="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26"/>
                <w:szCs w:val="26"/>
              </w:rPr>
              <w:t xml:space="preserve">→</w:t>
            </w:r>
          </w:p>
        </w:tc>
        <w:tc>
          <w:tcPr>
            <w:tcW w:type="dxa" w:w="1750"/>
            <w:tcBorders>
              <w:top w:val="single" w:color="0D9488" w:sz="6"/>
              <w:left w:val="single" w:color="0D9488" w:sz="6"/>
              <w:bottom w:val="single" w:color="0D9488" w:sz="6"/>
              <w:right w:val="single" w:color="0D9488" w:sz="6"/>
            </w:tcBorders>
            <w:shd w:fill="F0FD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3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3"/>
                <w:szCs w:val="13"/>
              </w:rPr>
              <w:t xml:space="preserve">SISTEMA</w:t>
            </w:r>
          </w:p>
          <w:p>
            <w:pPr>
              <w:spacing w:after="20" w:line="240"/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3 · Sistema + IA</w:t>
            </w:r>
          </w:p>
          <w:p>
            <w:pPr>
              <w:spacing w:after="0" w:line="230"/>
              <w:jc w:val="left"/>
            </w:pPr>
            <w:r>
              <w:rPr>
                <w:color w:val="64748B"/>
                <w:sz w:val="14"/>
                <w:szCs w:val="14"/>
              </w:rPr>
              <w:t xml:space="preserve">Busca las remuneraciones del SLEP y prepara los datos; la IA marca los casos urgentes o raros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"/>
              <w:bottom w:type="dxa" w:w="80"/>
              <w:right w:type="dxa" w:w="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26"/>
                <w:szCs w:val="26"/>
              </w:rPr>
              <w:t xml:space="preserve">→</w:t>
            </w:r>
          </w:p>
        </w:tc>
        <w:tc>
          <w:tcPr>
            <w:tcW w:type="dxa" w:w="1750"/>
            <w:tcBorders>
              <w:top w:val="single" w:color="0D9488" w:sz="6"/>
              <w:left w:val="single" w:color="0D9488" w:sz="6"/>
              <w:bottom w:val="single" w:color="0D9488" w:sz="6"/>
              <w:right w:val="single" w:color="0D9488" w:sz="6"/>
            </w:tcBorders>
            <w:shd w:fill="F0FD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3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3"/>
                <w:szCs w:val="13"/>
              </w:rPr>
              <w:t xml:space="preserve">SISTEMA</w:t>
            </w:r>
          </w:p>
          <w:p>
            <w:pPr>
              <w:spacing w:after="20" w:line="240"/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4 · Sistema</w:t>
            </w:r>
          </w:p>
          <w:p>
            <w:pPr>
              <w:spacing w:after="0" w:line="230"/>
              <w:jc w:val="left"/>
            </w:pPr>
            <w:r>
              <w:rPr>
                <w:color w:val="64748B"/>
                <w:sz w:val="14"/>
                <w:szCs w:val="14"/>
              </w:rPr>
              <w:t xml:space="preserve">Deja los datos de cada licencia listos para enviar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"/>
              <w:bottom w:type="dxa" w:w="80"/>
              <w:right w:type="dxa" w:w="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26"/>
                <w:szCs w:val="26"/>
              </w:rPr>
              <w:t xml:space="preserve">→</w:t>
            </w:r>
          </w:p>
        </w:tc>
        <w:tc>
          <w:tcPr>
            <w:tcW w:type="dxa" w:w="1720"/>
            <w:tcBorders>
              <w:top w:val="single" w:color="0F172A" w:sz="12"/>
              <w:left w:val="single" w:color="0F172A" w:sz="12"/>
              <w:bottom w:val="single" w:color="0F172A" w:sz="12"/>
              <w:right w:val="single" w:color="0F172A" w:sz="12"/>
            </w:tcBorders>
            <w:shd w:fill="F8FAFC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3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3"/>
                <w:szCs w:val="13"/>
              </w:rPr>
              <w:t xml:space="preserve">ENCARGADO</w:t>
            </w:r>
          </w:p>
          <w:p>
            <w:pPr>
              <w:spacing w:after="20" w:line="240"/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5 · Persona</w:t>
            </w:r>
          </w:p>
          <w:p>
            <w:pPr>
              <w:spacing w:after="0" w:line="230"/>
              <w:jc w:val="left"/>
            </w:pPr>
            <w:r>
              <w:rPr>
                <w:color w:val="64748B"/>
                <w:sz w:val="14"/>
                <w:szCs w:val="14"/>
              </w:rPr>
              <w:t xml:space="preserve">Revisa el resumen y confirma, corrige u omite</w:t>
            </w:r>
          </w:p>
        </w:tc>
      </w:tr>
    </w:tbl>
    <w:p>
      <w:pPr>
        <w:spacing w:after="200" w:before="80"/>
      </w:pPr>
      <w:r>
        <w:rPr>
          <w:rFonts w:ascii="Consolas" w:cs="Consolas" w:eastAsia="Consolas" w:hAnsi="Consolas"/>
          <w:b/>
          <w:bCs/>
          <w:color w:val="0D9488"/>
          <w:sz w:val="15"/>
          <w:szCs w:val="15"/>
        </w:rPr>
        <w:t xml:space="preserve">FIG. 3  </w:t>
      </w:r>
      <w:r>
        <w:rPr>
          <w:rFonts w:ascii="Calibri" w:cs="Calibri" w:eastAsia="Calibri" w:hAnsi="Calibri"/>
          <w:color w:val="64748B"/>
          <w:sz w:val="16"/>
          <w:szCs w:val="16"/>
        </w:rPr>
        <w:t xml:space="preserve">Los pasos 2 a 5 se repiten por cada licencia; el paso 6 cierra el envío.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00"/>
        <w:gridCol w:w="6740"/>
      </w:tblGrid>
      <w:tr>
        <w:trPr>
          <w:cantSplit/>
        </w:trPr>
        <w:tc>
          <w:tcPr>
            <w:tcW w:type="dxa" w:w="2600"/>
            <w:tcBorders>
              <w:top w:val="single" w:color="0D9488" w:sz="6"/>
              <w:left w:val="single" w:color="0D9488" w:sz="6"/>
              <w:bottom w:val="single" w:color="0D9488" w:sz="6"/>
              <w:right w:val="single" w:color="0D9488" w:sz="6"/>
            </w:tcBorders>
            <w:shd w:fill="F0FD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3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3"/>
                <w:szCs w:val="13"/>
              </w:rPr>
              <w:t xml:space="preserve">SISTEMA</w:t>
            </w:r>
          </w:p>
          <w:p>
            <w:pPr>
              <w:spacing w:after="20" w:line="240"/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6 · Sistema</w:t>
            </w:r>
          </w:p>
          <w:p>
            <w:pPr>
              <w:spacing w:after="0" w:line="230"/>
              <w:jc w:val="left"/>
            </w:pPr>
            <w:r>
              <w:rPr>
                <w:color w:val="64748B"/>
                <w:sz w:val="14"/>
                <w:szCs w:val="14"/>
              </w:rPr>
              <w:t xml:space="preserve">Envía los datos al sistema de FONASA, recibe el comprobante y registra todo en GDP-SLEP Studio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10"/>
              <w:bottom w:type="dxa" w:w="3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6740"/>
            <w:tcBorders>
              <w:top w:val="single" w:color="0F172A" w:sz="6"/>
              <w:left w:val="single" w:color="0F172A" w:sz="6"/>
              <w:bottom w:val="single" w:color="0F172A" w:sz="6"/>
              <w:right w:val="single" w:color="0F172A" w:sz="6"/>
            </w:tcBorders>
            <w:shd w:fill="F8FAFC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3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3"/>
                <w:szCs w:val="13"/>
              </w:rPr>
              <w:t xml:space="preserve">CIERRE</w:t>
            </w:r>
          </w:p>
          <w:p>
            <w:pPr>
              <w:spacing w:after="20" w:line="240"/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Resultado</w:t>
            </w:r>
          </w:p>
          <w:p>
            <w:pPr>
              <w:spacing w:after="0" w:line="230"/>
              <w:jc w:val="left"/>
            </w:pPr>
            <w:r>
              <w:rPr>
                <w:color w:val="64748B"/>
                <w:sz w:val="14"/>
                <w:szCs w:val="14"/>
              </w:rPr>
              <w:t xml:space="preserve">La licencia queda tramitada a tiempo; queda registro de quién confirmó y cuándo, sin datos médicos</w:t>
            </w:r>
          </w:p>
        </w:tc>
      </w:tr>
    </w:tbl>
    <w:p>
      <w:pPr>
        <w:spacing w:after="200" w:before="80"/>
      </w:pPr>
      <w:r>
        <w:rPr>
          <w:rFonts w:ascii="Consolas" w:cs="Consolas" w:eastAsia="Consolas" w:hAnsi="Consolas"/>
          <w:b/>
          <w:bCs/>
          <w:color w:val="0D9488"/>
          <w:sz w:val="15"/>
          <w:szCs w:val="15"/>
        </w:rPr>
        <w:t xml:space="preserve">FIG. 4  </w:t>
      </w:r>
      <w:r>
        <w:rPr>
          <w:rFonts w:ascii="Calibri" w:cs="Calibri" w:eastAsia="Calibri" w:hAnsi="Calibri"/>
          <w:color w:val="64748B"/>
          <w:sz w:val="16"/>
          <w:szCs w:val="16"/>
        </w:rPr>
        <w:t xml:space="preserve">Todo queda guardado para seguimiento y para la DEP.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40"/>
      </w:tblGrid>
      <w:tr>
        <w:trPr>
          <w:cantSplit/>
        </w:trPr>
        <w:tc>
          <w:tcPr>
            <w:tcW w:type="dxa" w:w="9640"/>
            <w:tcBorders>
              <w:top w:val="none" w:color="FFFFFF" w:sz="0"/>
              <w:left w:val="single" w:color="0D9488" w:sz="24"/>
              <w:bottom w:val="none" w:color="FFFFFF" w:sz="0"/>
              <w:right w:val="none" w:color="FFFFFF" w:sz="0"/>
            </w:tcBorders>
            <w:shd w:fill="F0FDFA" w:color="auto" w:val="clear"/>
            <w:tcMar>
              <w:top w:type="dxa" w:w="110"/>
              <w:left w:type="dxa" w:w="220"/>
              <w:bottom w:type="dxa" w:w="11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LO IMPORTANTE DE ESTE RECORRIDO</w:t>
            </w:r>
          </w:p>
          <w:p>
            <w:pPr>
              <w:spacing w:after="50" w:line="260"/>
            </w:pPr>
            <w:r>
              <w:rPr>
                <w:color w:val="334155"/>
                <w:sz w:val="19"/>
                <w:szCs w:val="19"/>
              </w:rPr>
              <w:t xml:space="preserve">Igual que el robot, el sistema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empieza después</w:t>
            </w:r>
            <w:r>
              <w:rPr>
                <w:color w:val="334155"/>
                <w:sz w:val="19"/>
                <w:szCs w:val="19"/>
              </w:rPr>
              <w:t xml:space="preserve"> de que la persona entró y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se detiene antes</w:t>
            </w:r>
            <w:r>
              <w:rPr>
                <w:color w:val="334155"/>
                <w:sz w:val="19"/>
                <w:szCs w:val="19"/>
              </w:rPr>
              <w:t xml:space="preserve"> de enviar. La persona abre la sesión y da el visto bueno; el sistema hace la conversación pesada en el medio. La diferencia es que es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más rápido y menos frágil</w:t>
            </w:r>
            <w:r>
              <w:rPr>
                <w:color w:val="334155"/>
                <w:sz w:val="19"/>
                <w:szCs w:val="19"/>
              </w:rPr>
              <w:t xml:space="preserve">, porque no depende de cómo se vea la pantalla.</w:t>
            </w:r>
          </w:p>
        </w:tc>
      </w:tr>
    </w:tbl>
    <w:p>
      <w:pPr>
        <w:spacing w:after="140" w:before="0" w:line="120"/>
      </w:pPr>
    </w:p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SECCIÓN 04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propuestas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Las tres propuestas</w:t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Las tres propuestas del camino API usan la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misma conexión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 con FONASA y hacen lo mismo para el encargado. La diferencia está en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qué equipo usa la inteligencia artificial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 y en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cuánto respaldo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 tiene el sistema:</w:t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En las propuestas óptima y avanzada se suma además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Claude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, la IA en la nube que ya usa la institución, para el trabajo del equipo que no involucra datos personales: normativa, redacción y apoyo al desarrollo. Los datos de las licencias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nunca salen hacia ella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: los sigue trabajando la IA local.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0F172A"/>
          <w:sz w:val="18"/>
          <w:szCs w:val="18"/>
        </w:rPr>
        <w:t xml:space="preserve">Costo cero:</w:t>
      </w:r>
      <w:r>
        <w:rPr>
          <w:color w:val="334155"/>
          <w:sz w:val="18"/>
          <w:szCs w:val="18"/>
        </w:rPr>
        <w:t xml:space="preserve"> la IA funciona en el servidor que la DEP ya tiene. No requiere comprar nada.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0F172A"/>
          <w:sz w:val="18"/>
          <w:szCs w:val="18"/>
        </w:rPr>
        <w:t xml:space="preserve">Óptima:</w:t>
      </w:r>
      <w:r>
        <w:rPr>
          <w:color w:val="334155"/>
          <w:sz w:val="18"/>
          <w:szCs w:val="18"/>
        </w:rPr>
        <w:t xml:space="preserve"> agrega un equipo modesto para que la IA responda más rápido en los 36 SLEP.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0F172A"/>
          <w:sz w:val="18"/>
          <w:szCs w:val="18"/>
        </w:rPr>
        <w:t xml:space="preserve">Avanzada:</w:t>
      </w:r>
      <w:r>
        <w:rPr>
          <w:color w:val="334155"/>
          <w:sz w:val="18"/>
          <w:szCs w:val="18"/>
        </w:rPr>
        <w:t xml:space="preserve"> usa un equipo de IA potente, respaldo en la nube de Chile y una revisión de seguridad externa, para cuando la automatización sea crítica.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600"/>
        <w:gridCol w:w="3200"/>
        <w:gridCol w:w="2600"/>
        <w:gridCol w:w="2240"/>
      </w:tblGrid>
      <w:tr>
        <w:trPr>
          <w:tblHeader/>
        </w:trP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PROPUESTA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QUÉ USA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QUÉ DA A CAMBIO</w:t>
            </w:r>
          </w:p>
        </w:tc>
        <w:tc>
          <w:tcPr>
            <w:tcW w:type="dxa" w:w="2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PARA QUIÉN</w:t>
            </w:r>
          </w:p>
        </w:tc>
      </w:tr>
      <w:tr>
        <w:trPr>
          <w:cantSplit/>
        </w:trPr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Costo cero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Conexión directa con FONASA, programas gratuitos e IA local en el servidor existente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El mayor ahorro de todos los caminos; parte sin comprar nada</w:t>
            </w:r>
          </w:p>
        </w:tc>
        <w:tc>
          <w:tcPr>
            <w:tcW w:type="dxa" w:w="22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Empezar el piloto sin presupuesto nuevo, si FONASA autoriza</w:t>
            </w:r>
          </w:p>
        </w:tc>
      </w:tr>
      <w:tr>
        <w:trPr>
          <w:cantSplit/>
        </w:trPr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Óptima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Lo anterior más un equipo modesto para la IA local y monitoreo, y Claude para el trabajo del equipo sin datos personales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La IA responde en segundos; estable en los 36 SLEP</w:t>
            </w:r>
          </w:p>
        </w:tc>
        <w:tc>
          <w:tcPr>
            <w:tcW w:type="dxa" w:w="22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Operar en todos los SLEP con respaldo</w:t>
            </w:r>
          </w:p>
        </w:tc>
      </w:tr>
      <w:tr>
        <w:trPr>
          <w:cantSplit/>
        </w:trPr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Avanzada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Equipo de IA potente, alta disponibilidad, respaldo en la nube de Chile y prueba de seguridad, y Claude para el trabajo del equipo sin datos personales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Máxima robustez y continuidad</w:t>
            </w:r>
          </w:p>
        </w:tc>
        <w:tc>
          <w:tcPr>
            <w:tcW w:type="dxa" w:w="22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Cuando la automatización sea crítica</w:t>
            </w:r>
          </w:p>
        </w:tc>
      </w:tr>
    </w:tbl>
    <w:p>
      <w:pPr>
        <w:spacing w:after="120" w:before="0" w:line="120"/>
      </w:pP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40"/>
      </w:tblGrid>
      <w:tr>
        <w:trPr>
          <w:cantSplit/>
        </w:trPr>
        <w:tc>
          <w:tcPr>
            <w:tcW w:type="dxa" w:w="9640"/>
            <w:tcBorders>
              <w:top w:val="none" w:color="FFFFFF" w:sz="0"/>
              <w:left w:val="single" w:color="0D9488" w:sz="24"/>
              <w:bottom w:val="none" w:color="FFFFFF" w:sz="0"/>
              <w:right w:val="none" w:color="FFFFFF" w:sz="0"/>
            </w:tcBorders>
            <w:shd w:fill="F0FDFA" w:color="auto" w:val="clear"/>
            <w:tcMar>
              <w:top w:type="dxa" w:w="110"/>
              <w:left w:type="dxa" w:w="220"/>
              <w:bottom w:type="dxa" w:w="11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DÓNDE VER LOS MONTOS</w:t>
            </w:r>
          </w:p>
          <w:p>
            <w:pPr>
              <w:spacing w:after="50" w:line="260"/>
            </w:pPr>
            <w:r>
              <w:rPr>
                <w:color w:val="334155"/>
                <w:sz w:val="19"/>
                <w:szCs w:val="19"/>
              </w:rPr>
              <w:t xml:space="preserve">Este informe no trae cifras a propósito. El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Informe 08.2.3</w:t>
            </w:r>
            <w:r>
              <w:rPr>
                <w:color w:val="334155"/>
                <w:sz w:val="19"/>
                <w:szCs w:val="19"/>
              </w:rPr>
              <w:t xml:space="preserve"> detalla cada propuesta. Un adelanto sin cifra: el camino API es el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más barato por licencia</w:t>
            </w:r>
            <w:r>
              <w:rPr>
                <w:color w:val="334155"/>
                <w:sz w:val="19"/>
                <w:szCs w:val="19"/>
              </w:rPr>
              <w:t xml:space="preserve"> de los cuatro, porque no paga robot ni intermediarios.</w:t>
            </w:r>
          </w:p>
        </w:tc>
      </w:tr>
    </w:tbl>
    <w:p>
      <w:pPr>
        <w:spacing w:after="140" w:before="0" w:line="120"/>
      </w:pPr>
    </w:p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SECCIÓN 05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marco legal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El marco legal en una página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3"/>
        <w:gridCol w:w="3213"/>
        <w:gridCol w:w="3214"/>
      </w:tblGrid>
      <w:tr>
        <w:trPr>
          <w:cantSplit/>
        </w:trPr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POR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El camino API usa una vía que el portal no ofrece abiertamente a los empleadores, con datos de salud y remuneraciones de personas identificadas.</w:t>
            </w:r>
          </w:p>
        </w:tc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PARA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Resumir lo que la ley permite y exige al camino API del PIEE, qué hay que verificar antes de construir y qué riesgos tiene.</w:t>
            </w:r>
          </w:p>
        </w:tc>
        <w:tc>
          <w:tcPr>
            <w:tcW w:type="dxa" w:w="3214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CÓMO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Reglas en lenguaje simple, marco legal por propuesta, controles, verificación previa y requisitos para avanzar (Informe 08.2.1).</w:t>
            </w:r>
          </w:p>
        </w:tc>
      </w:tr>
    </w:tbl>
    <w:p>
      <w:pPr>
        <w:spacing w:after="140" w:before="0" w:line="120"/>
      </w:pP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El camino API es legal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si FONASA lo autoriza por escrito, una persona abre la sesión y confirma cada envío, y nunca se esquiva una protección del portal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. Aquí la autorización no es solo recomendable: es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indispensable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. Sin ella, el camino no se construye.</w:t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Las tres propuestas comparten esa condición decisiva y difieren solo en compras y en dónde se guardan los respaldos: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API1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 no compra nada ni saca datos de la DEP;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API2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 agrega una compra menor (equipo de IA);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API3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 suma compras mayores y un proveedor de nube con región en Chile.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40"/>
      </w:tblGrid>
      <w:tr>
        <w:trPr>
          <w:cantSplit/>
        </w:trPr>
        <w:tc>
          <w:tcPr>
            <w:tcW w:type="dxa" w:w="9640"/>
            <w:tcBorders>
              <w:top w:val="none" w:color="FFFFFF" w:sz="0"/>
              <w:left w:val="single" w:color="0D9488" w:sz="24"/>
              <w:bottom w:val="none" w:color="FFFFFF" w:sz="0"/>
              <w:right w:val="none" w:color="FFFFFF" w:sz="0"/>
            </w:tcBorders>
            <w:shd w:fill="F0FDFA" w:color="auto" w:val="clear"/>
            <w:tcMar>
              <w:top w:type="dxa" w:w="110"/>
              <w:left w:type="dxa" w:w="220"/>
              <w:bottom w:type="dxa" w:w="11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CONCLUSIÓN</w:t>
            </w:r>
          </w:p>
          <w:p>
            <w:pPr>
              <w:spacing w:after="50" w:line="260"/>
            </w:pPr>
            <w:r>
              <w:rPr>
                <w:b/>
                <w:bCs/>
                <w:color w:val="0F172A"/>
                <w:sz w:val="19"/>
                <w:szCs w:val="19"/>
              </w:rPr>
              <w:t xml:space="preserve">Factible con condiciones</w:t>
            </w:r>
            <w:r>
              <w:rPr>
                <w:color w:val="334155"/>
                <w:sz w:val="19"/>
                <w:szCs w:val="19"/>
              </w:rPr>
              <w:t xml:space="preserve"> en las tres propuestas: autorización escrita de FONASA y verificación favorable (sección 04 del Informe 08.2.1). Resueltas ambas, el camino API es tan cumplidor como los servicios web; sin ellas, ninguna propuesta es viable.</w:t>
            </w:r>
          </w:p>
        </w:tc>
      </w:tr>
    </w:tbl>
    <w:p>
      <w:pPr>
        <w:spacing w:after="140" w:before="0" w:line="120"/>
      </w:pPr>
    </w:p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SECCIÓN 06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balance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Ventajas y límites</w:t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El camino API es el de mejores números y mejor comportamiento técnico, pero también el de mayor incertidumbre inicial, porque depende de respuestas que todavía no tenemos.</w:t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Sus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ventajas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 vienen de hablar directo con el sistema: es más rápido, comete menos errores y no se rompe cuando el portal cambia de aspecto. Sus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límites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 vienen de que requiere la autorización de FONASA y de que, mientras no exista una vía oficial, usar una conexión no documentada es una zona gris que no conviene a un servicio público.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20"/>
        <w:gridCol w:w="4820"/>
      </w:tblGrid>
      <w:tr>
        <w:trPr>
          <w:tblHeader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VENTAJAS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LÍMITES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El más rápido y el que comete menos errores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6"/>
                <w:szCs w:val="16"/>
              </w:rPr>
              <w:t xml:space="preserve">Requiere autorización escrita de FONASA; sin ella, se descarta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El más barato por licencia: no paga robot ni intermediarios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6"/>
                <w:szCs w:val="16"/>
              </w:rPr>
              <w:t xml:space="preserve">Si FONASA no abre una vía oficial, usar una conexión no documentada es zona gris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No se rompe cuando el portal cambia de aspecto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6"/>
                <w:szCs w:val="16"/>
              </w:rPr>
              <w:t xml:space="preserve">Si FONASA cambia la conversación por dentro, hay que ajustar el sistema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El encargado mantiene el control: confirma cada envío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6"/>
                <w:szCs w:val="16"/>
              </w:rPr>
              <w:t xml:space="preserve">Es el camino con más que verificar antes de poder construir</w:t>
            </w:r>
          </w:p>
        </w:tc>
      </w:tr>
    </w:tbl>
    <w:p>
      <w:pPr>
        <w:spacing w:after="120" w:before="0" w:line="120"/>
      </w:pP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En resumen: si FONASA autoriza, el camino API es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el mejor de los cuatro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. Si no, no es viable y se recurre al RPA o a los servicios web. Por eso conviene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pedir esa autorización cuanto antes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.</w:t>
      </w:r>
    </w:p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SECCIÓN 07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plazos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Cuándo estaría listo</w:t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La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carta Gantt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 es un calendario de barras: cada fila es una actividad y cada columna una semana; los rombos (◆) marcan los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hitos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, las fechas en que algo debe estar listo.</w:t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En este camino, la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verificación y la autorización de FONASA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 son el centro de las primeras semanas: si no resultan favorables, el camino se detiene antes de construir. El proyecto dura nueve semanas, del 1 de octubre al 27 de noviembre, con las mismas fechas que los otros caminos.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600"/>
        <w:gridCol w:w="560"/>
        <w:gridCol w:w="560"/>
        <w:gridCol w:w="560"/>
        <w:gridCol w:w="560"/>
        <w:gridCol w:w="560"/>
        <w:gridCol w:w="560"/>
        <w:gridCol w:w="560"/>
        <w:gridCol w:w="560"/>
        <w:gridCol w:w="560"/>
      </w:tblGrid>
      <w:tr>
        <w:trPr>
          <w:tblHeader/>
        </w:trPr>
        <w:tc>
          <w:tcPr>
            <w:tcW w:type="dxa" w:w="4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ACTIVIDAD</w:t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50"/>
              <w:left w:type="dxa" w:w="20"/>
              <w:bottom w:type="dxa" w:w="50"/>
              <w:right w:type="dxa" w:w="20"/>
            </w:tcMar>
            <w:vAlign w:val="top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S1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4A3B8"/>
                <w:sz w:val="12"/>
                <w:szCs w:val="12"/>
              </w:rPr>
              <w:t xml:space="preserve">1–2 oct</w:t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50"/>
              <w:left w:type="dxa" w:w="20"/>
              <w:bottom w:type="dxa" w:w="50"/>
              <w:right w:type="dxa" w:w="20"/>
            </w:tcMar>
            <w:vAlign w:val="top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S2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4A3B8"/>
                <w:sz w:val="12"/>
                <w:szCs w:val="12"/>
              </w:rPr>
              <w:t xml:space="preserve">5–9 oct</w:t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50"/>
              <w:left w:type="dxa" w:w="20"/>
              <w:bottom w:type="dxa" w:w="50"/>
              <w:right w:type="dxa" w:w="20"/>
            </w:tcMar>
            <w:vAlign w:val="top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S3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4A3B8"/>
                <w:sz w:val="12"/>
                <w:szCs w:val="12"/>
              </w:rPr>
              <w:t xml:space="preserve">12–16</w:t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50"/>
              <w:left w:type="dxa" w:w="20"/>
              <w:bottom w:type="dxa" w:w="50"/>
              <w:right w:type="dxa" w:w="20"/>
            </w:tcMar>
            <w:vAlign w:val="top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S4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4A3B8"/>
                <w:sz w:val="12"/>
                <w:szCs w:val="12"/>
              </w:rPr>
              <w:t xml:space="preserve">19–23</w:t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50"/>
              <w:left w:type="dxa" w:w="20"/>
              <w:bottom w:type="dxa" w:w="50"/>
              <w:right w:type="dxa" w:w="20"/>
            </w:tcMar>
            <w:vAlign w:val="top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S5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4A3B8"/>
                <w:sz w:val="12"/>
                <w:szCs w:val="12"/>
              </w:rPr>
              <w:t xml:space="preserve">26–30</w:t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50"/>
              <w:left w:type="dxa" w:w="20"/>
              <w:bottom w:type="dxa" w:w="50"/>
              <w:right w:type="dxa" w:w="20"/>
            </w:tcMar>
            <w:vAlign w:val="top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S6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4A3B8"/>
                <w:sz w:val="12"/>
                <w:szCs w:val="12"/>
              </w:rPr>
              <w:t xml:space="preserve">2–6 nov</w:t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50"/>
              <w:left w:type="dxa" w:w="20"/>
              <w:bottom w:type="dxa" w:w="50"/>
              <w:right w:type="dxa" w:w="20"/>
            </w:tcMar>
            <w:vAlign w:val="top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S7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4A3B8"/>
                <w:sz w:val="12"/>
                <w:szCs w:val="12"/>
              </w:rPr>
              <w:t xml:space="preserve">9–13</w:t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50"/>
              <w:left w:type="dxa" w:w="20"/>
              <w:bottom w:type="dxa" w:w="50"/>
              <w:right w:type="dxa" w:w="20"/>
            </w:tcMar>
            <w:vAlign w:val="top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S8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4A3B8"/>
                <w:sz w:val="12"/>
                <w:szCs w:val="12"/>
              </w:rPr>
              <w:t xml:space="preserve">16–20</w:t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50"/>
              <w:left w:type="dxa" w:w="20"/>
              <w:bottom w:type="dxa" w:w="50"/>
              <w:right w:type="dxa" w:w="20"/>
            </w:tcMar>
            <w:vAlign w:val="top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S9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4A3B8"/>
                <w:sz w:val="12"/>
                <w:szCs w:val="12"/>
              </w:rPr>
              <w:t xml:space="preserve">23–27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top"/>
          </w:tcPr>
          <w:p>
            <w:pPr>
              <w:spacing w:after="0" w:line="230"/>
            </w:pPr>
            <w:r>
              <w:rPr>
                <w:b/>
                <w:bCs/>
                <w:color w:val="0F172A"/>
                <w:sz w:val="16"/>
                <w:szCs w:val="16"/>
              </w:rPr>
              <w:t xml:space="preserve">Gestiones y autorización de FONASA</w:t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top"/>
          </w:tcPr>
          <w:p>
            <w:pPr>
              <w:spacing w:after="0" w:line="230"/>
            </w:pPr>
            <w:r>
              <w:rPr>
                <w:b w:val="false"/>
                <w:bCs w:val="false"/>
                <w:color w:val="334155"/>
                <w:sz w:val="15"/>
                <w:szCs w:val="15"/>
              </w:rPr>
              <w:t xml:space="preserve">Oficio a FONASA y seguimiento (decisivo)</w:t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D9488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◆</w:t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D9488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D9488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D9488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D9488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top"/>
          </w:tcPr>
          <w:p>
            <w:pPr>
              <w:spacing w:after="0" w:line="230"/>
            </w:pPr>
            <w:r>
              <w:rPr>
                <w:b/>
                <w:bCs/>
                <w:color w:val="0F172A"/>
                <w:sz w:val="16"/>
                <w:szCs w:val="16"/>
              </w:rPr>
              <w:t xml:space="preserve">Verificación técnica del portal</w:t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top"/>
          </w:tcPr>
          <w:p>
            <w:pPr>
              <w:spacing w:after="0" w:line="230"/>
            </w:pPr>
            <w:r>
              <w:rPr>
                <w:b w:val="false"/>
                <w:bCs w:val="false"/>
                <w:color w:val="334155"/>
                <w:sz w:val="15"/>
                <w:szCs w:val="15"/>
              </w:rPr>
              <w:t xml:space="preserve">Verificar la conexión y "qué hay que verificar" (sección 04 del Informe 08.2.1)</w:t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D9488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D9488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D9488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◆</w:t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top"/>
          </w:tcPr>
          <w:p>
            <w:pPr>
              <w:spacing w:after="0" w:line="230"/>
            </w:pPr>
            <w:r>
              <w:rPr>
                <w:b/>
                <w:bCs/>
                <w:color w:val="0F172A"/>
                <w:sz w:val="16"/>
                <w:szCs w:val="16"/>
              </w:rPr>
              <w:t xml:space="preserve">Diseño, propuestas y decisión</w:t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top"/>
          </w:tcPr>
          <w:p>
            <w:pPr>
              <w:spacing w:after="0" w:line="230"/>
            </w:pPr>
            <w:r>
              <w:rPr>
                <w:b w:val="false"/>
                <w:bCs w:val="false"/>
                <w:color w:val="334155"/>
                <w:sz w:val="15"/>
                <w:szCs w:val="15"/>
              </w:rPr>
              <w:t xml:space="preserve">Informes del camino y elección de propuesta</w:t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D9488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D9488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D9488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◆</w:t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top"/>
          </w:tcPr>
          <w:p>
            <w:pPr>
              <w:spacing w:after="0" w:line="230"/>
            </w:pPr>
            <w:r>
              <w:rPr>
                <w:b/>
                <w:bCs/>
                <w:color w:val="0F172A"/>
                <w:sz w:val="16"/>
                <w:szCs w:val="16"/>
              </w:rPr>
              <w:t xml:space="preserve">Construcción (solo si FONASA autoriza)</w:t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EF2F2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top"/>
          </w:tcPr>
          <w:p>
            <w:pPr>
              <w:spacing w:after="0" w:line="230"/>
            </w:pPr>
            <w:r>
              <w:rPr>
                <w:b w:val="false"/>
                <w:bCs w:val="false"/>
                <w:color w:val="334155"/>
                <w:sz w:val="15"/>
                <w:szCs w:val="15"/>
              </w:rPr>
              <w:t xml:space="preserve">Construir el conector, conectar y preparar la IA local</w:t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EF2F2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D9488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D9488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D9488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top"/>
          </w:tcPr>
          <w:p>
            <w:pPr>
              <w:spacing w:after="0" w:line="230"/>
            </w:pPr>
            <w:r>
              <w:rPr>
                <w:b/>
                <w:bCs/>
                <w:color w:val="0F172A"/>
                <w:sz w:val="16"/>
                <w:szCs w:val="16"/>
              </w:rPr>
              <w:t xml:space="preserve">Pruebas y puesta en marcha</w:t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EF2F2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top"/>
          </w:tcPr>
          <w:p>
            <w:pPr>
              <w:spacing w:after="0" w:line="230"/>
            </w:pPr>
            <w:r>
              <w:rPr>
                <w:b w:val="false"/>
                <w:bCs w:val="false"/>
                <w:color w:val="334155"/>
                <w:sz w:val="15"/>
                <w:szCs w:val="15"/>
              </w:rPr>
              <w:t xml:space="preserve">Pruebas con casos reales y cierre</w:t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EF2F2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D9488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D9488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◆</w:t>
            </w:r>
          </w:p>
        </w:tc>
      </w:tr>
    </w:tbl>
    <w:p>
      <w:pPr>
        <w:spacing w:after="40" w:before="60"/>
      </w:pPr>
      <w:r>
        <w:rPr>
          <w:color w:val="64748B"/>
          <w:sz w:val="15"/>
          <w:szCs w:val="15"/>
        </w:rPr>
        <w:t xml:space="preserve">◆ Hitos: oficio a FONASA (1-oct) · fin de la verificación (14-oct) · elección de propuesta (30-oct) · cierre del piloto (27-nov). La construcción solo empieza con la autorización de FONASA. La semana 3 incluye el feriado del 12 de octubre.</w:t>
      </w:r>
    </w:p>
    <w:p>
      <w:pPr>
        <w:spacing w:after="200" w:before="80"/>
      </w:pPr>
      <w:r>
        <w:rPr>
          <w:rFonts w:ascii="Consolas" w:cs="Consolas" w:eastAsia="Consolas" w:hAnsi="Consolas"/>
          <w:b/>
          <w:bCs/>
          <w:color w:val="0D9488"/>
          <w:sz w:val="15"/>
          <w:szCs w:val="15"/>
        </w:rPr>
        <w:t xml:space="preserve">FIG. 6  </w:t>
      </w:r>
      <w:r>
        <w:rPr>
          <w:rFonts w:ascii="Calibri" w:cs="Calibri" w:eastAsia="Calibri" w:hAnsi="Calibri"/>
          <w:color w:val="64748B"/>
          <w:sz w:val="16"/>
          <w:szCs w:val="16"/>
        </w:rPr>
        <w:t xml:space="preserve">Carta Gantt general del camino API. Respeta las mismas fechas del Informe 08.</w:t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18"/>
          <w:szCs w:val="18"/>
        </w:rPr>
        <w:t xml:space="preserve">La diferencia con los otros caminos es que, si a fines de octubre FONASA no autoriza o la verificación no resulta, este camino </w:t>
      </w:r>
      <w:r>
        <w:rPr>
          <w:rFonts w:ascii="Calibri" w:cs="Calibri" w:eastAsia="Calibri" w:hAnsi="Calibri"/>
          <w:b/>
          <w:bCs/>
          <w:color w:val="0F172A"/>
          <w:sz w:val="18"/>
          <w:szCs w:val="18"/>
        </w:rPr>
        <w:t xml:space="preserve">no pasa a construcción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 y el piloto sigue con otro de los cuatro.</w:t>
      </w:r>
    </w:p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SECCIÓN 08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cierre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Conclusión y decisión</w:t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El camino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API del PIEE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 es, en papel,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el mejor de los cuatro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: el más rápido, el que comete menos errores, el más estable frente a cambios de pantalla y el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más barato por licencia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, porque no paga robot ni intermediarios. Su único gran "pero" es que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depende de FONASA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: necesita que autorice esta conexión y que la verificación técnica resulte favorable.</w:t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Por eso no se puede recomendar todavía como el camino elegido, pero sí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pedir cuanto antes la autorización a FONASA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: si llega, este camino gana; si no, se recurre al RPA o a los servicios web. Es, además, la pieza que vuelve más potente al camino mixto (Informe 08.4).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40"/>
      </w:tblGrid>
      <w:tr>
        <w:trPr>
          <w:tblHeader/>
        </w:trP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PROPUESTA</w:t>
            </w:r>
          </w:p>
        </w:tc>
        <w:tc>
          <w:tcPr>
            <w:tcW w:type="dxa" w:w="4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RECOMENDACIÓN</w:t>
            </w:r>
          </w:p>
        </w:tc>
      </w:tr>
      <w:tr>
        <w:trPr>
          <w:cantSplit/>
        </w:trPr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Costo cero</w:t>
            </w:r>
          </w:p>
        </w:tc>
        <w:tc>
          <w:tcPr>
            <w:tcW w:type="dxa" w:w="46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● Recomendada, si FONASA autoriza</w:t>
            </w:r>
          </w:p>
        </w:tc>
      </w:tr>
      <w:tr>
        <w:trPr>
          <w:cantSplit/>
        </w:trPr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Óptima</w:t>
            </w:r>
          </w:p>
        </w:tc>
        <w:tc>
          <w:tcPr>
            <w:tcW w:type="dxa" w:w="46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● Recomendada para los 36 SLEP</w:t>
            </w:r>
          </w:p>
        </w:tc>
      </w:tr>
      <w:tr>
        <w:trPr>
          <w:cantSplit/>
        </w:trPr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Avanzada</w:t>
            </w:r>
          </w:p>
        </w:tc>
        <w:tc>
          <w:tcPr>
            <w:tcW w:type="dxa" w:w="46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● Cuando la automatización sea crítica</w:t>
            </w:r>
          </w:p>
        </w:tc>
      </w:tr>
    </w:tbl>
    <w:p>
      <w:pPr>
        <w:spacing w:after="120" w:before="0" w:line="120"/>
      </w:pP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0F766E"/>
          <w:sz w:val="22"/>
          <w:szCs w:val="22"/>
        </w:rPr>
        <w:t xml:space="preserve">Qué se pide a la jefatura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b/>
          <w:bCs/>
          <w:color w:val="0F172A"/>
          <w:sz w:val="18"/>
          <w:szCs w:val="18"/>
        </w:rPr>
        <w:t xml:space="preserve">Entender</w:t>
      </w:r>
      <w:r>
        <w:rPr>
          <w:color w:val="334155"/>
          <w:sz w:val="18"/>
          <w:szCs w:val="18"/>
        </w:rPr>
        <w:t xml:space="preserve"> este camino como una de las cuatro opciones, y como la de mayor potencial si FONASA autoriza.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b/>
          <w:bCs/>
          <w:color w:val="0F172A"/>
          <w:sz w:val="18"/>
          <w:szCs w:val="18"/>
        </w:rPr>
        <w:t xml:space="preserve">Impulsar el oficio a FONASA</w:t>
      </w:r>
      <w:r>
        <w:rPr>
          <w:color w:val="334155"/>
          <w:sz w:val="18"/>
          <w:szCs w:val="18"/>
        </w:rPr>
        <w:t xml:space="preserve"> pidiendo autorización para que los SLEP usen esta conexión desde sus sistemas, con sesión y confirmación de una persona.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b/>
          <w:bCs/>
          <w:color w:val="0F172A"/>
          <w:sz w:val="18"/>
          <w:szCs w:val="18"/>
        </w:rPr>
        <w:t xml:space="preserve">Tener presente</w:t>
      </w:r>
      <w:r>
        <w:rPr>
          <w:color w:val="334155"/>
          <w:sz w:val="18"/>
          <w:szCs w:val="18"/>
        </w:rPr>
        <w:t xml:space="preserve"> que, sin esa autorización, el camino no es viable y se elige otro a fin de octubre.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40"/>
      </w:tblGrid>
      <w:tr>
        <w:trPr>
          <w:cantSplit/>
        </w:trPr>
        <w:tc>
          <w:tcPr>
            <w:tcW w:type="dxa" w:w="9640"/>
            <w:tcBorders>
              <w:top w:val="none" w:color="FFFFFF" w:sz="0"/>
              <w:left w:val="single" w:color="0D9488" w:sz="24"/>
              <w:bottom w:val="none" w:color="FFFFFF" w:sz="0"/>
              <w:right w:val="none" w:color="FFFFFF" w:sz="0"/>
            </w:tcBorders>
            <w:shd w:fill="F0FDFA" w:color="auto" w:val="clear"/>
            <w:tcMar>
              <w:top w:type="dxa" w:w="110"/>
              <w:left w:type="dxa" w:w="220"/>
              <w:bottom w:type="dxa" w:w="11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RECOMENDACIÓN</w:t>
            </w:r>
          </w:p>
          <w:p>
            <w:pPr>
              <w:spacing w:after="50" w:line="260"/>
            </w:pPr>
            <w:r>
              <w:rPr>
                <w:color w:val="334155"/>
                <w:sz w:val="19"/>
                <w:szCs w:val="19"/>
              </w:rPr>
              <w:t xml:space="preserve">Pedir a FONASA, con prioridad, la autorización de este camino. Si llega, adoptar la propuesta de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costo cero (API1)</w:t>
            </w:r>
            <w:r>
              <w:rPr>
                <w:color w:val="334155"/>
                <w:sz w:val="19"/>
                <w:szCs w:val="19"/>
              </w:rPr>
              <w:t xml:space="preserve"> como la más eficiente de la Fase 2. El marco legal está en el Informe 08.2.1, el detalle técnico en el 08.2.2 y los costos en el 08.2.3.</w:t>
            </w:r>
          </w:p>
        </w:tc>
      </w:tr>
    </w:tbl>
    <w:p>
      <w:pPr>
        <w:spacing w:after="140" w:before="0" w:line="120"/>
      </w:pP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250" w:right="1300" w:bottom="1150" w:left="1300" w:header="600" w:footer="56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40"/>
      </w:tabs>
    </w:pPr>
    <w:r>
      <w:rPr>
        <w:rFonts w:ascii="Calibri" w:cs="Calibri" w:eastAsia="Calibri" w:hAnsi="Calibri"/>
        <w:color w:val="94A3B8"/>
        <w:sz w:val="14"/>
        <w:szCs w:val="14"/>
      </w:rPr>
      <w:t xml:space="preserve">DEP · Subdepartamento GDP-SLEP · Uso interno</w:t>
    </w:r>
    <w:r>
      <w:rPr>
        <w:rFonts w:ascii="Consolas" w:cs="Consolas" w:eastAsia="Consolas" w:hAnsi="Consolas"/>
        <w:color w:val="94A3B8"/>
        <w:sz w:val="14"/>
        <w:szCs w:val="14"/>
      </w:rPr>
      <w:t xml:space="preserve">	pág. </w:t>
    </w:r>
    <w:r>
      <w:rPr>
        <w:rFonts w:ascii="Consolas" w:cs="Consolas" w:eastAsia="Consolas" w:hAnsi="Consolas"/>
        <w:b/>
        <w:bCs/>
        <w:color w:val="0F172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4" w:space="6"/>
      </w:pBdr>
      <w:tabs>
        <w:tab w:val="right" w:pos="9640"/>
      </w:tabs>
    </w:pPr>
    <w:r>
      <w:rPr>
        <w:rFonts w:ascii="Consolas" w:cs="Consolas" w:eastAsia="Consolas" w:hAnsi="Consolas"/>
        <w:b/>
        <w:bCs/>
        <w:color w:val="0D9488"/>
        <w:spacing w:val="20"/>
        <w:sz w:val="14"/>
        <w:szCs w:val="14"/>
      </w:rPr>
      <w:t xml:space="preserve">GDP - SLEP STUDIO</w:t>
    </w:r>
    <w:r>
      <w:rPr>
        <w:rFonts w:ascii="Consolas" w:cs="Consolas" w:eastAsia="Consolas" w:hAnsi="Consolas"/>
        <w:color w:val="94A3B8"/>
        <w:spacing w:val="10"/>
        <w:sz w:val="14"/>
        <w:szCs w:val="14"/>
      </w:rPr>
      <w:t xml:space="preserve">	INFORME 08.2  ·  CAMINO API DEL PIEE · GENERAL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D948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00"/>
      </w:pPr>
      <w:rPr>
        <w:b/>
        <w:bCs/>
        <w:color w:val="0D948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4155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/>
      <w:outlineLvl w:val="0"/>
    </w:pPr>
    <w:rPr>
      <w:rFonts w:ascii="Calibri" w:cs="Calibri" w:eastAsia="Calibri" w:hAnsi="Calibri"/>
      <w:b/>
      <w:bCs/>
      <w:color w:val="0F172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0F172A"/>
      <w:sz w:val="25"/>
      <w:szCs w:val="25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0F766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08.2 — Camino API del PIEE · general</dc:title>
  <dc:subject>GDP-SLEP Studio</dc:subject>
  <dc:creator>César Torres</dc:creator>
  <cp:lastModifiedBy>Un-named</cp:lastModifiedBy>
  <cp:revision>1</cp:revision>
  <dcterms:created xsi:type="dcterms:W3CDTF">2026-10-05T17:30:16.783Z</dcterms:created>
  <dcterms:modified xsi:type="dcterms:W3CDTF">2026-10-05T17:30:16.784Z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