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r>
        <w:rPr>
          <w:rFonts w:ascii="Consolas" w:cs="Consolas" w:eastAsia="Consolas" w:hAnsi="Consolas"/>
          <w:color w:val="0D9488"/>
          <w:sz w:val="18"/>
          <w:szCs w:val="18"/>
        </w:rPr>
        <w:t xml:space="preserve">&gt; gdp-slep-studio / licencias / camino-servicios-web / tecnico</w:t>
      </w:r>
    </w:p>
    <w:p>
      <w:pPr>
        <w:spacing w:after="240"/>
      </w:pPr>
      <w:r>
        <w:rPr>
          <w:rFonts w:ascii="Consolas" w:cs="Consolas" w:eastAsia="Consolas" w:hAnsi="Consolas"/>
          <w:b/>
          <w:bCs/>
          <w:color w:val="64748B"/>
          <w:spacing w:val="40"/>
          <w:sz w:val="18"/>
          <w:szCs w:val="18"/>
        </w:rPr>
        <w:t xml:space="preserve">INFORME 08.3.2  ·  SERIE DE INFORMES GDP-SLEP STUDIO</w:t>
      </w:r>
    </w:p>
    <w:p>
      <w:pPr>
        <w:spacing w:after="0"/>
      </w:pPr>
      <w:r>
        <w:rPr>
          <w:rFonts w:ascii="Calibri" w:cs="Calibri" w:eastAsia="Calibri" w:hAnsi="Calibri"/>
          <w:b/>
          <w:bCs/>
          <w:color w:val="0F172A"/>
          <w:sz w:val="60"/>
          <w:szCs w:val="60"/>
        </w:rPr>
        <w:t xml:space="preserve">Camino servicios web</w:t>
      </w:r>
    </w:p>
    <w:p>
      <w:pPr>
        <w:spacing w:after="220"/>
      </w:pPr>
      <w:r>
        <w:rPr>
          <w:rFonts w:ascii="Calibri" w:cs="Calibri" w:eastAsia="Calibri" w:hAnsi="Calibri"/>
          <w:b/>
          <w:bCs/>
          <w:color w:val="0F172A"/>
          <w:sz w:val="60"/>
          <w:szCs w:val="60"/>
        </w:rPr>
        <w:t xml:space="preserve">· técnico</w:t>
      </w:r>
    </w:p>
    <w:p>
      <w:pPr>
        <w:pBdr>
          <w:bottom w:val="single" w:color="0D9488" w:sz="24" w:space="1"/>
        </w:pBdr>
        <w:spacing w:after="300"/>
        <w:ind w:right="8340"/>
      </w:pPr>
    </w:p>
    <w:p>
      <w:pPr>
        <w:spacing w:after="120"/>
      </w:pPr>
      <w:r>
        <w:rPr>
          <w:rFonts w:ascii="Calibri" w:cs="Calibri" w:eastAsia="Calibri" w:hAnsi="Calibri"/>
          <w:color w:val="0D9488"/>
          <w:sz w:val="28"/>
          <w:szCs w:val="28"/>
        </w:rPr>
        <w:t xml:space="preserve">Diseño técnico de la integración con el canal oficial de FONASA por la Red de Interoperabilidad del Estado</w:t>
      </w:r>
    </w:p>
    <w:p>
      <w:pPr>
        <w:spacing w:after="900" w:line="290"/>
      </w:pPr>
      <w:r>
        <w:rPr>
          <w:rFonts w:ascii="Calibri" w:cs="Calibri" w:eastAsia="Calibri" w:hAnsi="Calibri"/>
          <w:color w:val="64748B"/>
          <w:sz w:val="20"/>
          <w:szCs w:val="20"/>
        </w:rPr>
        <w:t xml:space="preserve">Modo de operación, cómo funciona paso a paso, arquitectura, diseño del conector, tres propuestas con su stack completo, pruebas y carta Gantt. El marco legal, la verificación previa y los riesgos están en el Informe 08.3.1; los costos, en el 08.3.3.</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7040"/>
      </w:tblGrid>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ORGANIZACIÓN</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Dirección de Educación Pública (DEP)</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UNIDAD</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Subdepartamento de Gestión y Desarrollo de Personas para los SLEP (GDP-SLEP)</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PROYECTO</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GDP-SLEP Studio · Aplicación 2: Automatización de licencias médicas</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TIPO DE INFORME</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Informe técnico · Camino servicios web (canal oficial de FONASA)</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ELABORADO POR</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César Torres · Desarrollador (honorarios)</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DIRIGIDO A</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Claudia Manzano · Jefatura directa</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PERÍODO</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1 de octubre – 27 de noviembre de 2026</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FECHA</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23 de octubre de 2026</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VERSIÓN</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1.0</w:t>
            </w:r>
          </w:p>
        </w:tc>
      </w:tr>
      <w:tr>
        <w:tc>
          <w:tcPr>
            <w:tcW w:type="dxa" w:w="2600"/>
            <w:tcBorders>
              <w:top w:val="none" w:color="FFFFFF" w:sz="0"/>
              <w:left w:val="none" w:color="FFFFFF" w:sz="0"/>
              <w:bottom w:val="single" w:color="E2E8F0" w:sz="4"/>
              <w:right w:val="none" w:color="FFFFFF" w:sz="0"/>
            </w:tcBorders>
            <w:tcMar>
              <w:top w:type="dxa" w:w="95"/>
              <w:left w:type="dxa" w:w="0"/>
              <w:bottom w:type="dxa" w:w="95"/>
              <w:right w:type="dxa" w:w="110"/>
            </w:tcMar>
            <w:vAlign w:val="top"/>
          </w:tcPr>
          <w:p>
            <w:pPr>
              <w:spacing w:after="0"/>
            </w:pPr>
            <w:r>
              <w:rPr>
                <w:rFonts w:ascii="Consolas" w:cs="Consolas" w:eastAsia="Consolas" w:hAnsi="Consolas"/>
                <w:b/>
                <w:bCs/>
                <w:color w:val="64748B"/>
                <w:spacing w:val="20"/>
                <w:sz w:val="15"/>
                <w:szCs w:val="15"/>
              </w:rPr>
              <w:t xml:space="preserve">CLASIFICACIÓN</w:t>
            </w:r>
          </w:p>
        </w:tc>
        <w:tc>
          <w:tcPr>
            <w:tcW w:type="dxa" w:w="7040"/>
            <w:tcBorders>
              <w:top w:val="none" w:color="FFFFFF" w:sz="0"/>
              <w:left w:val="none" w:color="FFFFFF" w:sz="0"/>
              <w:bottom w:val="single" w:color="E2E8F0" w:sz="4"/>
              <w:right w:val="none" w:color="FFFFFF" w:sz="0"/>
            </w:tcBorders>
            <w:tcMar>
              <w:top w:type="dxa" w:w="95"/>
              <w:left w:type="dxa" w:w="110"/>
              <w:bottom w:type="dxa" w:w="95"/>
              <w:right w:type="dxa" w:w="110"/>
            </w:tcMar>
            <w:vAlign w:val="top"/>
          </w:tcPr>
          <w:p>
            <w:pPr>
              <w:spacing w:after="0"/>
            </w:pPr>
            <w:r>
              <w:rPr>
                <w:color w:val="0F172A"/>
                <w:sz w:val="19"/>
                <w:szCs w:val="19"/>
              </w:rPr>
              <w:t xml:space="preserve">Uso interno</w:t>
            </w:r>
          </w:p>
        </w:tc>
      </w:tr>
    </w:tbl>
    <w:p>
      <w:pPr>
        <w:spacing w:after="400"/>
      </w:pPr>
    </w:p>
    <w:p>
      <w:pPr>
        <w:spacing w:line="270"/>
      </w:pPr>
      <w:r>
        <w:rPr>
          <w:b/>
          <w:bCs/>
          <w:color w:val="64748B"/>
          <w:sz w:val="16"/>
          <w:szCs w:val="16"/>
        </w:rPr>
        <w:t xml:space="preserve">Condición previa:</w:t>
      </w:r>
      <w:r>
        <w:rPr>
          <w:color w:val="64748B"/>
          <w:sz w:val="16"/>
          <w:szCs w:val="16"/>
        </w:rPr>
        <w:t xml:space="preserve"> este camino requiere que </w:t>
      </w:r>
      <w:r>
        <w:rPr>
          <w:b/>
          <w:bCs/>
          <w:color w:val="64748B"/>
          <w:sz w:val="16"/>
          <w:szCs w:val="16"/>
        </w:rPr>
        <w:t xml:space="preserve">FONASA otorgue el servicio</w:t>
      </w:r>
      <w:r>
        <w:rPr>
          <w:color w:val="64748B"/>
          <w:sz w:val="16"/>
          <w:szCs w:val="16"/>
        </w:rPr>
        <w:t xml:space="preserve"> por la Red de Interoperabilidad y el </w:t>
      </w:r>
      <w:r>
        <w:rPr>
          <w:b/>
          <w:bCs/>
          <w:color w:val="64748B"/>
          <w:sz w:val="16"/>
          <w:szCs w:val="16"/>
        </w:rPr>
        <w:t xml:space="preserve">acuerdo formal</w:t>
      </w:r>
      <w:r>
        <w:rPr>
          <w:color w:val="64748B"/>
          <w:sz w:val="16"/>
          <w:szCs w:val="16"/>
        </w:rPr>
        <w:t xml:space="preserve"> entre las instituciones. El servicio es gratuito entre órganos del Estado; la variable crítica es el plazo.</w:t>
      </w:r>
    </w:p>
    <w:p>
      <w:pPr>
        <w:keepNext/>
        <w:pageBreakBefore/>
        <w:spacing w:after="60"/>
      </w:pPr>
      <w:r>
        <w:rPr>
          <w:rFonts w:ascii="Consolas" w:cs="Consolas" w:eastAsia="Consolas" w:hAnsi="Consolas"/>
          <w:b/>
          <w:bCs/>
          <w:color w:val="0D9488"/>
          <w:spacing w:val="30"/>
          <w:sz w:val="16"/>
          <w:szCs w:val="16"/>
        </w:rPr>
        <w:t xml:space="preserve">DOCUMENTO</w:t>
      </w:r>
      <w:r>
        <w:rPr>
          <w:rFonts w:ascii="Consolas" w:cs="Consolas" w:eastAsia="Consolas" w:hAnsi="Consolas"/>
          <w:color w:val="94A3B8"/>
          <w:sz w:val="16"/>
          <w:szCs w:val="16"/>
        </w:rPr>
        <w:t xml:space="preserve">  /  ficha</w:t>
      </w:r>
    </w:p>
    <w:p>
      <w:pPr>
        <w:pStyle w:val="Heading1"/>
        <w:keepNext/>
        <w:pBdr>
          <w:bottom w:val="single" w:color="E2E8F0" w:sz="6" w:space="6"/>
        </w:pBdr>
        <w:spacing w:after="160"/>
      </w:pPr>
      <w:r>
        <w:rPr>
          <w:rFonts w:ascii="Calibri" w:cs="Calibri" w:eastAsia="Calibri" w:hAnsi="Calibri"/>
          <w:b/>
          <w:bCs/>
          <w:color w:val="0F172A"/>
          <w:sz w:val="34"/>
          <w:szCs w:val="34"/>
        </w:rPr>
        <w:t xml:space="preserve">Ficha del documento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7340"/>
      </w:tblGrid>
      <w:tr>
        <w:trPr>
          <w:tblHeader/>
        </w:trPr>
        <w:tc>
          <w:tcPr>
            <w:tcW w:type="dxa" w:w="23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CAMPO</w:t>
            </w:r>
          </w:p>
        </w:tc>
        <w:tc>
          <w:tcPr>
            <w:tcW w:type="dxa" w:w="73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DETALLE</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Título</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Informe 08.3.2 — Camino servicios web · técnico</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Serie</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Informe técnico del camino servicios web. Profundiza el Informe 08.3 (general)</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Objeto</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Especificar cómo integrarse con el servicio oficial de FONASA por la Red de Interoperabilidad, con aprobación humana de cada envío, en tres propuestas, dentro de los límites fijados en el Informe 08.3.1</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Regla de diseño</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Canal oficial con acuerdo formal; credenciales de servicio institucionales; aprobación humana de cada envío; sin diagnóstico</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Condición previa</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FONASA otorga el servicio por la Red de Interoperabilidad + acuerdo formal. Plazo de referencia: 15 días hábiles · detalle en el Informe 08.3.1</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Propuestas</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WS1 · costo cero (IA local en CPU) · WS2 · óptima (GPU básica) · WS3 · avanzada (GPU 32 GB + alta disponibilidad)</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Elaborado por</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César Torres, Desarrollador a honorarios</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Dirigido a</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Claudia Manzano, Jefatura directa · Subdepartamento GDP-SLEP</w:t>
            </w:r>
          </w:p>
        </w:tc>
      </w:tr>
      <w:tr>
        <w:trPr>
          <w:cantSplit/>
        </w:trPr>
        <w:tc>
          <w:tcPr>
            <w:tcW w:type="dxa" w:w="2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8"/>
                <w:szCs w:val="18"/>
              </w:rPr>
              <w:t xml:space="preserve">Informes relacionados</w:t>
            </w:r>
          </w:p>
        </w:tc>
        <w:tc>
          <w:tcPr>
            <w:tcW w:type="dxa" w:w="7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8"/>
                <w:szCs w:val="18"/>
              </w:rPr>
              <w:t xml:space="preserve">Informe 08.3 (general) · Informe 08.3.1 (marco legal) · Informe</w:t>
            </w:r>
            <w:r>
              <w:rPr>
                <w:rFonts w:ascii="Calibri" w:cs="Calibri" w:eastAsia="Calibri" w:hAnsi="Calibri"/>
                <w:b/>
                <w:bCs/>
                <w:color w:val="0F172A"/>
                <w:sz w:val="18"/>
                <w:szCs w:val="18"/>
              </w:rPr>
              <w:t xml:space="preserve"> 08.3.3 (costos)</w:t>
            </w:r>
            <w:r>
              <w:rPr>
                <w:rFonts w:ascii="Calibri" w:cs="Calibri" w:eastAsia="Calibri" w:hAnsi="Calibri"/>
                <w:b w:val="false"/>
                <w:bCs w:val="false"/>
                <w:color w:val="334155"/>
                <w:sz w:val="18"/>
                <w:szCs w:val="18"/>
              </w:rPr>
              <w:t xml:space="preserve"> · Informe 08 · Informe 00 · caminos 08.1, 08.2 y 08.4</w:t>
            </w:r>
          </w:p>
        </w:tc>
      </w:tr>
    </w:tbl>
    <w:p>
      <w:pPr>
        <w:spacing w:after="120" w:before="0" w:line="120"/>
      </w:pP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0D9488" w:sz="24"/>
              <w:bottom w:val="none" w:color="FFFFFF" w:sz="0"/>
              <w:right w:val="none" w:color="FFFFFF" w:sz="0"/>
            </w:tcBorders>
            <w:shd w:fill="F0FDFA" w:color="auto" w:val="clear"/>
            <w:tcMar>
              <w:top w:type="dxa" w:w="110"/>
              <w:left w:type="dxa" w:w="220"/>
              <w:bottom w:type="dxa" w:w="110"/>
              <w:right w:type="dxa" w:w="110"/>
            </w:tcMar>
            <w:vAlign w:val="top"/>
          </w:tcPr>
          <w:p>
            <w:pPr>
              <w:spacing w:after="60"/>
            </w:pPr>
            <w:r>
              <w:rPr>
                <w:rFonts w:ascii="Consolas" w:cs="Consolas" w:eastAsia="Consolas" w:hAnsi="Consolas"/>
                <w:b/>
                <w:bCs/>
                <w:color w:val="0D9488"/>
                <w:spacing w:val="20"/>
                <w:sz w:val="15"/>
                <w:szCs w:val="15"/>
              </w:rPr>
              <w:t xml:space="preserve">MARCO DE ESTE DOCUMENTO</w:t>
            </w:r>
          </w:p>
          <w:p>
            <w:pPr>
              <w:spacing w:after="50" w:line="260"/>
            </w:pPr>
            <w:r>
              <w:rPr>
                <w:color w:val="334155"/>
                <w:sz w:val="19"/>
                <w:szCs w:val="19"/>
              </w:rPr>
              <w:t xml:space="preserve">Describe la integración con el </w:t>
            </w:r>
            <w:r>
              <w:rPr>
                <w:b/>
                <w:bCs/>
                <w:color w:val="0F172A"/>
                <w:sz w:val="19"/>
                <w:szCs w:val="19"/>
              </w:rPr>
              <w:t xml:space="preserve">canal oficial</w:t>
            </w:r>
            <w:r>
              <w:rPr>
                <w:color w:val="334155"/>
                <w:sz w:val="19"/>
                <w:szCs w:val="19"/>
              </w:rPr>
              <w:t xml:space="preserve"> que FONASA ofrece a los organismos del Estado. A diferencia del camino API (interfaz interna del portal) y del RPA (pantalla), aquí la vía es una </w:t>
            </w:r>
            <w:r>
              <w:rPr>
                <w:b/>
                <w:bCs/>
                <w:color w:val="0F172A"/>
                <w:sz w:val="19"/>
                <w:szCs w:val="19"/>
              </w:rPr>
              <w:t xml:space="preserve">puerta documentada y acordada</w:t>
            </w:r>
            <w:r>
              <w:rPr>
                <w:color w:val="334155"/>
                <w:sz w:val="19"/>
                <w:szCs w:val="19"/>
              </w:rPr>
              <w:t xml:space="preserve"> entre instituciones: la condición no es técnica ni legal, sino el </w:t>
            </w:r>
            <w:r>
              <w:rPr>
                <w:b/>
                <w:bCs/>
                <w:color w:val="0F172A"/>
                <w:sz w:val="19"/>
                <w:szCs w:val="19"/>
              </w:rPr>
              <w:t xml:space="preserve">plazo</w:t>
            </w:r>
            <w:r>
              <w:rPr>
                <w:color w:val="334155"/>
                <w:sz w:val="19"/>
                <w:szCs w:val="19"/>
              </w:rPr>
              <w:t xml:space="preserve"> del otorgamiento.</w:t>
            </w:r>
          </w:p>
        </w:tc>
      </w:tr>
    </w:tbl>
    <w:p>
      <w:pPr>
        <w:spacing w:after="140" w:before="0" w:line="120"/>
      </w:pPr>
    </w:p>
    <w:p>
      <w:pPr>
        <w:keepNext/>
        <w:pageBreakBefore/>
        <w:spacing w:after="60"/>
      </w:pPr>
      <w:r>
        <w:rPr>
          <w:rFonts w:ascii="Consolas" w:cs="Consolas" w:eastAsia="Consolas" w:hAnsi="Consolas"/>
          <w:b/>
          <w:bCs/>
          <w:color w:val="0D9488"/>
          <w:spacing w:val="30"/>
          <w:sz w:val="16"/>
          <w:szCs w:val="16"/>
        </w:rPr>
        <w:t xml:space="preserve">DOCUMENTO</w:t>
      </w:r>
      <w:r>
        <w:rPr>
          <w:rFonts w:ascii="Consolas" w:cs="Consolas" w:eastAsia="Consolas" w:hAnsi="Consolas"/>
          <w:color w:val="94A3B8"/>
          <w:sz w:val="16"/>
          <w:szCs w:val="16"/>
        </w:rPr>
        <w:t xml:space="preserve">  /  índice</w:t>
      </w:r>
    </w:p>
    <w:p>
      <w:pPr>
        <w:pStyle w:val="Heading1"/>
        <w:keepNext/>
        <w:pBdr>
          <w:bottom w:val="single" w:color="E2E8F0" w:sz="6" w:space="6"/>
        </w:pBdr>
        <w:spacing w:after="160"/>
      </w:pPr>
      <w:r>
        <w:rPr>
          <w:rFonts w:ascii="Calibri" w:cs="Calibri" w:eastAsia="Calibri" w:hAnsi="Calibri"/>
          <w:b/>
          <w:bCs/>
          <w:color w:val="0F172A"/>
          <w:sz w:val="34"/>
          <w:szCs w:val="34"/>
        </w:rPr>
        <w:t xml:space="preserve">Índice</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8740"/>
      </w:tblGrid>
      <w:tr>
        <w:trPr>
          <w:cantSplit/>
        </w:trPr>
        <w:tc>
          <w:tcPr>
            <w:tcW w:type="dxa" w:w="900"/>
            <w:tcBorders>
              <w:top w:val="none" w:color="FFFFFF" w:sz="0"/>
              <w:left w:val="none" w:color="FFFFFF" w:sz="0"/>
              <w:bottom w:val="single" w:color="E2E8F0" w:sz="4"/>
              <w:right w:val="none" w:color="FFFFFF" w:sz="0"/>
            </w:tcBorders>
            <w:tcMar>
              <w:top w:type="dxa" w:w="70"/>
              <w:left w:type="dxa" w:w="0"/>
              <w:bottom w:type="dxa" w:w="70"/>
              <w:right w:type="dxa" w:w="110"/>
            </w:tcMar>
            <w:vAlign w:val="top"/>
          </w:tcPr>
          <w:p>
            <w:r>
              <w:rPr>
                <w:rFonts w:ascii="Consolas" w:cs="Consolas" w:eastAsia="Consolas" w:hAnsi="Consolas"/>
                <w:b/>
                <w:bCs/>
                <w:color w:val="0D9488"/>
                <w:sz w:val="24"/>
                <w:szCs w:val="24"/>
              </w:rPr>
              <w:t xml:space="preserve">01</w:t>
            </w:r>
          </w:p>
        </w:tc>
        <w:tc>
          <w:tcPr>
            <w:tcW w:type="dxa" w:w="8740"/>
            <w:tcBorders>
              <w:top w:val="none" w:color="FFFFFF" w:sz="0"/>
              <w:left w:val="none" w:color="FFFFFF" w:sz="0"/>
              <w:bottom w:val="single" w:color="E2E8F0" w:sz="4"/>
              <w:right w:val="none" w:color="FFFFFF" w:sz="0"/>
            </w:tcBorders>
            <w:tcMar>
              <w:top w:type="dxa" w:w="70"/>
              <w:left w:type="dxa" w:w="110"/>
              <w:bottom w:type="dxa" w:w="70"/>
              <w:right w:type="dxa" w:w="110"/>
            </w:tcMar>
            <w:vAlign w:val="top"/>
          </w:tcPr>
          <w:p>
            <w:pPr>
              <w:spacing w:after="10"/>
            </w:pPr>
            <w:r>
              <w:rPr>
                <w:b/>
                <w:bCs/>
                <w:color w:val="0F172A"/>
                <w:sz w:val="21"/>
                <w:szCs w:val="21"/>
              </w:rPr>
              <w:t xml:space="preserve">Resumen técnico</w:t>
            </w:r>
          </w:p>
          <w:p>
            <w:r>
              <w:rPr>
                <w:color w:val="64748B"/>
                <w:sz w:val="17"/>
                <w:szCs w:val="17"/>
              </w:rPr>
              <w:t xml:space="preserve">El camino servicios web en dos páginas.</w:t>
            </w:r>
          </w:p>
        </w:tc>
      </w:tr>
      <w:tr>
        <w:trPr>
          <w:cantSplit/>
        </w:trPr>
        <w:tc>
          <w:tcPr>
            <w:tcW w:type="dxa" w:w="900"/>
            <w:tcBorders>
              <w:top w:val="none" w:color="FFFFFF" w:sz="0"/>
              <w:left w:val="none" w:color="FFFFFF" w:sz="0"/>
              <w:bottom w:val="single" w:color="E2E8F0" w:sz="4"/>
              <w:right w:val="none" w:color="FFFFFF" w:sz="0"/>
            </w:tcBorders>
            <w:tcMar>
              <w:top w:type="dxa" w:w="70"/>
              <w:left w:type="dxa" w:w="0"/>
              <w:bottom w:type="dxa" w:w="70"/>
              <w:right w:type="dxa" w:w="110"/>
            </w:tcMar>
            <w:vAlign w:val="top"/>
          </w:tcPr>
          <w:p>
            <w:r>
              <w:rPr>
                <w:rFonts w:ascii="Consolas" w:cs="Consolas" w:eastAsia="Consolas" w:hAnsi="Consolas"/>
                <w:b/>
                <w:bCs/>
                <w:color w:val="0D9488"/>
                <w:sz w:val="24"/>
                <w:szCs w:val="24"/>
              </w:rPr>
              <w:t xml:space="preserve">02</w:t>
            </w:r>
          </w:p>
        </w:tc>
        <w:tc>
          <w:tcPr>
            <w:tcW w:type="dxa" w:w="8740"/>
            <w:tcBorders>
              <w:top w:val="none" w:color="FFFFFF" w:sz="0"/>
              <w:left w:val="none" w:color="FFFFFF" w:sz="0"/>
              <w:bottom w:val="single" w:color="E2E8F0" w:sz="4"/>
              <w:right w:val="none" w:color="FFFFFF" w:sz="0"/>
            </w:tcBorders>
            <w:tcMar>
              <w:top w:type="dxa" w:w="70"/>
              <w:left w:type="dxa" w:w="110"/>
              <w:bottom w:type="dxa" w:w="70"/>
              <w:right w:type="dxa" w:w="110"/>
            </w:tcMar>
            <w:vAlign w:val="top"/>
          </w:tcPr>
          <w:p>
            <w:pPr>
              <w:spacing w:after="10"/>
            </w:pPr>
            <w:r>
              <w:rPr>
                <w:b/>
                <w:bCs/>
                <w:color w:val="0F172A"/>
                <w:sz w:val="21"/>
                <w:szCs w:val="21"/>
              </w:rPr>
              <w:t xml:space="preserve">Stack tecnológico completo</w:t>
            </w:r>
          </w:p>
          <w:p>
            <w:r>
              <w:rPr>
                <w:color w:val="64748B"/>
                <w:sz w:val="17"/>
                <w:szCs w:val="17"/>
              </w:rPr>
              <w:t xml:space="preserve">Del hardware al registro, capa por capa y por propuesta.</w:t>
            </w:r>
          </w:p>
        </w:tc>
      </w:tr>
      <w:tr>
        <w:trPr>
          <w:cantSplit/>
        </w:trPr>
        <w:tc>
          <w:tcPr>
            <w:tcW w:type="dxa" w:w="900"/>
            <w:tcBorders>
              <w:top w:val="none" w:color="FFFFFF" w:sz="0"/>
              <w:left w:val="none" w:color="FFFFFF" w:sz="0"/>
              <w:bottom w:val="single" w:color="E2E8F0" w:sz="4"/>
              <w:right w:val="none" w:color="FFFFFF" w:sz="0"/>
            </w:tcBorders>
            <w:tcMar>
              <w:top w:type="dxa" w:w="70"/>
              <w:left w:type="dxa" w:w="0"/>
              <w:bottom w:type="dxa" w:w="70"/>
              <w:right w:type="dxa" w:w="110"/>
            </w:tcMar>
            <w:vAlign w:val="top"/>
          </w:tcPr>
          <w:p>
            <w:r>
              <w:rPr>
                <w:rFonts w:ascii="Consolas" w:cs="Consolas" w:eastAsia="Consolas" w:hAnsi="Consolas"/>
                <w:b/>
                <w:bCs/>
                <w:color w:val="0D9488"/>
                <w:sz w:val="24"/>
                <w:szCs w:val="24"/>
              </w:rPr>
              <w:t xml:space="preserve">03</w:t>
            </w:r>
          </w:p>
        </w:tc>
        <w:tc>
          <w:tcPr>
            <w:tcW w:type="dxa" w:w="8740"/>
            <w:tcBorders>
              <w:top w:val="none" w:color="FFFFFF" w:sz="0"/>
              <w:left w:val="none" w:color="FFFFFF" w:sz="0"/>
              <w:bottom w:val="single" w:color="E2E8F0" w:sz="4"/>
              <w:right w:val="none" w:color="FFFFFF" w:sz="0"/>
            </w:tcBorders>
            <w:tcMar>
              <w:top w:type="dxa" w:w="70"/>
              <w:left w:type="dxa" w:w="110"/>
              <w:bottom w:type="dxa" w:w="70"/>
              <w:right w:type="dxa" w:w="110"/>
            </w:tcMar>
            <w:vAlign w:val="top"/>
          </w:tcPr>
          <w:p>
            <w:pPr>
              <w:spacing w:after="10"/>
            </w:pPr>
            <w:r>
              <w:rPr>
                <w:b/>
                <w:bCs/>
                <w:color w:val="0F172A"/>
                <w:sz w:val="21"/>
                <w:szCs w:val="21"/>
              </w:rPr>
              <w:t xml:space="preserve">Modo de operación</w:t>
            </w:r>
          </w:p>
          <w:p>
            <w:r>
              <w:rPr>
                <w:color w:val="64748B"/>
                <w:sz w:val="17"/>
                <w:szCs w:val="17"/>
              </w:rPr>
              <w:t xml:space="preserve">Qué hace el sistema, qué hace la persona y qué nunca se automatiza.</w:t>
            </w:r>
          </w:p>
        </w:tc>
      </w:tr>
      <w:tr>
        <w:trPr>
          <w:cantSplit/>
        </w:trPr>
        <w:tc>
          <w:tcPr>
            <w:tcW w:type="dxa" w:w="900"/>
            <w:tcBorders>
              <w:top w:val="none" w:color="FFFFFF" w:sz="0"/>
              <w:left w:val="none" w:color="FFFFFF" w:sz="0"/>
              <w:bottom w:val="single" w:color="E2E8F0" w:sz="4"/>
              <w:right w:val="none" w:color="FFFFFF" w:sz="0"/>
            </w:tcBorders>
            <w:tcMar>
              <w:top w:type="dxa" w:w="70"/>
              <w:left w:type="dxa" w:w="0"/>
              <w:bottom w:type="dxa" w:w="70"/>
              <w:right w:type="dxa" w:w="110"/>
            </w:tcMar>
            <w:vAlign w:val="top"/>
          </w:tcPr>
          <w:p>
            <w:r>
              <w:rPr>
                <w:rFonts w:ascii="Consolas" w:cs="Consolas" w:eastAsia="Consolas" w:hAnsi="Consolas"/>
                <w:b/>
                <w:bCs/>
                <w:color w:val="0D9488"/>
                <w:sz w:val="24"/>
                <w:szCs w:val="24"/>
              </w:rPr>
              <w:t xml:space="preserve">04</w:t>
            </w:r>
          </w:p>
        </w:tc>
        <w:tc>
          <w:tcPr>
            <w:tcW w:type="dxa" w:w="8740"/>
            <w:tcBorders>
              <w:top w:val="none" w:color="FFFFFF" w:sz="0"/>
              <w:left w:val="none" w:color="FFFFFF" w:sz="0"/>
              <w:bottom w:val="single" w:color="E2E8F0" w:sz="4"/>
              <w:right w:val="none" w:color="FFFFFF" w:sz="0"/>
            </w:tcBorders>
            <w:tcMar>
              <w:top w:type="dxa" w:w="70"/>
              <w:left w:type="dxa" w:w="110"/>
              <w:bottom w:type="dxa" w:w="70"/>
              <w:right w:type="dxa" w:w="110"/>
            </w:tcMar>
            <w:vAlign w:val="top"/>
          </w:tcPr>
          <w:p>
            <w:pPr>
              <w:spacing w:after="10"/>
            </w:pPr>
            <w:r>
              <w:rPr>
                <w:b/>
                <w:bCs/>
                <w:color w:val="0F172A"/>
                <w:sz w:val="21"/>
                <w:szCs w:val="21"/>
              </w:rPr>
              <w:t xml:space="preserve">Cómo funciona paso a paso (técnico)</w:t>
            </w:r>
          </w:p>
          <w:p>
            <w:r>
              <w:rPr>
                <w:color w:val="64748B"/>
                <w:sz w:val="17"/>
                <w:szCs w:val="17"/>
              </w:rPr>
              <w:t xml:space="preserve">El recorrido por el canal oficial, con su control.</w:t>
            </w:r>
          </w:p>
        </w:tc>
      </w:tr>
      <w:tr>
        <w:trPr>
          <w:cantSplit/>
        </w:trPr>
        <w:tc>
          <w:tcPr>
            <w:tcW w:type="dxa" w:w="900"/>
            <w:tcBorders>
              <w:top w:val="none" w:color="FFFFFF" w:sz="0"/>
              <w:left w:val="none" w:color="FFFFFF" w:sz="0"/>
              <w:bottom w:val="single" w:color="E2E8F0" w:sz="4"/>
              <w:right w:val="none" w:color="FFFFFF" w:sz="0"/>
            </w:tcBorders>
            <w:tcMar>
              <w:top w:type="dxa" w:w="70"/>
              <w:left w:type="dxa" w:w="0"/>
              <w:bottom w:type="dxa" w:w="70"/>
              <w:right w:type="dxa" w:w="110"/>
            </w:tcMar>
            <w:vAlign w:val="top"/>
          </w:tcPr>
          <w:p>
            <w:r>
              <w:rPr>
                <w:rFonts w:ascii="Consolas" w:cs="Consolas" w:eastAsia="Consolas" w:hAnsi="Consolas"/>
                <w:b/>
                <w:bCs/>
                <w:color w:val="0D9488"/>
                <w:sz w:val="24"/>
                <w:szCs w:val="24"/>
              </w:rPr>
              <w:t xml:space="preserve">05</w:t>
            </w:r>
          </w:p>
        </w:tc>
        <w:tc>
          <w:tcPr>
            <w:tcW w:type="dxa" w:w="8740"/>
            <w:tcBorders>
              <w:top w:val="none" w:color="FFFFFF" w:sz="0"/>
              <w:left w:val="none" w:color="FFFFFF" w:sz="0"/>
              <w:bottom w:val="single" w:color="E2E8F0" w:sz="4"/>
              <w:right w:val="none" w:color="FFFFFF" w:sz="0"/>
            </w:tcBorders>
            <w:tcMar>
              <w:top w:type="dxa" w:w="70"/>
              <w:left w:type="dxa" w:w="110"/>
              <w:bottom w:type="dxa" w:w="70"/>
              <w:right w:type="dxa" w:w="110"/>
            </w:tcMar>
            <w:vAlign w:val="top"/>
          </w:tcPr>
          <w:p>
            <w:pPr>
              <w:spacing w:after="10"/>
            </w:pPr>
            <w:r>
              <w:rPr>
                <w:b/>
                <w:bCs/>
                <w:color w:val="0F172A"/>
                <w:sz w:val="21"/>
                <w:szCs w:val="21"/>
              </w:rPr>
              <w:t xml:space="preserve">Arquitectura</w:t>
            </w:r>
          </w:p>
          <w:p>
            <w:r>
              <w:rPr>
                <w:color w:val="64748B"/>
                <w:sz w:val="17"/>
                <w:szCs w:val="17"/>
              </w:rPr>
              <w:t xml:space="preserve">Conector, motor, IA local y GDP-SLEP Studio.</w:t>
            </w:r>
          </w:p>
        </w:tc>
      </w:tr>
      <w:tr>
        <w:trPr>
          <w:cantSplit/>
        </w:trPr>
        <w:tc>
          <w:tcPr>
            <w:tcW w:type="dxa" w:w="900"/>
            <w:tcBorders>
              <w:top w:val="none" w:color="FFFFFF" w:sz="0"/>
              <w:left w:val="none" w:color="FFFFFF" w:sz="0"/>
              <w:bottom w:val="single" w:color="E2E8F0" w:sz="4"/>
              <w:right w:val="none" w:color="FFFFFF" w:sz="0"/>
            </w:tcBorders>
            <w:tcMar>
              <w:top w:type="dxa" w:w="70"/>
              <w:left w:type="dxa" w:w="0"/>
              <w:bottom w:type="dxa" w:w="70"/>
              <w:right w:type="dxa" w:w="110"/>
            </w:tcMar>
            <w:vAlign w:val="top"/>
          </w:tcPr>
          <w:p>
            <w:r>
              <w:rPr>
                <w:rFonts w:ascii="Consolas" w:cs="Consolas" w:eastAsia="Consolas" w:hAnsi="Consolas"/>
                <w:b/>
                <w:bCs/>
                <w:color w:val="0D9488"/>
                <w:sz w:val="24"/>
                <w:szCs w:val="24"/>
              </w:rPr>
              <w:t xml:space="preserve">06</w:t>
            </w:r>
          </w:p>
        </w:tc>
        <w:tc>
          <w:tcPr>
            <w:tcW w:type="dxa" w:w="8740"/>
            <w:tcBorders>
              <w:top w:val="none" w:color="FFFFFF" w:sz="0"/>
              <w:left w:val="none" w:color="FFFFFF" w:sz="0"/>
              <w:bottom w:val="single" w:color="E2E8F0" w:sz="4"/>
              <w:right w:val="none" w:color="FFFFFF" w:sz="0"/>
            </w:tcBorders>
            <w:tcMar>
              <w:top w:type="dxa" w:w="70"/>
              <w:left w:type="dxa" w:w="110"/>
              <w:bottom w:type="dxa" w:w="70"/>
              <w:right w:type="dxa" w:w="110"/>
            </w:tcMar>
            <w:vAlign w:val="top"/>
          </w:tcPr>
          <w:p>
            <w:pPr>
              <w:spacing w:after="10"/>
            </w:pPr>
            <w:r>
              <w:rPr>
                <w:b/>
                <w:bCs/>
                <w:color w:val="0F172A"/>
                <w:sz w:val="21"/>
                <w:szCs w:val="21"/>
              </w:rPr>
              <w:t xml:space="preserve">Diseño del conector (FONASA y ERP)</w:t>
            </w:r>
          </w:p>
          <w:p>
            <w:r>
              <w:rPr>
                <w:color w:val="64748B"/>
                <w:sz w:val="17"/>
                <w:szCs w:val="17"/>
              </w:rPr>
              <w:t xml:space="preserve">Reglas, credenciales, modo seguro y el conector del ERP (Proexsi).</w:t>
            </w:r>
          </w:p>
        </w:tc>
      </w:tr>
      <w:tr>
        <w:trPr>
          <w:cantSplit/>
        </w:trPr>
        <w:tc>
          <w:tcPr>
            <w:tcW w:type="dxa" w:w="900"/>
            <w:tcBorders>
              <w:top w:val="none" w:color="FFFFFF" w:sz="0"/>
              <w:left w:val="none" w:color="FFFFFF" w:sz="0"/>
              <w:bottom w:val="single" w:color="E2E8F0" w:sz="4"/>
              <w:right w:val="none" w:color="FFFFFF" w:sz="0"/>
            </w:tcBorders>
            <w:tcMar>
              <w:top w:type="dxa" w:w="70"/>
              <w:left w:type="dxa" w:w="0"/>
              <w:bottom w:type="dxa" w:w="70"/>
              <w:right w:type="dxa" w:w="110"/>
            </w:tcMar>
            <w:vAlign w:val="top"/>
          </w:tcPr>
          <w:p>
            <w:r>
              <w:rPr>
                <w:rFonts w:ascii="Consolas" w:cs="Consolas" w:eastAsia="Consolas" w:hAnsi="Consolas"/>
                <w:b/>
                <w:bCs/>
                <w:color w:val="0D9488"/>
                <w:sz w:val="24"/>
                <w:szCs w:val="24"/>
              </w:rPr>
              <w:t xml:space="preserve">07</w:t>
            </w:r>
          </w:p>
        </w:tc>
        <w:tc>
          <w:tcPr>
            <w:tcW w:type="dxa" w:w="8740"/>
            <w:tcBorders>
              <w:top w:val="none" w:color="FFFFFF" w:sz="0"/>
              <w:left w:val="none" w:color="FFFFFF" w:sz="0"/>
              <w:bottom w:val="single" w:color="E2E8F0" w:sz="4"/>
              <w:right w:val="none" w:color="FFFFFF" w:sz="0"/>
            </w:tcBorders>
            <w:tcMar>
              <w:top w:type="dxa" w:w="70"/>
              <w:left w:type="dxa" w:w="110"/>
              <w:bottom w:type="dxa" w:w="70"/>
              <w:right w:type="dxa" w:w="110"/>
            </w:tcMar>
            <w:vAlign w:val="top"/>
          </w:tcPr>
          <w:p>
            <w:pPr>
              <w:spacing w:after="10"/>
            </w:pPr>
            <w:r>
              <w:rPr>
                <w:b/>
                <w:bCs/>
                <w:color w:val="0F172A"/>
                <w:sz w:val="21"/>
                <w:szCs w:val="21"/>
              </w:rPr>
              <w:t xml:space="preserve">Tres propuestas del camino</w:t>
            </w:r>
          </w:p>
          <w:p>
            <w:r>
              <w:rPr>
                <w:color w:val="64748B"/>
                <w:sz w:val="17"/>
                <w:szCs w:val="17"/>
              </w:rPr>
              <w:t xml:space="preserve">WS1 costo cero, WS2 óptima, WS3 avanzada.</w:t>
            </w:r>
          </w:p>
        </w:tc>
      </w:tr>
      <w:tr>
        <w:trPr>
          <w:cantSplit/>
        </w:trPr>
        <w:tc>
          <w:tcPr>
            <w:tcW w:type="dxa" w:w="900"/>
            <w:tcBorders>
              <w:top w:val="none" w:color="FFFFFF" w:sz="0"/>
              <w:left w:val="none" w:color="FFFFFF" w:sz="0"/>
              <w:bottom w:val="single" w:color="E2E8F0" w:sz="4"/>
              <w:right w:val="none" w:color="FFFFFF" w:sz="0"/>
            </w:tcBorders>
            <w:tcMar>
              <w:top w:type="dxa" w:w="70"/>
              <w:left w:type="dxa" w:w="0"/>
              <w:bottom w:type="dxa" w:w="70"/>
              <w:right w:type="dxa" w:w="110"/>
            </w:tcMar>
            <w:vAlign w:val="top"/>
          </w:tcPr>
          <w:p>
            <w:r>
              <w:rPr>
                <w:rFonts w:ascii="Consolas" w:cs="Consolas" w:eastAsia="Consolas" w:hAnsi="Consolas"/>
                <w:b/>
                <w:bCs/>
                <w:color w:val="0D9488"/>
                <w:sz w:val="24"/>
                <w:szCs w:val="24"/>
              </w:rPr>
              <w:t xml:space="preserve">08</w:t>
            </w:r>
          </w:p>
        </w:tc>
        <w:tc>
          <w:tcPr>
            <w:tcW w:type="dxa" w:w="8740"/>
            <w:tcBorders>
              <w:top w:val="none" w:color="FFFFFF" w:sz="0"/>
              <w:left w:val="none" w:color="FFFFFF" w:sz="0"/>
              <w:bottom w:val="single" w:color="E2E8F0" w:sz="4"/>
              <w:right w:val="none" w:color="FFFFFF" w:sz="0"/>
            </w:tcBorders>
            <w:tcMar>
              <w:top w:type="dxa" w:w="70"/>
              <w:left w:type="dxa" w:w="110"/>
              <w:bottom w:type="dxa" w:w="70"/>
              <w:right w:type="dxa" w:w="110"/>
            </w:tcMar>
            <w:vAlign w:val="top"/>
          </w:tcPr>
          <w:p>
            <w:pPr>
              <w:spacing w:after="10"/>
            </w:pPr>
            <w:r>
              <w:rPr>
                <w:b/>
                <w:bCs/>
                <w:color w:val="0F172A"/>
                <w:sz w:val="21"/>
                <w:szCs w:val="21"/>
              </w:rPr>
              <w:t xml:space="preserve">Pruebas y puesta en marcha</w:t>
            </w:r>
          </w:p>
          <w:p>
            <w:r>
              <w:rPr>
                <w:color w:val="64748B"/>
                <w:sz w:val="17"/>
                <w:szCs w:val="17"/>
              </w:rPr>
              <w:t xml:space="preserve">Ambientes, casos y criterios de aceptación.</w:t>
            </w:r>
          </w:p>
        </w:tc>
      </w:tr>
      <w:tr>
        <w:trPr>
          <w:cantSplit/>
        </w:trPr>
        <w:tc>
          <w:tcPr>
            <w:tcW w:type="dxa" w:w="900"/>
            <w:tcBorders>
              <w:top w:val="none" w:color="FFFFFF" w:sz="0"/>
              <w:left w:val="none" w:color="FFFFFF" w:sz="0"/>
              <w:bottom w:val="single" w:color="E2E8F0" w:sz="4"/>
              <w:right w:val="none" w:color="FFFFFF" w:sz="0"/>
            </w:tcBorders>
            <w:tcMar>
              <w:top w:type="dxa" w:w="70"/>
              <w:left w:type="dxa" w:w="0"/>
              <w:bottom w:type="dxa" w:w="70"/>
              <w:right w:type="dxa" w:w="110"/>
            </w:tcMar>
            <w:vAlign w:val="top"/>
          </w:tcPr>
          <w:p>
            <w:r>
              <w:rPr>
                <w:rFonts w:ascii="Consolas" w:cs="Consolas" w:eastAsia="Consolas" w:hAnsi="Consolas"/>
                <w:b/>
                <w:bCs/>
                <w:color w:val="0D9488"/>
                <w:sz w:val="24"/>
                <w:szCs w:val="24"/>
              </w:rPr>
              <w:t xml:space="preserve">09</w:t>
            </w:r>
          </w:p>
        </w:tc>
        <w:tc>
          <w:tcPr>
            <w:tcW w:type="dxa" w:w="8740"/>
            <w:tcBorders>
              <w:top w:val="none" w:color="FFFFFF" w:sz="0"/>
              <w:left w:val="none" w:color="FFFFFF" w:sz="0"/>
              <w:bottom w:val="single" w:color="E2E8F0" w:sz="4"/>
              <w:right w:val="none" w:color="FFFFFF" w:sz="0"/>
            </w:tcBorders>
            <w:tcMar>
              <w:top w:type="dxa" w:w="70"/>
              <w:left w:type="dxa" w:w="110"/>
              <w:bottom w:type="dxa" w:w="70"/>
              <w:right w:type="dxa" w:w="110"/>
            </w:tcMar>
            <w:vAlign w:val="top"/>
          </w:tcPr>
          <w:p>
            <w:pPr>
              <w:spacing w:after="10"/>
            </w:pPr>
            <w:r>
              <w:rPr>
                <w:b/>
                <w:bCs/>
                <w:color w:val="0F172A"/>
                <w:sz w:val="21"/>
                <w:szCs w:val="21"/>
              </w:rPr>
              <w:t xml:space="preserve">Carta Gantt técnica</w:t>
            </w:r>
          </w:p>
          <w:p>
            <w:r>
              <w:rPr>
                <w:color w:val="64748B"/>
                <w:sz w:val="17"/>
                <w:szCs w:val="17"/>
              </w:rPr>
              <w:t xml:space="preserve">Alineada con la carta general del Informe 08.</w:t>
            </w:r>
          </w:p>
        </w:tc>
      </w:tr>
      <w:tr>
        <w:trPr>
          <w:cantSplit/>
        </w:trPr>
        <w:tc>
          <w:tcPr>
            <w:tcW w:type="dxa" w:w="900"/>
            <w:tcBorders>
              <w:top w:val="none" w:color="FFFFFF" w:sz="0"/>
              <w:left w:val="none" w:color="FFFFFF" w:sz="0"/>
              <w:bottom w:val="single" w:color="E2E8F0" w:sz="4"/>
              <w:right w:val="none" w:color="FFFFFF" w:sz="0"/>
            </w:tcBorders>
            <w:tcMar>
              <w:top w:type="dxa" w:w="70"/>
              <w:left w:type="dxa" w:w="0"/>
              <w:bottom w:type="dxa" w:w="70"/>
              <w:right w:type="dxa" w:w="110"/>
            </w:tcMar>
            <w:vAlign w:val="top"/>
          </w:tcPr>
          <w:p>
            <w:r>
              <w:rPr>
                <w:rFonts w:ascii="Consolas" w:cs="Consolas" w:eastAsia="Consolas" w:hAnsi="Consolas"/>
                <w:b/>
                <w:bCs/>
                <w:color w:val="0D9488"/>
                <w:sz w:val="24"/>
                <w:szCs w:val="24"/>
              </w:rPr>
              <w:t xml:space="preserve">10</w:t>
            </w:r>
          </w:p>
        </w:tc>
        <w:tc>
          <w:tcPr>
            <w:tcW w:type="dxa" w:w="8740"/>
            <w:tcBorders>
              <w:top w:val="none" w:color="FFFFFF" w:sz="0"/>
              <w:left w:val="none" w:color="FFFFFF" w:sz="0"/>
              <w:bottom w:val="single" w:color="E2E8F0" w:sz="4"/>
              <w:right w:val="none" w:color="FFFFFF" w:sz="0"/>
            </w:tcBorders>
            <w:tcMar>
              <w:top w:type="dxa" w:w="70"/>
              <w:left w:type="dxa" w:w="110"/>
              <w:bottom w:type="dxa" w:w="70"/>
              <w:right w:type="dxa" w:w="110"/>
            </w:tcMar>
            <w:vAlign w:val="top"/>
          </w:tcPr>
          <w:p>
            <w:pPr>
              <w:spacing w:after="10"/>
            </w:pPr>
            <w:r>
              <w:rPr>
                <w:b/>
                <w:bCs/>
                <w:color w:val="0F172A"/>
                <w:sz w:val="21"/>
                <w:szCs w:val="21"/>
              </w:rPr>
              <w:t xml:space="preserve">Conclusiones</w:t>
            </w:r>
          </w:p>
          <w:p>
            <w:r>
              <w:rPr>
                <w:color w:val="64748B"/>
                <w:sz w:val="17"/>
                <w:szCs w:val="17"/>
              </w:rPr>
              <w:t xml:space="preserve">Recomendación por propuesta.</w:t>
            </w:r>
          </w:p>
        </w:tc>
      </w:tr>
    </w:tbl>
    <w:p>
      <w:pPr>
        <w:keepNext/>
        <w:pageBreakBefore/>
        <w:spacing w:after="60"/>
      </w:pPr>
      <w:r>
        <w:rPr>
          <w:rFonts w:ascii="Consolas" w:cs="Consolas" w:eastAsia="Consolas" w:hAnsi="Consolas"/>
          <w:b/>
          <w:bCs/>
          <w:color w:val="0D9488"/>
          <w:spacing w:val="30"/>
          <w:sz w:val="16"/>
          <w:szCs w:val="16"/>
        </w:rPr>
        <w:t xml:space="preserve">SECCIÓN 01</w:t>
      </w:r>
      <w:r>
        <w:rPr>
          <w:rFonts w:ascii="Consolas" w:cs="Consolas" w:eastAsia="Consolas" w:hAnsi="Consolas"/>
          <w:color w:val="94A3B8"/>
          <w:sz w:val="16"/>
          <w:szCs w:val="16"/>
        </w:rPr>
        <w:t xml:space="preserve">  /  resumen</w:t>
      </w:r>
    </w:p>
    <w:p>
      <w:pPr>
        <w:pStyle w:val="Heading1"/>
        <w:keepNext/>
        <w:pBdr>
          <w:bottom w:val="single" w:color="E2E8F0" w:sz="6" w:space="6"/>
        </w:pBdr>
        <w:spacing w:after="160"/>
      </w:pPr>
      <w:r>
        <w:rPr>
          <w:rFonts w:ascii="Calibri" w:cs="Calibri" w:eastAsia="Calibri" w:hAnsi="Calibri"/>
          <w:b/>
          <w:bCs/>
          <w:color w:val="0F172A"/>
          <w:sz w:val="34"/>
          <w:szCs w:val="34"/>
        </w:rPr>
        <w:t xml:space="preserve">Resumen técnico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El Estado dispone de un canal formal para que sus organismos intercambien datos; usarlo es lo más estable y defendible.</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Diseñar la integración con el servicio oficial de FONASA, con aprobación humana, dentro de los límites del Informe 00.</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Conector en Python contra el servicio de la Red de Interoperabilidad, motor de plazos, IA local y aprobación en GDP-SLEP Studio.</w:t>
            </w:r>
          </w:p>
        </w:tc>
      </w:tr>
    </w:tbl>
    <w:p>
      <w:pPr>
        <w:spacing w:after="140" w:before="0" w:line="120"/>
      </w:pPr>
    </w:p>
    <w:p>
      <w:pPr>
        <w:spacing w:after="140" w:before="0" w:line="276"/>
        <w:jc w:val="left"/>
      </w:pPr>
      <w:r>
        <w:rPr>
          <w:rFonts w:ascii="Calibri" w:cs="Calibri" w:eastAsia="Calibri" w:hAnsi="Calibri"/>
          <w:color w:val="334155"/>
          <w:sz w:val="19"/>
          <w:szCs w:val="19"/>
        </w:rPr>
        <w:t xml:space="preserve">El camino de servicios web integra con el </w:t>
      </w:r>
      <w:r>
        <w:rPr>
          <w:rFonts w:ascii="Calibri" w:cs="Calibri" w:eastAsia="Calibri" w:hAnsi="Calibri"/>
          <w:b/>
          <w:bCs/>
          <w:color w:val="0F172A"/>
          <w:sz w:val="19"/>
          <w:szCs w:val="19"/>
        </w:rPr>
        <w:t xml:space="preserve">servicio oficial</w:t>
      </w:r>
      <w:r>
        <w:rPr>
          <w:rFonts w:ascii="Calibri" w:cs="Calibri" w:eastAsia="Calibri" w:hAnsi="Calibri"/>
          <w:color w:val="334155"/>
          <w:sz w:val="19"/>
          <w:szCs w:val="19"/>
        </w:rPr>
        <w:t xml:space="preserve"> que FONASA pone a disposición de los organismos del Estado a través de la </w:t>
      </w:r>
      <w:r>
        <w:rPr>
          <w:rFonts w:ascii="Calibri" w:cs="Calibri" w:eastAsia="Calibri" w:hAnsi="Calibri"/>
          <w:b/>
          <w:bCs/>
          <w:color w:val="0F172A"/>
          <w:sz w:val="19"/>
          <w:szCs w:val="19"/>
        </w:rPr>
        <w:t xml:space="preserve">Red de Interoperabilidad</w:t>
      </w:r>
      <w:r>
        <w:rPr>
          <w:rFonts w:ascii="Calibri" w:cs="Calibri" w:eastAsia="Calibri" w:hAnsi="Calibri"/>
          <w:color w:val="334155"/>
          <w:sz w:val="19"/>
          <w:szCs w:val="19"/>
        </w:rPr>
        <w:t xml:space="preserve">. La DEP </w:t>
      </w:r>
      <w:r>
        <w:rPr>
          <w:rFonts w:ascii="Calibri" w:cs="Calibri" w:eastAsia="Calibri" w:hAnsi="Calibri"/>
          <w:b/>
          <w:bCs/>
          <w:color w:val="0F172A"/>
          <w:sz w:val="19"/>
          <w:szCs w:val="19"/>
        </w:rPr>
        <w:t xml:space="preserve">solicita el servicio</w:t>
      </w:r>
      <w:r>
        <w:rPr>
          <w:rFonts w:ascii="Calibri" w:cs="Calibri" w:eastAsia="Calibri" w:hAnsi="Calibri"/>
          <w:color w:val="334155"/>
          <w:sz w:val="19"/>
          <w:szCs w:val="19"/>
        </w:rPr>
        <w:t xml:space="preserve"> de licencias; una vez otorgado y firmado el acuerdo, el conector consulta las licencias y, </w:t>
      </w:r>
      <w:r>
        <w:rPr>
          <w:rFonts w:ascii="Calibri" w:cs="Calibri" w:eastAsia="Calibri" w:hAnsi="Calibri"/>
          <w:b/>
          <w:bCs/>
          <w:color w:val="0F172A"/>
          <w:sz w:val="19"/>
          <w:szCs w:val="19"/>
        </w:rPr>
        <w:t xml:space="preserve">tras la aprobación del encargado</w:t>
      </w:r>
      <w:r>
        <w:rPr>
          <w:rFonts w:ascii="Calibri" w:cs="Calibri" w:eastAsia="Calibri" w:hAnsi="Calibri"/>
          <w:color w:val="334155"/>
          <w:sz w:val="19"/>
          <w:szCs w:val="19"/>
        </w:rPr>
        <w:t xml:space="preserve">, envía la zona C por ese canal y guarda el </w:t>
      </w:r>
      <w:r>
        <w:rPr>
          <w:rFonts w:ascii="Calibri" w:cs="Calibri" w:eastAsia="Calibri" w:hAnsi="Calibri"/>
          <w:b/>
          <w:bCs/>
          <w:color w:val="0F172A"/>
          <w:sz w:val="19"/>
          <w:szCs w:val="19"/>
        </w:rPr>
        <w:t xml:space="preserve">acuse oficial</w:t>
      </w:r>
      <w:r>
        <w:rPr>
          <w:rFonts w:ascii="Calibri" w:cs="Calibri" w:eastAsia="Calibri" w:hAnsi="Calibri"/>
          <w:color w:val="334155"/>
          <w:sz w:val="19"/>
          <w:szCs w:val="19"/>
        </w:rPr>
        <w:t xml:space="preserve">. No hay pantalla ni sesión de usuario: la conexión es </w:t>
      </w:r>
      <w:r>
        <w:rPr>
          <w:rFonts w:ascii="Calibri" w:cs="Calibri" w:eastAsia="Calibri" w:hAnsi="Calibri"/>
          <w:b/>
          <w:bCs/>
          <w:color w:val="0F172A"/>
          <w:sz w:val="19"/>
          <w:szCs w:val="19"/>
        </w:rPr>
        <w:t xml:space="preserve">de institución a institución</w:t>
      </w:r>
      <w:r>
        <w:rPr>
          <w:rFonts w:ascii="Calibri" w:cs="Calibri" w:eastAsia="Calibri" w:hAnsi="Calibri"/>
          <w:color w:val="334155"/>
          <w:sz w:val="19"/>
          <w:szCs w:val="19"/>
        </w:rPr>
        <w:t xml:space="preserve">, con credenciales de servicio.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10"/>
        <w:gridCol w:w="2410"/>
        <w:gridCol w:w="2410"/>
        <w:gridCol w:w="2410"/>
      </w:tblGrid>
      <w:tr>
        <w:trPr>
          <w:cantSplit/>
        </w:trPr>
        <w:tc>
          <w:tcPr>
            <w:tcW w:type="dxa" w:w="2410"/>
            <w:tcBorders>
              <w:top w:val="single" w:color="0F172A" w:sz="8"/>
              <w:left w:val="none" w:color="FFFFFF" w:sz="0"/>
              <w:bottom w:val="none" w:color="FFFFFF" w:sz="0"/>
              <w:right w:val="none" w:color="FFFFFF" w:sz="0"/>
            </w:tcBorders>
            <w:tcMar>
              <w:top w:type="dxa" w:w="100"/>
              <w:left w:type="dxa" w:w="60"/>
              <w:bottom w:type="dxa" w:w="80"/>
              <w:right w:type="dxa" w:w="110"/>
            </w:tcMar>
            <w:vAlign w:val="top"/>
          </w:tcPr>
          <w:p>
            <w:pPr>
              <w:spacing w:after="20"/>
            </w:pPr>
            <w:r>
              <w:rPr>
                <w:rFonts w:ascii="Consolas" w:cs="Consolas" w:eastAsia="Consolas" w:hAnsi="Consolas"/>
                <w:b/>
                <w:bCs/>
                <w:color w:val="0D9488"/>
                <w:sz w:val="40"/>
                <w:szCs w:val="40"/>
              </w:rPr>
              <w:t xml:space="preserve">0</w:t>
            </w:r>
          </w:p>
          <w:p>
            <w:pPr>
              <w:spacing w:after="0" w:line="240"/>
            </w:pPr>
            <w:r>
              <w:rPr>
                <w:color w:val="64748B"/>
                <w:sz w:val="16"/>
                <w:szCs w:val="16"/>
              </w:rPr>
              <w:t xml:space="preserve">pantallas que mantener</w:t>
            </w:r>
          </w:p>
        </w:tc>
        <w:tc>
          <w:tcPr>
            <w:tcW w:type="dxa" w:w="2410"/>
            <w:tcBorders>
              <w:top w:val="single" w:color="0F172A" w:sz="8"/>
              <w:left w:val="none" w:color="FFFFFF" w:sz="0"/>
              <w:bottom w:val="none" w:color="FFFFFF" w:sz="0"/>
              <w:right w:val="none" w:color="FFFFFF" w:sz="0"/>
            </w:tcBorders>
            <w:tcMar>
              <w:top w:type="dxa" w:w="100"/>
              <w:left w:type="dxa" w:w="60"/>
              <w:bottom w:type="dxa" w:w="80"/>
              <w:right w:type="dxa" w:w="110"/>
            </w:tcMar>
            <w:vAlign w:val="top"/>
          </w:tcPr>
          <w:p>
            <w:pPr>
              <w:spacing w:after="20"/>
            </w:pPr>
            <w:r>
              <w:rPr>
                <w:rFonts w:ascii="Consolas" w:cs="Consolas" w:eastAsia="Consolas" w:hAnsi="Consolas"/>
                <w:b/>
                <w:bCs/>
                <w:color w:val="0D9488"/>
                <w:sz w:val="40"/>
                <w:szCs w:val="40"/>
              </w:rPr>
              <w:t xml:space="preserve">12 → 3</w:t>
            </w:r>
          </w:p>
          <w:p>
            <w:pPr>
              <w:spacing w:after="0" w:line="240"/>
            </w:pPr>
            <w:r>
              <w:rPr>
                <w:color w:val="64748B"/>
                <w:sz w:val="16"/>
                <w:szCs w:val="16"/>
              </w:rPr>
              <w:t xml:space="preserve">minutos por licencia (estimado)</w:t>
            </w:r>
          </w:p>
        </w:tc>
        <w:tc>
          <w:tcPr>
            <w:tcW w:type="dxa" w:w="2410"/>
            <w:tcBorders>
              <w:top w:val="single" w:color="0F172A" w:sz="8"/>
              <w:left w:val="none" w:color="FFFFFF" w:sz="0"/>
              <w:bottom w:val="none" w:color="FFFFFF" w:sz="0"/>
              <w:right w:val="none" w:color="FFFFFF" w:sz="0"/>
            </w:tcBorders>
            <w:tcMar>
              <w:top w:type="dxa" w:w="100"/>
              <w:left w:type="dxa" w:w="60"/>
              <w:bottom w:type="dxa" w:w="80"/>
              <w:right w:type="dxa" w:w="110"/>
            </w:tcMar>
            <w:vAlign w:val="top"/>
          </w:tcPr>
          <w:p>
            <w:pPr>
              <w:spacing w:after="20"/>
            </w:pPr>
            <w:r>
              <w:rPr>
                <w:rFonts w:ascii="Consolas" w:cs="Consolas" w:eastAsia="Consolas" w:hAnsi="Consolas"/>
                <w:b/>
                <w:bCs/>
                <w:color w:val="0D9488"/>
                <w:sz w:val="40"/>
                <w:szCs w:val="40"/>
              </w:rPr>
              <w:t xml:space="preserve">130–159</w:t>
            </w:r>
          </w:p>
          <w:p>
            <w:pPr>
              <w:spacing w:after="0" w:line="240"/>
            </w:pPr>
            <w:r>
              <w:rPr>
                <w:color w:val="64748B"/>
                <w:sz w:val="16"/>
                <w:szCs w:val="16"/>
              </w:rPr>
              <w:t xml:space="preserve">horas liberadas al mes por SLEP medio</w:t>
            </w:r>
          </w:p>
        </w:tc>
        <w:tc>
          <w:tcPr>
            <w:tcW w:type="dxa" w:w="2410"/>
            <w:tcBorders>
              <w:top w:val="single" w:color="0F172A" w:sz="8"/>
              <w:left w:val="none" w:color="FFFFFF" w:sz="0"/>
              <w:bottom w:val="none" w:color="FFFFFF" w:sz="0"/>
              <w:right w:val="none" w:color="FFFFFF" w:sz="0"/>
            </w:tcBorders>
            <w:tcMar>
              <w:top w:type="dxa" w:w="100"/>
              <w:left w:type="dxa" w:w="60"/>
              <w:bottom w:type="dxa" w:w="80"/>
              <w:right w:type="dxa" w:w="110"/>
            </w:tcMar>
            <w:vAlign w:val="top"/>
          </w:tcPr>
          <w:p>
            <w:pPr>
              <w:spacing w:after="20"/>
            </w:pPr>
            <w:r>
              <w:rPr>
                <w:rFonts w:ascii="Consolas" w:cs="Consolas" w:eastAsia="Consolas" w:hAnsi="Consolas"/>
                <w:b/>
                <w:bCs/>
                <w:color w:val="0D9488"/>
                <w:sz w:val="40"/>
                <w:szCs w:val="40"/>
              </w:rPr>
              <w:t xml:space="preserve">15</w:t>
            </w:r>
          </w:p>
          <w:p>
            <w:pPr>
              <w:spacing w:after="0" w:line="240"/>
            </w:pPr>
            <w:r>
              <w:rPr>
                <w:color w:val="64748B"/>
                <w:sz w:val="16"/>
                <w:szCs w:val="16"/>
              </w:rPr>
              <w:t xml:space="preserve">días hábiles: plazo de referencia del otorgamiento</w:t>
            </w:r>
          </w:p>
        </w:tc>
      </w:tr>
    </w:tbl>
    <w:p>
      <w:pPr>
        <w:spacing w:after="160" w:before="0" w:line="120"/>
      </w:pPr>
    </w:p>
    <w:p>
      <w:pPr>
        <w:pStyle w:val="Heading3"/>
        <w:keepNext/>
        <w:spacing w:after="80" w:before="180"/>
      </w:pPr>
      <w:r>
        <w:rPr>
          <w:rFonts w:ascii="Calibri" w:cs="Calibri" w:eastAsia="Calibri" w:hAnsi="Calibri"/>
          <w:b/>
          <w:bCs/>
          <w:color w:val="0F766E"/>
          <w:sz w:val="22"/>
          <w:szCs w:val="22"/>
        </w:rPr>
        <w:t xml:space="preserve">Decisiones de diseño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00"/>
        <w:gridCol w:w="3500"/>
        <w:gridCol w:w="4040"/>
      </w:tblGrid>
      <w:tr>
        <w:trPr>
          <w:tblHeader/>
        </w:trPr>
        <w:tc>
          <w:tcPr>
            <w:tcW w:type="dxa" w:w="21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DECISIÓN</w:t>
            </w:r>
          </w:p>
        </w:tc>
        <w:tc>
          <w:tcPr>
            <w:tcW w:type="dxa" w:w="35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ELECCIÓN</w:t>
            </w:r>
          </w:p>
        </w:tc>
        <w:tc>
          <w:tcPr>
            <w:tcW w:type="dxa" w:w="40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MOTIVO</w:t>
            </w:r>
          </w:p>
        </w:tc>
      </w:tr>
      <w:tr>
        <w:trPr>
          <w:cantSplit/>
        </w:trPr>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Vía de integración</w:t>
            </w:r>
          </w:p>
        </w:tc>
        <w:tc>
          <w:tcPr>
            <w:tcW w:type="dxa" w:w="3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Servicio oficial de FONASA por la Red de Interoperabilidad</w:t>
            </w:r>
          </w:p>
        </w:tc>
        <w:tc>
          <w:tcPr>
            <w:tcW w:type="dxa" w:w="4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Canal documentado, estable y gratuito entre órganos del Estado</w:t>
            </w:r>
          </w:p>
        </w:tc>
      </w:tr>
      <w:tr>
        <w:trPr>
          <w:cantSplit/>
        </w:trPr>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Autorización</w:t>
            </w:r>
          </w:p>
        </w:tc>
        <w:tc>
          <w:tcPr>
            <w:tcW w:type="dxa" w:w="3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Solicitud formal y acuerdo entre instituciones</w:t>
            </w:r>
          </w:p>
        </w:tc>
        <w:tc>
          <w:tcPr>
            <w:tcW w:type="dxa" w:w="4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La vía está hecha para este uso</w:t>
            </w:r>
          </w:p>
        </w:tc>
      </w:tr>
      <w:tr>
        <w:trPr>
          <w:cantSplit/>
        </w:trPr>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Credenciales</w:t>
            </w:r>
          </w:p>
        </w:tc>
        <w:tc>
          <w:tcPr>
            <w:tcW w:type="dxa" w:w="3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De servicio institucional, en almacén de secretos</w:t>
            </w:r>
          </w:p>
        </w:tc>
        <w:tc>
          <w:tcPr>
            <w:tcW w:type="dxa" w:w="4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No se usa ClaveÚnica de personas</w:t>
            </w:r>
          </w:p>
        </w:tc>
      </w:tr>
      <w:tr>
        <w:trPr>
          <w:cantSplit/>
        </w:trPr>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Envío</w:t>
            </w:r>
          </w:p>
        </w:tc>
        <w:tc>
          <w:tcPr>
            <w:tcW w:type="dxa" w:w="3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Solo tras aprobación explícita en GDP-SLEP Studio</w:t>
            </w:r>
          </w:p>
        </w:tc>
        <w:tc>
          <w:tcPr>
            <w:tcW w:type="dxa" w:w="4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Humano en el circuito; trazabilidad</w:t>
            </w:r>
          </w:p>
        </w:tc>
      </w:tr>
      <w:tr>
        <w:trPr>
          <w:cantSplit/>
        </w:trPr>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Acuse</w:t>
            </w:r>
          </w:p>
        </w:tc>
        <w:tc>
          <w:tcPr>
            <w:tcW w:type="dxa" w:w="3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Se guarda el acuse oficial de cada envío</w:t>
            </w:r>
          </w:p>
        </w:tc>
        <w:tc>
          <w:tcPr>
            <w:tcW w:type="dxa" w:w="4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Respaldo formal del cumplimiento del plazo</w:t>
            </w:r>
          </w:p>
        </w:tc>
      </w:tr>
      <w:tr>
        <w:trPr>
          <w:cantSplit/>
        </w:trPr>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IA</w:t>
            </w:r>
          </w:p>
        </w:tc>
        <w:tc>
          <w:tcPr>
            <w:tcW w:type="dxa" w:w="3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LAYA con modelo local; datos seudonimizados</w:t>
            </w:r>
          </w:p>
        </w:tc>
        <w:tc>
          <w:tcPr>
            <w:tcW w:type="dxa" w:w="40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Los datos no salen de la DEP</w:t>
            </w:r>
          </w:p>
        </w:tc>
      </w:tr>
    </w:tbl>
    <w:p>
      <w:pPr>
        <w:spacing w:after="120" w:before="0" w:line="120"/>
      </w:pP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0D9488" w:sz="24"/>
              <w:bottom w:val="none" w:color="FFFFFF" w:sz="0"/>
              <w:right w:val="none" w:color="FFFFFF" w:sz="0"/>
            </w:tcBorders>
            <w:shd w:fill="F0FDFA" w:color="auto" w:val="clear"/>
            <w:tcMar>
              <w:top w:type="dxa" w:w="110"/>
              <w:left w:type="dxa" w:w="220"/>
              <w:bottom w:type="dxa" w:w="110"/>
              <w:right w:type="dxa" w:w="110"/>
            </w:tcMar>
            <w:vAlign w:val="top"/>
          </w:tcPr>
          <w:p>
            <w:pPr>
              <w:spacing w:after="60"/>
            </w:pPr>
            <w:r>
              <w:rPr>
                <w:rFonts w:ascii="Consolas" w:cs="Consolas" w:eastAsia="Consolas" w:hAnsi="Consolas"/>
                <w:b/>
                <w:bCs/>
                <w:color w:val="0D9488"/>
                <w:spacing w:val="20"/>
                <w:sz w:val="15"/>
                <w:szCs w:val="15"/>
              </w:rPr>
              <w:t xml:space="preserve">CONCLUSIÓN</w:t>
            </w:r>
          </w:p>
          <w:p>
            <w:pPr>
              <w:spacing w:after="50" w:line="260"/>
            </w:pPr>
            <w:r>
              <w:rPr>
                <w:color w:val="334155"/>
                <w:sz w:val="19"/>
                <w:szCs w:val="19"/>
              </w:rPr>
              <w:t xml:space="preserve">Es el camino más estable técnicamente y el más barato; su solidez legal se analiza en el Informe 08.3.1.</w:t>
            </w:r>
            <w:r>
              <w:rPr>
                <w:b/>
                <w:bCs/>
                <w:color w:val="0F172A"/>
                <w:sz w:val="19"/>
                <w:szCs w:val="19"/>
              </w:rPr>
              <w:t xml:space="preserve"/>
            </w:r>
            <w:r>
              <w:rPr>
                <w:color w:val="334155"/>
                <w:sz w:val="19"/>
                <w:szCs w:val="19"/>
              </w:rPr>
              <w:t xml:space="preserve"/>
            </w:r>
            <w:r>
              <w:rPr>
                <w:b/>
                <w:bCs/>
                <w:color w:val="0F172A"/>
                <w:sz w:val="19"/>
                <w:szCs w:val="19"/>
              </w:rPr>
              <w:t xml:space="preserve"/>
            </w:r>
            <w:r>
              <w:rPr>
                <w:color w:val="334155"/>
                <w:sz w:val="19"/>
                <w:szCs w:val="19"/>
              </w:rPr>
              <w:t xml:space="preserve"> Su condición no es técnica ni legal, sino de </w:t>
            </w:r>
            <w:r>
              <w:rPr>
                <w:b/>
                <w:bCs/>
                <w:color w:val="0F172A"/>
                <w:sz w:val="19"/>
                <w:szCs w:val="19"/>
              </w:rPr>
              <w:t xml:space="preserve">plazo</w:t>
            </w:r>
            <w:r>
              <w:rPr>
                <w:color w:val="334155"/>
                <w:sz w:val="19"/>
                <w:szCs w:val="19"/>
              </w:rPr>
              <w:t xml:space="preserve">: depende de que FONASA otorgue el servicio. Mientras tanto, el diagnóstico avanza y el piloto puede partir por otro camino.</w:t>
            </w:r>
          </w:p>
        </w:tc>
      </w:tr>
    </w:tbl>
    <w:p>
      <w:pPr>
        <w:spacing w:after="140" w:before="0" w:line="120"/>
      </w:pPr>
    </w:p>
    <w:p>
      <w:pPr>
        <w:keepNext/>
        <w:pageBreakBefore/>
        <w:spacing w:after="60"/>
      </w:pPr>
      <w:r>
        <w:rPr>
          <w:rFonts w:ascii="Consolas" w:cs="Consolas" w:eastAsia="Consolas" w:hAnsi="Consolas"/>
          <w:b/>
          <w:bCs/>
          <w:color w:val="0D9488"/>
          <w:spacing w:val="30"/>
          <w:sz w:val="16"/>
          <w:szCs w:val="16"/>
        </w:rPr>
        <w:t xml:space="preserve">SECCIÓN 02</w:t>
      </w:r>
      <w:r>
        <w:rPr>
          <w:rFonts w:ascii="Consolas" w:cs="Consolas" w:eastAsia="Consolas" w:hAnsi="Consolas"/>
          <w:color w:val="94A3B8"/>
          <w:sz w:val="16"/>
          <w:szCs w:val="16"/>
        </w:rPr>
        <w:t xml:space="preserve">  /  stack</w:t>
      </w:r>
    </w:p>
    <w:p>
      <w:pPr>
        <w:pStyle w:val="Heading1"/>
        <w:keepNext/>
        <w:pBdr>
          <w:bottom w:val="single" w:color="E2E8F0" w:sz="6" w:space="6"/>
        </w:pBdr>
        <w:spacing w:after="160"/>
      </w:pPr>
      <w:r>
        <w:rPr>
          <w:rFonts w:ascii="Calibri" w:cs="Calibri" w:eastAsia="Calibri" w:hAnsi="Calibri"/>
          <w:b/>
          <w:bCs/>
          <w:color w:val="0F172A"/>
          <w:sz w:val="34"/>
          <w:szCs w:val="34"/>
        </w:rPr>
        <w:t xml:space="preserve">Stack tecnológico completo por propuesta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Para costear y construir hay que saber qué equipo, sistema, lenguaje, modelo y componente usa cada propuesta.</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Especificar, capa por capa, todo lo que necesita cada propuesta.</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Una sola tabla con cuatro franjas: infraestructura y hardware; software por capa; componentes, versión y licencia; y personas y servicios. En cada celda, la tecnología y qué es y para qué se usa. Versiones vigentes a octubre de 2026; la misma tabla, con precios, está en el Informe 08.3.3.</w:t>
            </w:r>
          </w:p>
        </w:tc>
      </w:tr>
    </w:tbl>
    <w:p>
      <w:pPr>
        <w:spacing w:after="140" w:before="0" w:line="120"/>
      </w:pPr>
    </w:p>
    <w:p>
      <w:pPr>
        <w:keepNext/>
        <w:spacing w:after="120"/>
      </w:pPr>
      <w:r>
        <w:rPr>
          <w:rFonts w:ascii="Consolas" w:cs="Consolas" w:eastAsia="Consolas" w:hAnsi="Consolas"/>
          <w:b/>
          <w:bCs/>
          <w:color w:val="0D9488"/>
          <w:sz w:val="14"/>
          <w:szCs w:val="14"/>
        </w:rPr>
        <w:t xml:space="preserve">CÓMO LEER  </w:t>
      </w:r>
      <w:r>
        <w:rPr>
          <w:rFonts w:ascii="Calibri" w:cs="Calibri" w:eastAsia="Calibri" w:hAnsi="Calibri"/>
          <w:color w:val="15803D"/>
          <w:sz w:val="16"/>
          <w:szCs w:val="16"/>
        </w:rPr>
        <w:t xml:space="preserve">■ </w:t>
      </w:r>
      <w:r>
        <w:rPr>
          <w:rFonts w:ascii="Calibri" w:cs="Calibri" w:eastAsia="Calibri" w:hAnsi="Calibri"/>
          <w:b/>
          <w:bCs/>
          <w:color w:val="0F172A"/>
          <w:sz w:val="15"/>
          <w:szCs w:val="15"/>
        </w:rPr>
        <w:t xml:space="preserve">Costo cero    </w:t>
      </w:r>
      <w:r>
        <w:rPr>
          <w:rFonts w:ascii="Calibri" w:cs="Calibri" w:eastAsia="Calibri" w:hAnsi="Calibri"/>
          <w:color w:val="0D9488"/>
          <w:sz w:val="16"/>
          <w:szCs w:val="16"/>
        </w:rPr>
        <w:t xml:space="preserve">■ </w:t>
      </w:r>
      <w:r>
        <w:rPr>
          <w:rFonts w:ascii="Calibri" w:cs="Calibri" w:eastAsia="Calibri" w:hAnsi="Calibri"/>
          <w:b/>
          <w:bCs/>
          <w:color w:val="0F172A"/>
          <w:sz w:val="15"/>
          <w:szCs w:val="15"/>
        </w:rPr>
        <w:t xml:space="preserve">Óptima    </w:t>
      </w:r>
      <w:r>
        <w:rPr>
          <w:rFonts w:ascii="Calibri" w:cs="Calibri" w:eastAsia="Calibri" w:hAnsi="Calibri"/>
          <w:color w:val="B45309"/>
          <w:sz w:val="16"/>
          <w:szCs w:val="16"/>
        </w:rPr>
        <w:t xml:space="preserve">■ </w:t>
      </w:r>
      <w:r>
        <w:rPr>
          <w:rFonts w:ascii="Calibri" w:cs="Calibri" w:eastAsia="Calibri" w:hAnsi="Calibri"/>
          <w:b/>
          <w:bCs/>
          <w:color w:val="0F172A"/>
          <w:sz w:val="15"/>
          <w:szCs w:val="15"/>
        </w:rPr>
        <w:t xml:space="preserve">Avanzada</w:t>
      </w:r>
      <w:r>
        <w:rPr>
          <w:rFonts w:ascii="Calibri" w:cs="Calibri" w:eastAsia="Calibri" w:hAnsi="Calibri"/>
          <w:color w:val="64748B"/>
          <w:sz w:val="15"/>
          <w:szCs w:val="15"/>
        </w:rPr>
        <w:t xml:space="preserve">   ·   En cada celda: la tecnología y, debajo, qué es y para qué se usa.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60"/>
        <w:gridCol w:w="2626"/>
        <w:gridCol w:w="2626"/>
        <w:gridCol w:w="2628"/>
      </w:tblGrid>
      <w:tr>
        <w:trPr>
          <w:cantSplit/>
          <w:tblHeader/>
        </w:trPr>
        <w:tc>
          <w:tcPr>
            <w:tcW w:type="dxa" w:w="176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00"/>
            </w:tcMar>
            <w:vAlign w:val="center"/>
          </w:tcPr>
          <w:p>
            <w:r>
              <w:rPr>
                <w:rFonts w:ascii="Consolas" w:cs="Consolas" w:eastAsia="Consolas" w:hAnsi="Consolas"/>
                <w:b/>
                <w:bCs/>
                <w:color w:val="FFFFFF"/>
                <w:sz w:val="15"/>
                <w:szCs w:val="15"/>
              </w:rPr>
              <w:t xml:space="preserve">CAPA</w:t>
            </w:r>
          </w:p>
        </w:tc>
        <w:tc>
          <w:tcPr>
            <w:tcW w:type="dxa" w:w="2626"/>
            <w:tcBorders>
              <w:top w:val="none" w:color="FFFFFF" w:sz="0"/>
              <w:left w:val="single" w:color="FFFFFF" w:sz="18"/>
              <w:bottom w:val="none" w:color="FFFFFF" w:sz="0"/>
              <w:right w:val="none" w:color="FFFFFF" w:sz="0"/>
            </w:tcBorders>
            <w:shd w:fill="15803D" w:color="auto" w:val="clear"/>
            <w:tcMar>
              <w:top w:type="dxa" w:w="80"/>
              <w:left w:type="dxa" w:w="110"/>
              <w:bottom w:type="dxa" w:w="80"/>
              <w:right w:type="dxa" w:w="100"/>
            </w:tcMar>
            <w:vAlign w:val="top"/>
          </w:tcPr>
          <w:p>
            <w:pPr>
              <w:spacing w:after="10"/>
            </w:pPr>
            <w:r>
              <w:rPr>
                <w:rFonts w:ascii="Consolas" w:cs="Consolas" w:eastAsia="Consolas" w:hAnsi="Consolas"/>
                <w:b/>
                <w:bCs/>
                <w:color w:val="FFFFFF"/>
                <w:spacing w:val="20"/>
                <w:sz w:val="14"/>
                <w:szCs w:val="14"/>
              </w:rPr>
              <w:t xml:space="preserve">WS1</w:t>
            </w:r>
          </w:p>
          <w:p>
            <w:r>
              <w:rPr>
                <w:rFonts w:ascii="Consolas" w:cs="Consolas" w:eastAsia="Consolas" w:hAnsi="Consolas"/>
                <w:b/>
                <w:bCs/>
                <w:color w:val="FFFFFF"/>
                <w:spacing w:val="10"/>
                <w:sz w:val="16"/>
                <w:szCs w:val="16"/>
              </w:rPr>
              <w:t xml:space="preserve">COSTO CERO</w:t>
            </w:r>
          </w:p>
        </w:tc>
        <w:tc>
          <w:tcPr>
            <w:tcW w:type="dxa" w:w="2626"/>
            <w:tcBorders>
              <w:top w:val="none" w:color="FFFFFF" w:sz="0"/>
              <w:left w:val="single" w:color="FFFFFF" w:sz="18"/>
              <w:bottom w:val="none" w:color="FFFFFF" w:sz="0"/>
              <w:right w:val="none" w:color="FFFFFF" w:sz="0"/>
            </w:tcBorders>
            <w:shd w:fill="0D9488" w:color="auto" w:val="clear"/>
            <w:tcMar>
              <w:top w:type="dxa" w:w="80"/>
              <w:left w:type="dxa" w:w="110"/>
              <w:bottom w:type="dxa" w:w="80"/>
              <w:right w:type="dxa" w:w="100"/>
            </w:tcMar>
            <w:vAlign w:val="top"/>
          </w:tcPr>
          <w:p>
            <w:pPr>
              <w:spacing w:after="10"/>
            </w:pPr>
            <w:r>
              <w:rPr>
                <w:rFonts w:ascii="Consolas" w:cs="Consolas" w:eastAsia="Consolas" w:hAnsi="Consolas"/>
                <w:b/>
                <w:bCs/>
                <w:color w:val="FFFFFF"/>
                <w:spacing w:val="20"/>
                <w:sz w:val="14"/>
                <w:szCs w:val="14"/>
              </w:rPr>
              <w:t xml:space="preserve">WS2</w:t>
            </w:r>
          </w:p>
          <w:p>
            <w:r>
              <w:rPr>
                <w:rFonts w:ascii="Consolas" w:cs="Consolas" w:eastAsia="Consolas" w:hAnsi="Consolas"/>
                <w:b/>
                <w:bCs/>
                <w:color w:val="FFFFFF"/>
                <w:spacing w:val="10"/>
                <w:sz w:val="16"/>
                <w:szCs w:val="16"/>
              </w:rPr>
              <w:t xml:space="preserve">ÓPTIMA</w:t>
            </w:r>
          </w:p>
        </w:tc>
        <w:tc>
          <w:tcPr>
            <w:tcW w:type="dxa" w:w="2628"/>
            <w:tcBorders>
              <w:top w:val="none" w:color="FFFFFF" w:sz="0"/>
              <w:left w:val="single" w:color="FFFFFF" w:sz="18"/>
              <w:bottom w:val="none" w:color="FFFFFF" w:sz="0"/>
              <w:right w:val="none" w:color="FFFFFF" w:sz="0"/>
            </w:tcBorders>
            <w:shd w:fill="B45309" w:color="auto" w:val="clear"/>
            <w:tcMar>
              <w:top w:type="dxa" w:w="80"/>
              <w:left w:type="dxa" w:w="110"/>
              <w:bottom w:type="dxa" w:w="80"/>
              <w:right w:type="dxa" w:w="100"/>
            </w:tcMar>
            <w:vAlign w:val="top"/>
          </w:tcPr>
          <w:p>
            <w:pPr>
              <w:spacing w:after="10"/>
            </w:pPr>
            <w:r>
              <w:rPr>
                <w:rFonts w:ascii="Consolas" w:cs="Consolas" w:eastAsia="Consolas" w:hAnsi="Consolas"/>
                <w:b/>
                <w:bCs/>
                <w:color w:val="FFFFFF"/>
                <w:spacing w:val="20"/>
                <w:sz w:val="14"/>
                <w:szCs w:val="14"/>
              </w:rPr>
              <w:t xml:space="preserve">WS3</w:t>
            </w:r>
          </w:p>
          <w:p>
            <w:r>
              <w:rPr>
                <w:rFonts w:ascii="Consolas" w:cs="Consolas" w:eastAsia="Consolas" w:hAnsi="Consolas"/>
                <w:b/>
                <w:bCs/>
                <w:color w:val="FFFFFF"/>
                <w:spacing w:val="10"/>
                <w:sz w:val="16"/>
                <w:szCs w:val="16"/>
              </w:rPr>
              <w:t xml:space="preserve">AVANZADA</w:t>
            </w:r>
          </w:p>
        </w:tc>
      </w:tr>
      <w:tr>
        <w:trPr>
          <w:cantSplit/>
        </w:trPr>
        <w:tc>
          <w:tcPr>
            <w:tcW w:type="dxa" w:w="9640"/>
            <w:gridSpan w:val="4"/>
            <w:tcBorders>
              <w:top w:val="single" w:color="0F172A" w:sz="12"/>
              <w:left w:val="none" w:color="FFFFFF" w:sz="0"/>
              <w:bottom w:val="single" w:color="CBD5E1" w:sz="4"/>
              <w:right w:val="none" w:color="FFFFFF" w:sz="0"/>
            </w:tcBorders>
            <w:shd w:fill="F1F5F9" w:color="auto" w:val="clear"/>
            <w:tcMar>
              <w:top w:type="dxa" w:w="90"/>
              <w:left w:type="dxa" w:w="110"/>
              <w:bottom w:type="dxa" w:w="90"/>
              <w:right w:type="dxa" w:w="100"/>
            </w:tcMar>
            <w:vAlign w:val="top"/>
          </w:tcPr>
          <w:p>
            <w:pPr>
              <w:keepNext/>
              <w:spacing w:after="0"/>
            </w:pPr>
            <w:r>
              <w:rPr>
                <w:rFonts w:ascii="Consolas" w:cs="Consolas" w:eastAsia="Consolas" w:hAnsi="Consolas"/>
                <w:b/>
                <w:bCs/>
                <w:color w:val="0D9488"/>
                <w:sz w:val="16"/>
                <w:szCs w:val="16"/>
              </w:rPr>
              <w:t xml:space="preserve">01   </w:t>
            </w:r>
            <w:r>
              <w:rPr>
                <w:rFonts w:ascii="Consolas" w:cs="Consolas" w:eastAsia="Consolas" w:hAnsi="Consolas"/>
                <w:b/>
                <w:bCs/>
                <w:color w:val="0F172A"/>
                <w:spacing w:val="15"/>
                <w:sz w:val="16"/>
                <w:szCs w:val="16"/>
              </w:rPr>
              <w:t xml:space="preserve">INFRAESTRUCTURA Y HARDWARE</w:t>
            </w:r>
            <w:r>
              <w:rPr>
                <w:rFonts w:ascii="Calibri" w:cs="Calibri" w:eastAsia="Calibri" w:hAnsi="Calibri"/>
                <w:color w:val="64748B"/>
                <w:sz w:val="14"/>
                <w:szCs w:val="14"/>
              </w:rPr>
              <w:t xml:space="preserve">   en la DEP, salvo el respaldo de la propuesta avanzada</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Servidor de aplicación</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Máquina virtual existente de TI: </w:t>
            </w:r>
            <w:r>
              <w:rPr>
                <w:rFonts w:ascii="Calibri" w:cs="Calibri" w:eastAsia="Calibri" w:hAnsi="Calibri"/>
                <w:b/>
                <w:bCs/>
                <w:color w:val="0F172A"/>
                <w:sz w:val="15"/>
                <w:szCs w:val="15"/>
              </w:rPr>
              <w:t xml:space="preserve">4 vCPU, 16 GB RAM, 100 GB SSD</w:t>
            </w:r>
          </w:p>
          <w:p>
            <w:pPr>
              <w:spacing w:after="30" w:before="40" w:line="236"/>
            </w:pPr>
            <w:r>
              <w:rPr>
                <w:rFonts w:ascii="Calibri" w:cs="Calibri" w:eastAsia="Calibri" w:hAnsi="Calibri"/>
                <w:color w:val="64748B"/>
                <w:sz w:val="13"/>
                <w:szCs w:val="13"/>
              </w:rPr>
              <w:t xml:space="preserve">Equipo donde corren GDP-SLEP Studio, el conector con el servicio de FONASA, el motor de reglas y, en esta propuesta, también la IA.</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Máquina virtual existente de TI: </w:t>
            </w:r>
            <w:r>
              <w:rPr>
                <w:rFonts w:ascii="Calibri" w:cs="Calibri" w:eastAsia="Calibri" w:hAnsi="Calibri"/>
                <w:b/>
                <w:bCs/>
                <w:color w:val="0F172A"/>
                <w:sz w:val="15"/>
                <w:szCs w:val="15"/>
              </w:rPr>
              <w:t xml:space="preserve">4 vCPU, 16 GB RAM, 100 GB SSD</w:t>
            </w:r>
          </w:p>
          <w:p>
            <w:pPr>
              <w:spacing w:after="30" w:before="40" w:line="236"/>
            </w:pPr>
            <w:r>
              <w:rPr>
                <w:rFonts w:ascii="Calibri" w:cs="Calibri" w:eastAsia="Calibri" w:hAnsi="Calibri"/>
                <w:color w:val="64748B"/>
                <w:sz w:val="13"/>
                <w:szCs w:val="13"/>
              </w:rPr>
              <w:t xml:space="preserve">Equipo donde corren GDP-SLEP Studio, el conector con el servicio de FONASA y el motor de reglas; la IA va en su propia estación.</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Dos</w:t>
            </w:r>
            <w:r>
              <w:rPr>
                <w:rFonts w:ascii="Calibri" w:cs="Calibri" w:eastAsia="Calibri" w:hAnsi="Calibri"/>
                <w:color w:val="0F172A"/>
                <w:sz w:val="15"/>
                <w:szCs w:val="15"/>
              </w:rPr>
              <w:t xml:space="preserve"> máquinas virtuales de </w:t>
            </w:r>
            <w:r>
              <w:rPr>
                <w:rFonts w:ascii="Calibri" w:cs="Calibri" w:eastAsia="Calibri" w:hAnsi="Calibri"/>
                <w:b/>
                <w:bCs/>
                <w:color w:val="0F172A"/>
                <w:sz w:val="15"/>
                <w:szCs w:val="15"/>
              </w:rPr>
              <w:t xml:space="preserve">8 vCPU, 32 GB RAM, 200 GB SSD</w:t>
            </w:r>
            <w:r>
              <w:rPr>
                <w:rFonts w:ascii="Calibri" w:cs="Calibri" w:eastAsia="Calibri" w:hAnsi="Calibri"/>
                <w:color w:val="0F172A"/>
                <w:sz w:val="15"/>
                <w:szCs w:val="15"/>
              </w:rPr>
              <w:t xml:space="preserve"> (activa y respaldo)</w:t>
            </w:r>
          </w:p>
          <w:p>
            <w:pPr>
              <w:spacing w:after="30" w:before="40" w:line="236"/>
            </w:pPr>
            <w:r>
              <w:rPr>
                <w:rFonts w:ascii="Calibri" w:cs="Calibri" w:eastAsia="Calibri" w:hAnsi="Calibri"/>
                <w:color w:val="64748B"/>
                <w:sz w:val="13"/>
                <w:szCs w:val="13"/>
              </w:rPr>
              <w:t xml:space="preserve">Dos servidores iguales: si el principal falla, el segundo toma el trabajo sin detener la tramitación (alta disponibilidad).</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Servidor de IA</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Sin equipo nuevo:</w:t>
            </w:r>
            <w:r>
              <w:rPr>
                <w:rFonts w:ascii="Calibri" w:cs="Calibri" w:eastAsia="Calibri" w:hAnsi="Calibri"/>
                <w:color w:val="0F172A"/>
                <w:sz w:val="15"/>
                <w:szCs w:val="15"/>
              </w:rPr>
              <w:t xml:space="preserve"> el modelo corre en la </w:t>
            </w:r>
            <w:r>
              <w:rPr>
                <w:rFonts w:ascii="Calibri" w:cs="Calibri" w:eastAsia="Calibri" w:hAnsi="Calibri"/>
                <w:b/>
                <w:bCs/>
                <w:color w:val="0F172A"/>
                <w:sz w:val="15"/>
                <w:szCs w:val="15"/>
              </w:rPr>
              <w:t xml:space="preserve">CPU</w:t>
            </w:r>
            <w:r>
              <w:rPr>
                <w:rFonts w:ascii="Calibri" w:cs="Calibri" w:eastAsia="Calibri" w:hAnsi="Calibri"/>
                <w:color w:val="0F172A"/>
                <w:sz w:val="15"/>
                <w:szCs w:val="15"/>
              </w:rPr>
              <w:t xml:space="preserve"> del servidor de aplicación</w:t>
            </w:r>
          </w:p>
          <w:p>
            <w:pPr>
              <w:spacing w:after="30" w:before="40" w:line="236"/>
            </w:pPr>
            <w:r>
              <w:rPr>
                <w:rFonts w:ascii="Calibri" w:cs="Calibri" w:eastAsia="Calibri" w:hAnsi="Calibri"/>
                <w:color w:val="64748B"/>
                <w:sz w:val="13"/>
                <w:szCs w:val="13"/>
              </w:rPr>
              <w:t xml:space="preserve">Lugar donde funciona la IA local que clasifica y prioriza las licencias; en CPU responde más lento, pero alcanza para el volumen del piloto.</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Estación de IA básica:</w:t>
            </w:r>
            <w:r>
              <w:rPr>
                <w:rFonts w:ascii="Calibri" w:cs="Calibri" w:eastAsia="Calibri" w:hAnsi="Calibri"/>
                <w:color w:val="0F172A"/>
                <w:sz w:val="15"/>
                <w:szCs w:val="15"/>
              </w:rPr>
              <w:t xml:space="preserve"> GPU 16 GB, 64 GB RAM, NVMe 2 TB + </w:t>
            </w:r>
            <w:r>
              <w:rPr>
                <w:rFonts w:ascii="Calibri" w:cs="Calibri" w:eastAsia="Calibri" w:hAnsi="Calibri"/>
                <w:b/>
                <w:bCs/>
                <w:color w:val="0F172A"/>
                <w:sz w:val="15"/>
                <w:szCs w:val="15"/>
              </w:rPr>
              <w:t xml:space="preserve">UPS 1 kVA</w:t>
            </w:r>
          </w:p>
          <w:p>
            <w:pPr>
              <w:spacing w:after="30" w:before="40" w:line="236"/>
            </w:pPr>
            <w:r>
              <w:rPr>
                <w:rFonts w:ascii="Calibri" w:cs="Calibri" w:eastAsia="Calibri" w:hAnsi="Calibri"/>
                <w:color w:val="64748B"/>
                <w:sz w:val="13"/>
                <w:szCs w:val="13"/>
              </w:rPr>
              <w:t xml:space="preserve">Computador dedicado con tarjeta gráfica para que la IA responda en segundos; la UPS lo protege de cortes de luz.</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Estación de IA avanzada:</w:t>
            </w:r>
            <w:r>
              <w:rPr>
                <w:rFonts w:ascii="Calibri" w:cs="Calibri" w:eastAsia="Calibri" w:hAnsi="Calibri"/>
                <w:color w:val="0F172A"/>
                <w:sz w:val="15"/>
                <w:szCs w:val="15"/>
              </w:rPr>
              <w:t xml:space="preserve"> GPU 32 GB, 128 GB RAM, RAID 1, </w:t>
            </w:r>
            <w:r>
              <w:rPr>
                <w:rFonts w:ascii="Calibri" w:cs="Calibri" w:eastAsia="Calibri" w:hAnsi="Calibri"/>
                <w:b/>
                <w:bCs/>
                <w:color w:val="0F172A"/>
                <w:sz w:val="15"/>
                <w:szCs w:val="15"/>
              </w:rPr>
              <w:t xml:space="preserve">UPS 2 kVA</w:t>
            </w:r>
            <w:r>
              <w:rPr>
                <w:rFonts w:ascii="Calibri" w:cs="Calibri" w:eastAsia="Calibri" w:hAnsi="Calibri"/>
                <w:color w:val="0F172A"/>
                <w:sz w:val="15"/>
                <w:szCs w:val="15"/>
              </w:rPr>
              <w:t xml:space="preserve">; compartida con el Informe 12</w:t>
            </w:r>
          </w:p>
          <w:p>
            <w:pPr>
              <w:spacing w:after="30" w:before="40" w:line="236"/>
            </w:pPr>
            <w:r>
              <w:rPr>
                <w:rFonts w:ascii="Calibri" w:cs="Calibri" w:eastAsia="Calibri" w:hAnsi="Calibri"/>
                <w:color w:val="64748B"/>
                <w:sz w:val="13"/>
                <w:szCs w:val="13"/>
              </w:rPr>
              <w:t xml:space="preserve">Equipo de mayor capacidad que atiende modelos más grandes y a varios usuarios a la vez; se comparte con la IA del portal.</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Estación del encargado</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Equipo existente con navegador</w:t>
            </w:r>
          </w:p>
          <w:p>
            <w:pPr>
              <w:spacing w:after="30" w:before="40" w:line="236"/>
            </w:pPr>
            <w:r>
              <w:rPr>
                <w:rFonts w:ascii="Calibri" w:cs="Calibri" w:eastAsia="Calibri" w:hAnsi="Calibri"/>
                <w:color w:val="64748B"/>
                <w:sz w:val="13"/>
                <w:szCs w:val="13"/>
              </w:rPr>
              <w:t xml:space="preserve">El encargado revisa y aprueba en GDP-SLEP Studio lo que el servicio va a registrar; no necesita abrir el PIEE.</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Equipo existente con navegador</w:t>
            </w:r>
          </w:p>
          <w:p>
            <w:pPr>
              <w:spacing w:after="30" w:before="40" w:line="236"/>
            </w:pPr>
            <w:r>
              <w:rPr>
                <w:rFonts w:ascii="Calibri" w:cs="Calibri" w:eastAsia="Calibri" w:hAnsi="Calibri"/>
                <w:color w:val="64748B"/>
                <w:sz w:val="13"/>
                <w:szCs w:val="13"/>
              </w:rPr>
              <w:t xml:space="preserve">El encargado revisa y aprueba en GDP-SLEP Studio lo que el servicio va a registrar; no necesita abrir el PIEE.</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Equipo existente con navegador</w:t>
            </w:r>
          </w:p>
          <w:p>
            <w:pPr>
              <w:spacing w:after="30" w:before="40" w:line="236"/>
            </w:pPr>
            <w:r>
              <w:rPr>
                <w:rFonts w:ascii="Calibri" w:cs="Calibri" w:eastAsia="Calibri" w:hAnsi="Calibri"/>
                <w:color w:val="64748B"/>
                <w:sz w:val="13"/>
                <w:szCs w:val="13"/>
              </w:rPr>
              <w:t xml:space="preserve">El encargado revisa y aprueba en GDP-SLEP Studio lo que el servicio va a registrar; no necesita abrir el PIEE.</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Canal con FONASA</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Servicio web de FONASA por la </w:t>
            </w:r>
            <w:r>
              <w:rPr>
                <w:rFonts w:ascii="Calibri" w:cs="Calibri" w:eastAsia="Calibri" w:hAnsi="Calibri"/>
                <w:b/>
                <w:bCs/>
                <w:color w:val="0F172A"/>
                <w:sz w:val="15"/>
                <w:szCs w:val="15"/>
              </w:rPr>
              <w:t xml:space="preserve">Red de Interoperabilidad del Estado</w:t>
            </w:r>
          </w:p>
          <w:p>
            <w:pPr>
              <w:spacing w:after="30" w:before="40" w:line="236"/>
            </w:pPr>
            <w:r>
              <w:rPr>
                <w:rFonts w:ascii="Calibri" w:cs="Calibri" w:eastAsia="Calibri" w:hAnsi="Calibri"/>
                <w:color w:val="64748B"/>
                <w:sz w:val="13"/>
                <w:szCs w:val="13"/>
              </w:rPr>
              <w:t xml:space="preserve">Canal oficial entre organismos públicos: consulta y registra la licencia sin pasar por pantallas, con un contrato de datos estable.</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Servicio web de FONASA por la </w:t>
            </w:r>
            <w:r>
              <w:rPr>
                <w:rFonts w:ascii="Calibri" w:cs="Calibri" w:eastAsia="Calibri" w:hAnsi="Calibri"/>
                <w:b/>
                <w:bCs/>
                <w:color w:val="0F172A"/>
                <w:sz w:val="15"/>
                <w:szCs w:val="15"/>
              </w:rPr>
              <w:t xml:space="preserve">Red de Interoperabilidad del Estado</w:t>
            </w:r>
          </w:p>
          <w:p>
            <w:pPr>
              <w:spacing w:after="30" w:before="40" w:line="236"/>
            </w:pPr>
            <w:r>
              <w:rPr>
                <w:rFonts w:ascii="Calibri" w:cs="Calibri" w:eastAsia="Calibri" w:hAnsi="Calibri"/>
                <w:color w:val="64748B"/>
                <w:sz w:val="13"/>
                <w:szCs w:val="13"/>
              </w:rPr>
              <w:t xml:space="preserve">Canal oficial entre organismos públicos: consulta y registra la licencia sin pasar por pantallas, con un contrato de datos estable.</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Servicio web de FONASA por la </w:t>
            </w:r>
            <w:r>
              <w:rPr>
                <w:rFonts w:ascii="Calibri" w:cs="Calibri" w:eastAsia="Calibri" w:hAnsi="Calibri"/>
                <w:b/>
                <w:bCs/>
                <w:color w:val="0F172A"/>
                <w:sz w:val="15"/>
                <w:szCs w:val="15"/>
              </w:rPr>
              <w:t xml:space="preserve">Red de Interoperabilidad del Estado</w:t>
            </w:r>
          </w:p>
          <w:p>
            <w:pPr>
              <w:spacing w:after="30" w:before="40" w:line="236"/>
            </w:pPr>
            <w:r>
              <w:rPr>
                <w:rFonts w:ascii="Calibri" w:cs="Calibri" w:eastAsia="Calibri" w:hAnsi="Calibri"/>
                <w:color w:val="64748B"/>
                <w:sz w:val="13"/>
                <w:szCs w:val="13"/>
              </w:rPr>
              <w:t xml:space="preserve">Canal oficial entre organismos públicos: consulta y registra la licencia sin pasar por pantallas, con un contrato de datos estable.</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Respaldo y continuidad</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Respaldo diario en el almacenamiento del servidor de TI</w:t>
            </w:r>
          </w:p>
          <w:p>
            <w:pPr>
              <w:spacing w:after="30" w:before="40" w:line="236"/>
            </w:pPr>
            <w:r>
              <w:rPr>
                <w:rFonts w:ascii="Calibri" w:cs="Calibri" w:eastAsia="Calibri" w:hAnsi="Calibri"/>
                <w:color w:val="64748B"/>
                <w:sz w:val="13"/>
                <w:szCs w:val="13"/>
              </w:rPr>
              <w:t xml:space="preserve">Copia de la base de datos y de la configuración para recuperar el servicio ante una falla.</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Respaldo diario en el servidor de TI </w:t>
            </w:r>
            <w:r>
              <w:rPr>
                <w:rFonts w:ascii="Calibri" w:cs="Calibri" w:eastAsia="Calibri" w:hAnsi="Calibri"/>
                <w:b/>
                <w:bCs/>
                <w:color w:val="0F172A"/>
                <w:sz w:val="15"/>
                <w:szCs w:val="15"/>
              </w:rPr>
              <w:t xml:space="preserve">+ copia semanal fuera del edificio</w:t>
            </w:r>
          </w:p>
          <w:p>
            <w:pPr>
              <w:spacing w:after="30" w:before="40" w:line="236"/>
            </w:pPr>
            <w:r>
              <w:rPr>
                <w:rFonts w:ascii="Calibri" w:cs="Calibri" w:eastAsia="Calibri" w:hAnsi="Calibri"/>
                <w:color w:val="64748B"/>
                <w:sz w:val="13"/>
                <w:szCs w:val="13"/>
              </w:rPr>
              <w:t xml:space="preserve">La copia externa protege los datos ante un incendio, robo o falla grave de la sala de servidores.</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Réplica en </w:t>
            </w:r>
            <w:r>
              <w:rPr>
                <w:rFonts w:ascii="Calibri" w:cs="Calibri" w:eastAsia="Calibri" w:hAnsi="Calibri"/>
                <w:b/>
                <w:bCs/>
                <w:color w:val="0F172A"/>
                <w:sz w:val="15"/>
                <w:szCs w:val="15"/>
              </w:rPr>
              <w:t xml:space="preserve">Azure Chile Central</w:t>
            </w:r>
            <w:r>
              <w:rPr>
                <w:rFonts w:ascii="Calibri" w:cs="Calibri" w:eastAsia="Calibri" w:hAnsi="Calibri"/>
                <w:color w:val="0F172A"/>
                <w:sz w:val="15"/>
                <w:szCs w:val="15"/>
              </w:rPr>
              <w:t xml:space="preserve"> como sitio de respaldo</w:t>
            </w:r>
          </w:p>
          <w:p>
            <w:pPr>
              <w:spacing w:after="30" w:before="40" w:line="236"/>
            </w:pPr>
            <w:r>
              <w:rPr>
                <w:rFonts w:ascii="Calibri" w:cs="Calibri" w:eastAsia="Calibri" w:hAnsi="Calibri"/>
                <w:color w:val="64748B"/>
                <w:sz w:val="13"/>
                <w:szCs w:val="13"/>
              </w:rPr>
              <w:t xml:space="preserve">Un servidor en la nube, dentro de Chile, listo para tomar el servicio si cae el centro de datos de la DEP.</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Red</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HTTPS (443) al servicio de FONASA con </w:t>
            </w:r>
            <w:r>
              <w:rPr>
                <w:rFonts w:ascii="Calibri" w:cs="Calibri" w:eastAsia="Calibri" w:hAnsi="Calibri"/>
                <w:b/>
                <w:bCs/>
                <w:color w:val="0F172A"/>
                <w:sz w:val="15"/>
                <w:szCs w:val="15"/>
              </w:rPr>
              <w:t xml:space="preserve">credenciales de servicio</w:t>
            </w:r>
          </w:p>
          <w:p>
            <w:pPr>
              <w:spacing w:after="30" w:before="40" w:line="236"/>
            </w:pPr>
            <w:r>
              <w:rPr>
                <w:rFonts w:ascii="Calibri" w:cs="Calibri" w:eastAsia="Calibri" w:hAnsi="Calibri"/>
                <w:color w:val="64748B"/>
                <w:sz w:val="13"/>
                <w:szCs w:val="13"/>
              </w:rPr>
              <w:t xml:space="preserve">Únicas conexiones de salida que necesita el sistema; todo viaja cifrado.</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HTTPS (443) al servicio de FONASA con </w:t>
            </w:r>
            <w:r>
              <w:rPr>
                <w:rFonts w:ascii="Calibri" w:cs="Calibri" w:eastAsia="Calibri" w:hAnsi="Calibri"/>
                <w:b/>
                <w:bCs/>
                <w:color w:val="0F172A"/>
                <w:sz w:val="15"/>
                <w:szCs w:val="15"/>
              </w:rPr>
              <w:t xml:space="preserve">credenciales de servicio</w:t>
            </w:r>
          </w:p>
          <w:p>
            <w:pPr>
              <w:spacing w:after="30" w:before="40" w:line="236"/>
            </w:pPr>
            <w:r>
              <w:rPr>
                <w:rFonts w:ascii="Calibri" w:cs="Calibri" w:eastAsia="Calibri" w:hAnsi="Calibri"/>
                <w:color w:val="64748B"/>
                <w:sz w:val="13"/>
                <w:szCs w:val="13"/>
              </w:rPr>
              <w:t xml:space="preserve">Únicas conexiones de salida que necesita el sistema; todo viaja cifrado.</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HTTPS (443) al servicio de FONASA con </w:t>
            </w:r>
            <w:r>
              <w:rPr>
                <w:rFonts w:ascii="Calibri" w:cs="Calibri" w:eastAsia="Calibri" w:hAnsi="Calibri"/>
                <w:b/>
                <w:bCs/>
                <w:color w:val="0F172A"/>
                <w:sz w:val="15"/>
                <w:szCs w:val="15"/>
              </w:rPr>
              <w:t xml:space="preserve">credenciales de servicio</w:t>
            </w:r>
            <w:r>
              <w:rPr>
                <w:rFonts w:ascii="Calibri" w:cs="Calibri" w:eastAsia="Calibri" w:hAnsi="Calibri"/>
                <w:color w:val="0F172A"/>
                <w:sz w:val="15"/>
                <w:szCs w:val="15"/>
              </w:rPr>
              <w:t xml:space="preserve"> + </w:t>
            </w:r>
            <w:r>
              <w:rPr>
                <w:rFonts w:ascii="Calibri" w:cs="Calibri" w:eastAsia="Calibri" w:hAnsi="Calibri"/>
                <w:b/>
                <w:bCs/>
                <w:color w:val="0F172A"/>
                <w:sz w:val="15"/>
                <w:szCs w:val="15"/>
              </w:rPr>
              <w:t xml:space="preserve">VPN sitio a sitio</w:t>
            </w:r>
            <w:r>
              <w:rPr>
                <w:rFonts w:ascii="Calibri" w:cs="Calibri" w:eastAsia="Calibri" w:hAnsi="Calibri"/>
                <w:color w:val="0F172A"/>
                <w:sz w:val="15"/>
                <w:szCs w:val="15"/>
              </w:rPr>
              <w:t xml:space="preserve"> con Azure Chile</w:t>
            </w:r>
          </w:p>
          <w:p>
            <w:pPr>
              <w:spacing w:after="30" w:before="40" w:line="236"/>
            </w:pPr>
            <w:r>
              <w:rPr>
                <w:rFonts w:ascii="Calibri" w:cs="Calibri" w:eastAsia="Calibri" w:hAnsi="Calibri"/>
                <w:color w:val="64748B"/>
                <w:sz w:val="13"/>
                <w:szCs w:val="13"/>
              </w:rPr>
              <w:t xml:space="preserve">La VPN une la DEP con el respaldo en Azure por un túnel cifrado.</w:t>
            </w:r>
          </w:p>
        </w:tc>
      </w:tr>
      <w:tr>
        <w:trPr>
          <w:cantSplit/>
        </w:trPr>
        <w:tc>
          <w:tcPr>
            <w:tcW w:type="dxa" w:w="9640"/>
            <w:gridSpan w:val="4"/>
            <w:tcBorders>
              <w:top w:val="single" w:color="0F172A" w:sz="12"/>
              <w:left w:val="none" w:color="FFFFFF" w:sz="0"/>
              <w:bottom w:val="single" w:color="CBD5E1" w:sz="4"/>
              <w:right w:val="none" w:color="FFFFFF" w:sz="0"/>
            </w:tcBorders>
            <w:shd w:fill="F1F5F9" w:color="auto" w:val="clear"/>
            <w:tcMar>
              <w:top w:type="dxa" w:w="90"/>
              <w:left w:type="dxa" w:w="110"/>
              <w:bottom w:type="dxa" w:w="90"/>
              <w:right w:type="dxa" w:w="100"/>
            </w:tcMar>
            <w:vAlign w:val="top"/>
          </w:tcPr>
          <w:p>
            <w:pPr>
              <w:keepNext/>
              <w:spacing w:after="0"/>
            </w:pPr>
            <w:r>
              <w:rPr>
                <w:rFonts w:ascii="Consolas" w:cs="Consolas" w:eastAsia="Consolas" w:hAnsi="Consolas"/>
                <w:b/>
                <w:bCs/>
                <w:color w:val="0D9488"/>
                <w:sz w:val="16"/>
                <w:szCs w:val="16"/>
              </w:rPr>
              <w:t xml:space="preserve">02   </w:t>
            </w:r>
            <w:r>
              <w:rPr>
                <w:rFonts w:ascii="Consolas" w:cs="Consolas" w:eastAsia="Consolas" w:hAnsi="Consolas"/>
                <w:b/>
                <w:bCs/>
                <w:color w:val="0F172A"/>
                <w:spacing w:val="15"/>
                <w:sz w:val="16"/>
                <w:szCs w:val="16"/>
              </w:rPr>
              <w:t xml:space="preserve">SOFTWARE POR CAPA</w:t>
            </w:r>
            <w:r>
              <w:rPr>
                <w:rFonts w:ascii="Calibri" w:cs="Calibri" w:eastAsia="Calibri" w:hAnsi="Calibri"/>
                <w:color w:val="64748B"/>
                <w:sz w:val="14"/>
                <w:szCs w:val="14"/>
              </w:rPr>
              <w:t xml:space="preserve">   del sistema operativo a la aplicación</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Sistema operativo</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Ubuntu Server 24.04 LTS</w:t>
            </w:r>
          </w:p>
          <w:p>
            <w:pPr>
              <w:spacing w:after="30" w:before="40" w:line="236"/>
            </w:pPr>
            <w:r>
              <w:rPr>
                <w:rFonts w:ascii="Calibri" w:cs="Calibri" w:eastAsia="Calibri" w:hAnsi="Calibri"/>
                <w:color w:val="64748B"/>
                <w:sz w:val="13"/>
                <w:szCs w:val="13"/>
              </w:rPr>
              <w:t xml:space="preserve">Sistema operativo libre de los servidores, con parches de seguridad hasta 2029.</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Ubuntu Server 24.04 LTS</w:t>
            </w:r>
            <w:r>
              <w:rPr>
                <w:rFonts w:ascii="Calibri" w:cs="Calibri" w:eastAsia="Calibri" w:hAnsi="Calibri"/>
                <w:color w:val="0F172A"/>
                <w:sz w:val="15"/>
                <w:szCs w:val="15"/>
              </w:rPr>
              <w:t xml:space="preserve"> + </w:t>
            </w:r>
            <w:r>
              <w:rPr>
                <w:rFonts w:ascii="Calibri" w:cs="Calibri" w:eastAsia="Calibri" w:hAnsi="Calibri"/>
                <w:b/>
                <w:bCs/>
                <w:color w:val="0F172A"/>
                <w:sz w:val="15"/>
                <w:szCs w:val="15"/>
              </w:rPr>
              <w:t xml:space="preserve">controlador NVIDIA y CUDA 12</w:t>
            </w:r>
            <w:r>
              <w:rPr>
                <w:rFonts w:ascii="Calibri" w:cs="Calibri" w:eastAsia="Calibri" w:hAnsi="Calibri"/>
                <w:color w:val="0F172A"/>
                <w:sz w:val="15"/>
                <w:szCs w:val="15"/>
              </w:rPr>
              <w:t xml:space="preserve"> en la estación de IA</w:t>
            </w:r>
          </w:p>
          <w:p>
            <w:pPr>
              <w:spacing w:after="30" w:before="40" w:line="236"/>
            </w:pPr>
            <w:r>
              <w:rPr>
                <w:rFonts w:ascii="Calibri" w:cs="Calibri" w:eastAsia="Calibri" w:hAnsi="Calibri"/>
                <w:color w:val="64748B"/>
                <w:sz w:val="13"/>
                <w:szCs w:val="13"/>
              </w:rPr>
              <w:t xml:space="preserve">Ubuntu en servidor y estación; el controlador y CUDA permiten que la IA use la tarjeta gráfica.</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Ubuntu Server 24.04 LTS</w:t>
            </w:r>
            <w:r>
              <w:rPr>
                <w:rFonts w:ascii="Calibri" w:cs="Calibri" w:eastAsia="Calibri" w:hAnsi="Calibri"/>
                <w:color w:val="0F172A"/>
                <w:sz w:val="15"/>
                <w:szCs w:val="15"/>
              </w:rPr>
              <w:t xml:space="preserve"> + </w:t>
            </w:r>
            <w:r>
              <w:rPr>
                <w:rFonts w:ascii="Calibri" w:cs="Calibri" w:eastAsia="Calibri" w:hAnsi="Calibri"/>
                <w:b/>
                <w:bCs/>
                <w:color w:val="0F172A"/>
                <w:sz w:val="15"/>
                <w:szCs w:val="15"/>
              </w:rPr>
              <w:t xml:space="preserve">controlador NVIDIA y CUDA 12</w:t>
            </w:r>
            <w:r>
              <w:rPr>
                <w:rFonts w:ascii="Calibri" w:cs="Calibri" w:eastAsia="Calibri" w:hAnsi="Calibri"/>
                <w:color w:val="0F172A"/>
                <w:sz w:val="15"/>
                <w:szCs w:val="15"/>
              </w:rPr>
              <w:t xml:space="preserve"> en la estación de IA</w:t>
            </w:r>
          </w:p>
          <w:p>
            <w:pPr>
              <w:spacing w:after="30" w:before="40" w:line="236"/>
            </w:pPr>
            <w:r>
              <w:rPr>
                <w:rFonts w:ascii="Calibri" w:cs="Calibri" w:eastAsia="Calibri" w:hAnsi="Calibri"/>
                <w:color w:val="64748B"/>
                <w:sz w:val="13"/>
                <w:szCs w:val="13"/>
              </w:rPr>
              <w:t xml:space="preserve">Ubuntu en servidores y estación; el controlador y CUDA permiten que la IA use la tarjeta gráfica.</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Lenguaje</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Python 3.12</w:t>
            </w:r>
            <w:r>
              <w:rPr>
                <w:rFonts w:ascii="Calibri" w:cs="Calibri" w:eastAsia="Calibri" w:hAnsi="Calibri"/>
                <w:color w:val="0F172A"/>
                <w:sz w:val="15"/>
                <w:szCs w:val="15"/>
              </w:rPr>
              <w:t xml:space="preserve"> (conector, motor, IA) · </w:t>
            </w:r>
            <w:r>
              <w:rPr>
                <w:rFonts w:ascii="Calibri" w:cs="Calibri" w:eastAsia="Calibri" w:hAnsi="Calibri"/>
                <w:b/>
                <w:bCs/>
                <w:color w:val="0F172A"/>
                <w:sz w:val="15"/>
                <w:szCs w:val="15"/>
              </w:rPr>
              <w:t xml:space="preserve">TypeScript</w:t>
            </w:r>
            <w:r>
              <w:rPr>
                <w:rFonts w:ascii="Calibri" w:cs="Calibri" w:eastAsia="Calibri" w:hAnsi="Calibri"/>
                <w:color w:val="0F172A"/>
                <w:sz w:val="15"/>
                <w:szCs w:val="15"/>
              </w:rPr>
              <w:t xml:space="preserve"> (GDP-SLEP Studio)</w:t>
            </w:r>
          </w:p>
          <w:p>
            <w:pPr>
              <w:spacing w:after="30" w:before="40" w:line="236"/>
            </w:pPr>
            <w:r>
              <w:rPr>
                <w:rFonts w:ascii="Calibri" w:cs="Calibri" w:eastAsia="Calibri" w:hAnsi="Calibri"/>
                <w:color w:val="64748B"/>
                <w:sz w:val="13"/>
                <w:szCs w:val="13"/>
              </w:rPr>
              <w:t xml:space="preserve">Python para todo lo que conversa con FONASA y con la IA; TypeScript para la aplicación web de la DEP.</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Python 3.12</w:t>
            </w:r>
            <w:r>
              <w:rPr>
                <w:rFonts w:ascii="Calibri" w:cs="Calibri" w:eastAsia="Calibri" w:hAnsi="Calibri"/>
                <w:color w:val="0F172A"/>
                <w:sz w:val="15"/>
                <w:szCs w:val="15"/>
              </w:rPr>
              <w:t xml:space="preserve"> (conector, motor, IA) · </w:t>
            </w:r>
            <w:r>
              <w:rPr>
                <w:rFonts w:ascii="Calibri" w:cs="Calibri" w:eastAsia="Calibri" w:hAnsi="Calibri"/>
                <w:b/>
                <w:bCs/>
                <w:color w:val="0F172A"/>
                <w:sz w:val="15"/>
                <w:szCs w:val="15"/>
              </w:rPr>
              <w:t xml:space="preserve">TypeScript</w:t>
            </w:r>
            <w:r>
              <w:rPr>
                <w:rFonts w:ascii="Calibri" w:cs="Calibri" w:eastAsia="Calibri" w:hAnsi="Calibri"/>
                <w:color w:val="0F172A"/>
                <w:sz w:val="15"/>
                <w:szCs w:val="15"/>
              </w:rPr>
              <w:t xml:space="preserve"> (GDP-SLEP Studio)</w:t>
            </w:r>
          </w:p>
          <w:p>
            <w:pPr>
              <w:spacing w:after="30" w:before="40" w:line="236"/>
            </w:pPr>
            <w:r>
              <w:rPr>
                <w:rFonts w:ascii="Calibri" w:cs="Calibri" w:eastAsia="Calibri" w:hAnsi="Calibri"/>
                <w:color w:val="64748B"/>
                <w:sz w:val="13"/>
                <w:szCs w:val="13"/>
              </w:rPr>
              <w:t xml:space="preserve">Python para todo lo que conversa con FONASA y con la IA; TypeScript para la aplicación web de la DEP.</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Python 3.12</w:t>
            </w:r>
            <w:r>
              <w:rPr>
                <w:rFonts w:ascii="Calibri" w:cs="Calibri" w:eastAsia="Calibri" w:hAnsi="Calibri"/>
                <w:color w:val="0F172A"/>
                <w:sz w:val="15"/>
                <w:szCs w:val="15"/>
              </w:rPr>
              <w:t xml:space="preserve"> (conector, motor, IA) · </w:t>
            </w:r>
            <w:r>
              <w:rPr>
                <w:rFonts w:ascii="Calibri" w:cs="Calibri" w:eastAsia="Calibri" w:hAnsi="Calibri"/>
                <w:b/>
                <w:bCs/>
                <w:color w:val="0F172A"/>
                <w:sz w:val="15"/>
                <w:szCs w:val="15"/>
              </w:rPr>
              <w:t xml:space="preserve">TypeScript</w:t>
            </w:r>
            <w:r>
              <w:rPr>
                <w:rFonts w:ascii="Calibri" w:cs="Calibri" w:eastAsia="Calibri" w:hAnsi="Calibri"/>
                <w:color w:val="0F172A"/>
                <w:sz w:val="15"/>
                <w:szCs w:val="15"/>
              </w:rPr>
              <w:t xml:space="preserve"> (GDP-SLEP Studio)</w:t>
            </w:r>
          </w:p>
          <w:p>
            <w:pPr>
              <w:spacing w:after="30" w:before="40" w:line="236"/>
            </w:pPr>
            <w:r>
              <w:rPr>
                <w:rFonts w:ascii="Calibri" w:cs="Calibri" w:eastAsia="Calibri" w:hAnsi="Calibri"/>
                <w:color w:val="64748B"/>
                <w:sz w:val="13"/>
                <w:szCs w:val="13"/>
              </w:rPr>
              <w:t xml:space="preserve">Python para todo lo que conversa con FONASA y con la IA; TypeScript para la aplicación web de la DEP.</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Conector</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httpx</w:t>
            </w:r>
            <w:r>
              <w:rPr>
                <w:rFonts w:ascii="Calibri" w:cs="Calibri" w:eastAsia="Calibri" w:hAnsi="Calibri"/>
                <w:color w:val="0F172A"/>
                <w:sz w:val="15"/>
                <w:szCs w:val="15"/>
              </w:rPr>
              <w:t xml:space="preserve"> o </w:t>
            </w:r>
            <w:r>
              <w:rPr>
                <w:rFonts w:ascii="Calibri" w:cs="Calibri" w:eastAsia="Calibri" w:hAnsi="Calibri"/>
                <w:b/>
                <w:bCs/>
                <w:color w:val="0F172A"/>
                <w:sz w:val="15"/>
                <w:szCs w:val="15"/>
              </w:rPr>
              <w:t xml:space="preserve">zeep</w:t>
            </w:r>
            <w:r>
              <w:rPr>
                <w:rFonts w:ascii="Calibri" w:cs="Calibri" w:eastAsia="Calibri" w:hAnsi="Calibri"/>
                <w:color w:val="0F172A"/>
                <w:sz w:val="15"/>
                <w:szCs w:val="15"/>
              </w:rPr>
              <w:t xml:space="preserve"> según el contrato del servicio · </w:t>
            </w:r>
            <w:r>
              <w:rPr>
                <w:rFonts w:ascii="Calibri" w:cs="Calibri" w:eastAsia="Calibri" w:hAnsi="Calibri"/>
                <w:b/>
                <w:bCs/>
                <w:color w:val="0F172A"/>
                <w:sz w:val="15"/>
                <w:szCs w:val="15"/>
              </w:rPr>
              <w:t xml:space="preserve">tenacity</w:t>
            </w:r>
            <w:r>
              <w:rPr>
                <w:rFonts w:ascii="Calibri" w:cs="Calibri" w:eastAsia="Calibri" w:hAnsi="Calibri"/>
                <w:color w:val="0F172A"/>
                <w:sz w:val="15"/>
                <w:szCs w:val="15"/>
              </w:rPr>
              <w:t xml:space="preserve"> (reintentos)</w:t>
            </w:r>
          </w:p>
          <w:p>
            <w:pPr>
              <w:spacing w:after="30" w:before="40" w:line="236"/>
            </w:pPr>
            <w:r>
              <w:rPr>
                <w:rFonts w:ascii="Calibri" w:cs="Calibri" w:eastAsia="Calibri" w:hAnsi="Calibri"/>
                <w:color w:val="64748B"/>
                <w:sz w:val="13"/>
                <w:szCs w:val="13"/>
              </w:rPr>
              <w:t xml:space="preserve">httpx si el servicio es REST (JSON) y zeep si es SOAP (XML); tenacity reintenta con pausas ante cortes.</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httpx</w:t>
            </w:r>
            <w:r>
              <w:rPr>
                <w:rFonts w:ascii="Calibri" w:cs="Calibri" w:eastAsia="Calibri" w:hAnsi="Calibri"/>
                <w:color w:val="0F172A"/>
                <w:sz w:val="15"/>
                <w:szCs w:val="15"/>
              </w:rPr>
              <w:t xml:space="preserve"> o </w:t>
            </w:r>
            <w:r>
              <w:rPr>
                <w:rFonts w:ascii="Calibri" w:cs="Calibri" w:eastAsia="Calibri" w:hAnsi="Calibri"/>
                <w:b/>
                <w:bCs/>
                <w:color w:val="0F172A"/>
                <w:sz w:val="15"/>
                <w:szCs w:val="15"/>
              </w:rPr>
              <w:t xml:space="preserve">zeep</w:t>
            </w:r>
            <w:r>
              <w:rPr>
                <w:rFonts w:ascii="Calibri" w:cs="Calibri" w:eastAsia="Calibri" w:hAnsi="Calibri"/>
                <w:color w:val="0F172A"/>
                <w:sz w:val="15"/>
                <w:szCs w:val="15"/>
              </w:rPr>
              <w:t xml:space="preserve"> según el contrato del servicio · </w:t>
            </w:r>
            <w:r>
              <w:rPr>
                <w:rFonts w:ascii="Calibri" w:cs="Calibri" w:eastAsia="Calibri" w:hAnsi="Calibri"/>
                <w:b/>
                <w:bCs/>
                <w:color w:val="0F172A"/>
                <w:sz w:val="15"/>
                <w:szCs w:val="15"/>
              </w:rPr>
              <w:t xml:space="preserve">tenacity</w:t>
            </w:r>
            <w:r>
              <w:rPr>
                <w:rFonts w:ascii="Calibri" w:cs="Calibri" w:eastAsia="Calibri" w:hAnsi="Calibri"/>
                <w:color w:val="0F172A"/>
                <w:sz w:val="15"/>
                <w:szCs w:val="15"/>
              </w:rPr>
              <w:t xml:space="preserve"> (reintentos)</w:t>
            </w:r>
          </w:p>
          <w:p>
            <w:pPr>
              <w:spacing w:after="30" w:before="40" w:line="236"/>
            </w:pPr>
            <w:r>
              <w:rPr>
                <w:rFonts w:ascii="Calibri" w:cs="Calibri" w:eastAsia="Calibri" w:hAnsi="Calibri"/>
                <w:color w:val="64748B"/>
                <w:sz w:val="13"/>
                <w:szCs w:val="13"/>
              </w:rPr>
              <w:t xml:space="preserve">httpx si el servicio es REST (JSON) y zeep si es SOAP (XML); tenacity reintenta con pausas ante cortes.</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httpx</w:t>
            </w:r>
            <w:r>
              <w:rPr>
                <w:rFonts w:ascii="Calibri" w:cs="Calibri" w:eastAsia="Calibri" w:hAnsi="Calibri"/>
                <w:color w:val="0F172A"/>
                <w:sz w:val="15"/>
                <w:szCs w:val="15"/>
              </w:rPr>
              <w:t xml:space="preserve"> o </w:t>
            </w:r>
            <w:r>
              <w:rPr>
                <w:rFonts w:ascii="Calibri" w:cs="Calibri" w:eastAsia="Calibri" w:hAnsi="Calibri"/>
                <w:b/>
                <w:bCs/>
                <w:color w:val="0F172A"/>
                <w:sz w:val="15"/>
                <w:szCs w:val="15"/>
              </w:rPr>
              <w:t xml:space="preserve">zeep</w:t>
            </w:r>
            <w:r>
              <w:rPr>
                <w:rFonts w:ascii="Calibri" w:cs="Calibri" w:eastAsia="Calibri" w:hAnsi="Calibri"/>
                <w:color w:val="0F172A"/>
                <w:sz w:val="15"/>
                <w:szCs w:val="15"/>
              </w:rPr>
              <w:t xml:space="preserve"> según el contrato del servicio · </w:t>
            </w:r>
            <w:r>
              <w:rPr>
                <w:rFonts w:ascii="Calibri" w:cs="Calibri" w:eastAsia="Calibri" w:hAnsi="Calibri"/>
                <w:b/>
                <w:bCs/>
                <w:color w:val="0F172A"/>
                <w:sz w:val="15"/>
                <w:szCs w:val="15"/>
              </w:rPr>
              <w:t xml:space="preserve">tenacity</w:t>
            </w:r>
            <w:r>
              <w:rPr>
                <w:rFonts w:ascii="Calibri" w:cs="Calibri" w:eastAsia="Calibri" w:hAnsi="Calibri"/>
                <w:color w:val="0F172A"/>
                <w:sz w:val="15"/>
                <w:szCs w:val="15"/>
              </w:rPr>
              <w:t xml:space="preserve"> (reintentos) · </w:t>
            </w:r>
            <w:r>
              <w:rPr>
                <w:rFonts w:ascii="Calibri" w:cs="Calibri" w:eastAsia="Calibri" w:hAnsi="Calibri"/>
                <w:b/>
                <w:bCs/>
                <w:color w:val="0F172A"/>
                <w:sz w:val="15"/>
                <w:szCs w:val="15"/>
              </w:rPr>
              <w:t xml:space="preserve">verificación de salud</w:t>
            </w:r>
          </w:p>
          <w:p>
            <w:pPr>
              <w:spacing w:after="30" w:before="40" w:line="236"/>
            </w:pPr>
            <w:r>
              <w:rPr>
                <w:rFonts w:ascii="Calibri" w:cs="Calibri" w:eastAsia="Calibri" w:hAnsi="Calibri"/>
                <w:color w:val="64748B"/>
                <w:sz w:val="13"/>
                <w:szCs w:val="13"/>
              </w:rPr>
              <w:t xml:space="preserve">httpx si el servicio es REST (JSON) y zeep si es SOAP (XML); tenacity reintenta con pausas ante cortes. La verificación de salud detecta a tiempo si FONASA cambió algo.</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Planificador y cola</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APScheduler</w:t>
            </w:r>
            <w:r>
              <w:rPr>
                <w:rFonts w:ascii="Calibri" w:cs="Calibri" w:eastAsia="Calibri" w:hAnsi="Calibri"/>
                <w:color w:val="0F172A"/>
                <w:sz w:val="15"/>
                <w:szCs w:val="15"/>
              </w:rPr>
              <w:t xml:space="preserve"> + tabla de tareas en MySQL</w:t>
            </w:r>
          </w:p>
          <w:p>
            <w:pPr>
              <w:spacing w:after="30" w:before="40" w:line="236"/>
            </w:pPr>
            <w:r>
              <w:rPr>
                <w:rFonts w:ascii="Calibri" w:cs="Calibri" w:eastAsia="Calibri" w:hAnsi="Calibri"/>
                <w:color w:val="64748B"/>
                <w:sz w:val="13"/>
                <w:szCs w:val="13"/>
              </w:rPr>
              <w:t xml:space="preserve">Programa las consultas y envíos a FONASA y guarda la lista de tareas pendientes en la base de datos.</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APScheduler</w:t>
            </w:r>
            <w:r>
              <w:rPr>
                <w:rFonts w:ascii="Calibri" w:cs="Calibri" w:eastAsia="Calibri" w:hAnsi="Calibri"/>
                <w:color w:val="0F172A"/>
                <w:sz w:val="15"/>
                <w:szCs w:val="15"/>
              </w:rPr>
              <w:t xml:space="preserve"> + </w:t>
            </w:r>
            <w:r>
              <w:rPr>
                <w:rFonts w:ascii="Calibri" w:cs="Calibri" w:eastAsia="Calibri" w:hAnsi="Calibri"/>
                <w:b/>
                <w:bCs/>
                <w:color w:val="0F172A"/>
                <w:sz w:val="15"/>
                <w:szCs w:val="15"/>
              </w:rPr>
              <w:t xml:space="preserve">Valkey 8</w:t>
            </w:r>
            <w:r>
              <w:rPr>
                <w:rFonts w:ascii="Calibri" w:cs="Calibri" w:eastAsia="Calibri" w:hAnsi="Calibri"/>
                <w:color w:val="0F172A"/>
                <w:sz w:val="15"/>
                <w:szCs w:val="15"/>
              </w:rPr>
              <w:t xml:space="preserve"> (cola y caché)</w:t>
            </w:r>
          </w:p>
          <w:p>
            <w:pPr>
              <w:spacing w:after="30" w:before="40" w:line="236"/>
            </w:pPr>
            <w:r>
              <w:rPr>
                <w:rFonts w:ascii="Calibri" w:cs="Calibri" w:eastAsia="Calibri" w:hAnsi="Calibri"/>
                <w:color w:val="64748B"/>
                <w:sz w:val="13"/>
                <w:szCs w:val="13"/>
              </w:rPr>
              <w:t xml:space="preserve">Valkey es una memoria rápida que ordena las tareas y evita repetir consultas cuando crece el volumen.</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APScheduler</w:t>
            </w:r>
            <w:r>
              <w:rPr>
                <w:rFonts w:ascii="Calibri" w:cs="Calibri" w:eastAsia="Calibri" w:hAnsi="Calibri"/>
                <w:color w:val="0F172A"/>
                <w:sz w:val="15"/>
                <w:szCs w:val="15"/>
              </w:rPr>
              <w:t xml:space="preserve"> + </w:t>
            </w:r>
            <w:r>
              <w:rPr>
                <w:rFonts w:ascii="Calibri" w:cs="Calibri" w:eastAsia="Calibri" w:hAnsi="Calibri"/>
                <w:b/>
                <w:bCs/>
                <w:color w:val="0F172A"/>
                <w:sz w:val="15"/>
                <w:szCs w:val="15"/>
              </w:rPr>
              <w:t xml:space="preserve">Valkey 8 en réplica</w:t>
            </w:r>
          </w:p>
          <w:p>
            <w:pPr>
              <w:spacing w:after="30" w:before="40" w:line="236"/>
            </w:pPr>
            <w:r>
              <w:rPr>
                <w:rFonts w:ascii="Calibri" w:cs="Calibri" w:eastAsia="Calibri" w:hAnsi="Calibri"/>
                <w:color w:val="64748B"/>
                <w:sz w:val="13"/>
                <w:szCs w:val="13"/>
              </w:rPr>
              <w:t xml:space="preserve">La cola queda copiada en dos servidores: no se pierden tareas si uno falla.</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Motor y API interna</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FastAPI · pydantic 2 · SQLAlchemy 2</w:t>
            </w:r>
          </w:p>
          <w:p>
            <w:pPr>
              <w:spacing w:after="30" w:before="40" w:line="236"/>
            </w:pPr>
            <w:r>
              <w:rPr>
                <w:rFonts w:ascii="Calibri" w:cs="Calibri" w:eastAsia="Calibri" w:hAnsi="Calibri"/>
                <w:color w:val="64748B"/>
                <w:sz w:val="13"/>
                <w:szCs w:val="13"/>
              </w:rPr>
              <w:t xml:space="preserve">FastAPI expone el motor de reglas a GDP-SLEP Studio; pydantic valida cada dato; SQLAlchemy conversa con la base de datos.</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FastAPI · pydantic 2 · SQLAlchemy 2</w:t>
            </w:r>
          </w:p>
          <w:p>
            <w:pPr>
              <w:spacing w:after="30" w:before="40" w:line="236"/>
            </w:pPr>
            <w:r>
              <w:rPr>
                <w:rFonts w:ascii="Calibri" w:cs="Calibri" w:eastAsia="Calibri" w:hAnsi="Calibri"/>
                <w:color w:val="64748B"/>
                <w:sz w:val="13"/>
                <w:szCs w:val="13"/>
              </w:rPr>
              <w:t xml:space="preserve">FastAPI expone el motor de reglas a GDP-SLEP Studio; pydantic valida cada dato; SQLAlchemy conversa con la base de datos.</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FastAPI · pydantic 2 · SQLAlchemy 2</w:t>
            </w:r>
          </w:p>
          <w:p>
            <w:pPr>
              <w:spacing w:after="30" w:before="40" w:line="236"/>
            </w:pPr>
            <w:r>
              <w:rPr>
                <w:rFonts w:ascii="Calibri" w:cs="Calibri" w:eastAsia="Calibri" w:hAnsi="Calibri"/>
                <w:color w:val="64748B"/>
                <w:sz w:val="13"/>
                <w:szCs w:val="13"/>
              </w:rPr>
              <w:t xml:space="preserve">FastAPI expone el motor de reglas a GDP-SLEP Studio; pydantic valida cada dato; SQLAlchemy conversa con la base de datos.</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Motor de IA</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LAYA</w:t>
            </w:r>
            <w:r>
              <w:rPr>
                <w:rFonts w:ascii="Calibri" w:cs="Calibri" w:eastAsia="Calibri" w:hAnsi="Calibri"/>
                <w:color w:val="0F172A"/>
                <w:sz w:val="15"/>
                <w:szCs w:val="15"/>
              </w:rPr>
              <w:t xml:space="preserve"> (motor FastAPI, versión fijada), sin n8n</w:t>
            </w:r>
          </w:p>
          <w:p>
            <w:pPr>
              <w:spacing w:after="30" w:before="40" w:line="236"/>
            </w:pPr>
            <w:r>
              <w:rPr>
                <w:rFonts w:ascii="Calibri" w:cs="Calibri" w:eastAsia="Calibri" w:hAnsi="Calibri"/>
                <w:color w:val="64748B"/>
                <w:sz w:val="13"/>
                <w:szCs w:val="13"/>
              </w:rPr>
              <w:t xml:space="preserve">Motor de la serie que aplica reglas y consulta al modelo para clasificar y priorizar; la versión fija evita cambios sin control.</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LAYA</w:t>
            </w:r>
            <w:r>
              <w:rPr>
                <w:rFonts w:ascii="Calibri" w:cs="Calibri" w:eastAsia="Calibri" w:hAnsi="Calibri"/>
                <w:color w:val="0F172A"/>
                <w:sz w:val="15"/>
                <w:szCs w:val="15"/>
              </w:rPr>
              <w:t xml:space="preserve"> (motor FastAPI, versión fijada), sin n8n</w:t>
            </w:r>
          </w:p>
          <w:p>
            <w:pPr>
              <w:spacing w:after="30" w:before="40" w:line="236"/>
            </w:pPr>
            <w:r>
              <w:rPr>
                <w:rFonts w:ascii="Calibri" w:cs="Calibri" w:eastAsia="Calibri" w:hAnsi="Calibri"/>
                <w:color w:val="64748B"/>
                <w:sz w:val="13"/>
                <w:szCs w:val="13"/>
              </w:rPr>
              <w:t xml:space="preserve">Motor de la serie que aplica reglas y consulta al modelo para clasificar y priorizar; la versión fija evita cambios sin control.</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LAYA</w:t>
            </w:r>
            <w:r>
              <w:rPr>
                <w:rFonts w:ascii="Calibri" w:cs="Calibri" w:eastAsia="Calibri" w:hAnsi="Calibri"/>
                <w:color w:val="0F172A"/>
                <w:sz w:val="15"/>
                <w:szCs w:val="15"/>
              </w:rPr>
              <w:t xml:space="preserve"> (motor FastAPI, versión fijada) con </w:t>
            </w:r>
            <w:r>
              <w:rPr>
                <w:rFonts w:ascii="Calibri" w:cs="Calibri" w:eastAsia="Calibri" w:hAnsi="Calibri"/>
                <w:b/>
                <w:bCs/>
                <w:color w:val="0F172A"/>
                <w:sz w:val="15"/>
                <w:szCs w:val="15"/>
              </w:rPr>
              <w:t xml:space="preserve">perfiles ampliados</w:t>
            </w:r>
          </w:p>
          <w:p>
            <w:pPr>
              <w:spacing w:after="30" w:before="40" w:line="236"/>
            </w:pPr>
            <w:r>
              <w:rPr>
                <w:rFonts w:ascii="Calibri" w:cs="Calibri" w:eastAsia="Calibri" w:hAnsi="Calibri"/>
                <w:color w:val="64748B"/>
                <w:sz w:val="13"/>
                <w:szCs w:val="13"/>
              </w:rPr>
              <w:t xml:space="preserve">Además de clasificar, cubre más tipos de casos y reglas por SLEP, aprovechando el modelo mayor.</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Servidor del modelo</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Ollama</w:t>
            </w:r>
            <w:r>
              <w:rPr>
                <w:rFonts w:ascii="Calibri" w:cs="Calibri" w:eastAsia="Calibri" w:hAnsi="Calibri"/>
                <w:color w:val="0F172A"/>
                <w:sz w:val="15"/>
                <w:szCs w:val="15"/>
              </w:rPr>
              <w:t xml:space="preserve"> en CPU · </w:t>
            </w:r>
            <w:r>
              <w:rPr>
                <w:rFonts w:ascii="Calibri" w:cs="Calibri" w:eastAsia="Calibri" w:hAnsi="Calibri"/>
                <w:b/>
                <w:bCs/>
                <w:color w:val="0F172A"/>
                <w:sz w:val="15"/>
                <w:szCs w:val="15"/>
              </w:rPr>
              <w:t xml:space="preserve">Qwen3 4B–8B</w:t>
            </w:r>
          </w:p>
          <w:p>
            <w:pPr>
              <w:spacing w:after="30" w:before="40" w:line="236"/>
            </w:pPr>
            <w:r>
              <w:rPr>
                <w:rFonts w:ascii="Calibri" w:cs="Calibri" w:eastAsia="Calibri" w:hAnsi="Calibri"/>
                <w:color w:val="64748B"/>
                <w:sz w:val="13"/>
                <w:szCs w:val="13"/>
              </w:rPr>
              <w:t xml:space="preserve">Ollama ejecuta el modelo de lenguaje dentro de la DEP; Qwen3 en tamaño pequeño cabe en la CPU.</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Ollama</w:t>
            </w:r>
            <w:r>
              <w:rPr>
                <w:rFonts w:ascii="Calibri" w:cs="Calibri" w:eastAsia="Calibri" w:hAnsi="Calibri"/>
                <w:color w:val="0F172A"/>
                <w:sz w:val="15"/>
                <w:szCs w:val="15"/>
              </w:rPr>
              <w:t xml:space="preserve"> en GPU · </w:t>
            </w:r>
            <w:r>
              <w:rPr>
                <w:rFonts w:ascii="Calibri" w:cs="Calibri" w:eastAsia="Calibri" w:hAnsi="Calibri"/>
                <w:b/>
                <w:bCs/>
                <w:color w:val="0F172A"/>
                <w:sz w:val="15"/>
                <w:szCs w:val="15"/>
              </w:rPr>
              <w:t xml:space="preserve">Qwen3 8B–14B</w:t>
            </w:r>
          </w:p>
          <w:p>
            <w:pPr>
              <w:spacing w:after="30" w:before="40" w:line="236"/>
            </w:pPr>
            <w:r>
              <w:rPr>
                <w:rFonts w:ascii="Calibri" w:cs="Calibri" w:eastAsia="Calibri" w:hAnsi="Calibri"/>
                <w:color w:val="64748B"/>
                <w:sz w:val="13"/>
                <w:szCs w:val="13"/>
              </w:rPr>
              <w:t xml:space="preserve">Con GPU, Ollama mueve un modelo más grande, que acierta más y responde en segundos.</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vLLM</w:t>
            </w:r>
            <w:r>
              <w:rPr>
                <w:rFonts w:ascii="Calibri" w:cs="Calibri" w:eastAsia="Calibri" w:hAnsi="Calibri"/>
                <w:color w:val="0F172A"/>
                <w:sz w:val="15"/>
                <w:szCs w:val="15"/>
              </w:rPr>
              <w:t xml:space="preserve"> en GPU · </w:t>
            </w:r>
            <w:r>
              <w:rPr>
                <w:rFonts w:ascii="Calibri" w:cs="Calibri" w:eastAsia="Calibri" w:hAnsi="Calibri"/>
                <w:b/>
                <w:bCs/>
                <w:color w:val="0F172A"/>
                <w:sz w:val="15"/>
                <w:szCs w:val="15"/>
              </w:rPr>
              <w:t xml:space="preserve">Qwen3 14B–32B</w:t>
            </w:r>
            <w:r>
              <w:rPr>
                <w:rFonts w:ascii="Calibri" w:cs="Calibri" w:eastAsia="Calibri" w:hAnsi="Calibri"/>
                <w:color w:val="0F172A"/>
                <w:sz w:val="15"/>
                <w:szCs w:val="15"/>
              </w:rPr>
              <w:t xml:space="preserve"> + Ollama en CPU de respaldo</w:t>
            </w:r>
          </w:p>
          <w:p>
            <w:pPr>
              <w:spacing w:after="30" w:before="40" w:line="236"/>
            </w:pPr>
            <w:r>
              <w:rPr>
                <w:rFonts w:ascii="Calibri" w:cs="Calibri" w:eastAsia="Calibri" w:hAnsi="Calibri"/>
                <w:color w:val="64748B"/>
                <w:sz w:val="13"/>
                <w:szCs w:val="13"/>
              </w:rPr>
              <w:t xml:space="preserve">vLLM atiende a muchos usuarios a la vez con el modelo mayor; Ollama queda de reserva si la GPU falla.</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Pasarela de modelos</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LiteLLM</w:t>
            </w:r>
            <w:r>
              <w:rPr>
                <w:rFonts w:ascii="Calibri" w:cs="Calibri" w:eastAsia="Calibri" w:hAnsi="Calibri"/>
                <w:color w:val="0F172A"/>
                <w:sz w:val="15"/>
                <w:szCs w:val="15"/>
              </w:rPr>
              <w:t xml:space="preserve"> (solo modelos locales)</w:t>
            </w:r>
          </w:p>
          <w:p>
            <w:pPr>
              <w:spacing w:after="30" w:before="40" w:line="236"/>
            </w:pPr>
            <w:r>
              <w:rPr>
                <w:rFonts w:ascii="Calibri" w:cs="Calibri" w:eastAsia="Calibri" w:hAnsi="Calibri"/>
                <w:color w:val="64748B"/>
                <w:sz w:val="13"/>
                <w:szCs w:val="13"/>
              </w:rPr>
              <w:t xml:space="preserve">Punto único por el que pasan todas las consultas a la IA; bloquea cualquier salida a servicios externos.</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LiteLLM</w:t>
            </w:r>
            <w:r>
              <w:rPr>
                <w:rFonts w:ascii="Calibri" w:cs="Calibri" w:eastAsia="Calibri" w:hAnsi="Calibri"/>
                <w:color w:val="0F172A"/>
                <w:sz w:val="15"/>
                <w:szCs w:val="15"/>
              </w:rPr>
              <w:t xml:space="preserve"> (solo modelos locales)</w:t>
            </w:r>
          </w:p>
          <w:p>
            <w:pPr>
              <w:spacing w:after="30" w:before="40" w:line="236"/>
            </w:pPr>
            <w:r>
              <w:rPr>
                <w:rFonts w:ascii="Calibri" w:cs="Calibri" w:eastAsia="Calibri" w:hAnsi="Calibri"/>
                <w:color w:val="64748B"/>
                <w:sz w:val="13"/>
                <w:szCs w:val="13"/>
              </w:rPr>
              <w:t xml:space="preserve">Punto único por el que pasan todas las consultas a la IA; bloquea cualquier salida a servicios externos.</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LiteLLM</w:t>
            </w:r>
            <w:r>
              <w:rPr>
                <w:rFonts w:ascii="Calibri" w:cs="Calibri" w:eastAsia="Calibri" w:hAnsi="Calibri"/>
                <w:color w:val="0F172A"/>
                <w:sz w:val="15"/>
                <w:szCs w:val="15"/>
              </w:rPr>
              <w:t xml:space="preserve"> (solo modelos locales) con </w:t>
            </w:r>
            <w:r>
              <w:rPr>
                <w:rFonts w:ascii="Calibri" w:cs="Calibri" w:eastAsia="Calibri" w:hAnsi="Calibri"/>
                <w:b/>
                <w:bCs/>
                <w:color w:val="0F172A"/>
                <w:sz w:val="15"/>
                <w:szCs w:val="15"/>
              </w:rPr>
              <w:t xml:space="preserve">registro de cada consulta</w:t>
            </w:r>
          </w:p>
          <w:p>
            <w:pPr>
              <w:spacing w:after="30" w:before="40" w:line="236"/>
            </w:pPr>
            <w:r>
              <w:rPr>
                <w:rFonts w:ascii="Calibri" w:cs="Calibri" w:eastAsia="Calibri" w:hAnsi="Calibri"/>
                <w:color w:val="64748B"/>
                <w:sz w:val="13"/>
                <w:szCs w:val="13"/>
              </w:rPr>
              <w:t xml:space="preserve">Además de bloquear salidas externas, deja constancia de quién consultó qué, para auditoría.</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IA en la nube (sin datos personales)</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No se usa</w:t>
            </w:r>
          </w:p>
          <w:p>
            <w:pPr>
              <w:spacing w:after="30" w:before="40" w:line="236"/>
            </w:pPr>
            <w:r>
              <w:rPr>
                <w:rFonts w:ascii="Calibri" w:cs="Calibri" w:eastAsia="Calibri" w:hAnsi="Calibri"/>
                <w:color w:val="64748B"/>
                <w:sz w:val="13"/>
                <w:szCs w:val="13"/>
              </w:rPr>
              <w:t xml:space="preserve">Toda la IA corre dentro de la DEP; no hay servicio externo.</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Claude Team Standard · 2 asientos (coordinación y desarrollo)</w:t>
            </w:r>
          </w:p>
          <w:p>
            <w:pPr>
              <w:spacing w:after="30" w:before="40" w:line="236"/>
            </w:pPr>
            <w:r>
              <w:rPr>
                <w:rFonts w:ascii="Calibri" w:cs="Calibri" w:eastAsia="Calibri" w:hAnsi="Calibri"/>
                <w:color w:val="64748B"/>
                <w:sz w:val="13"/>
                <w:szCs w:val="13"/>
              </w:rPr>
              <w:t xml:space="preserve">Apoyo al equipo en normativa, redacción y código, </w:t>
            </w:r>
            <w:r>
              <w:rPr>
                <w:b/>
                <w:bCs/>
                <w:rFonts w:ascii="Calibri" w:cs="Calibri" w:eastAsia="Calibri" w:hAnsi="Calibri"/>
                <w:color w:val="64748B"/>
                <w:sz w:val="13"/>
                <w:szCs w:val="13"/>
              </w:rPr>
              <w:t xml:space="preserve">sin datos personales</w:t>
            </w:r>
            <w:r>
              <w:rPr>
                <w:rFonts w:ascii="Calibri" w:cs="Calibri" w:eastAsia="Calibri" w:hAnsi="Calibri"/>
                <w:color w:val="64748B"/>
                <w:sz w:val="13"/>
                <w:szCs w:val="13"/>
              </w:rPr>
              <w:t xml:space="preserve">. El plan no entrena modelos con los datos de la institución.</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Claude Team (1 Premium + 1 Standard) + API de Claude (Sonnet 5.5) en el portal</w:t>
            </w:r>
          </w:p>
          <w:p>
            <w:pPr>
              <w:spacing w:after="30" w:before="40" w:line="236"/>
            </w:pPr>
            <w:r>
              <w:rPr>
                <w:rFonts w:ascii="Calibri" w:cs="Calibri" w:eastAsia="Calibri" w:hAnsi="Calibri"/>
                <w:color w:val="64748B"/>
                <w:sz w:val="13"/>
                <w:szCs w:val="13"/>
              </w:rPr>
              <w:t xml:space="preserve">La API alimenta un asistente de normativa y redacción en GDP-SLEP Studio, detrás de una </w:t>
            </w:r>
            <w:r>
              <w:rPr>
                <w:b/>
                <w:bCs/>
                <w:rFonts w:ascii="Calibri" w:cs="Calibri" w:eastAsia="Calibri" w:hAnsi="Calibri"/>
                <w:color w:val="64748B"/>
                <w:sz w:val="13"/>
                <w:szCs w:val="13"/>
              </w:rPr>
              <w:t xml:space="preserve">pasarela que bloquea RUT, nombres y datos de salud</w:t>
            </w:r>
            <w:r>
              <w:rPr>
                <w:rFonts w:ascii="Calibri" w:cs="Calibri" w:eastAsia="Calibri" w:hAnsi="Calibri"/>
                <w:color w:val="64748B"/>
                <w:sz w:val="13"/>
                <w:szCs w:val="13"/>
              </w:rPr>
              <w:t xml:space="preserve"> antes de enviar.</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Bases de datos</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MySQL 8.4 LTS</w:t>
            </w:r>
            <w:r>
              <w:rPr>
                <w:rFonts w:ascii="Calibri" w:cs="Calibri" w:eastAsia="Calibri" w:hAnsi="Calibri"/>
                <w:color w:val="0F172A"/>
                <w:sz w:val="15"/>
                <w:szCs w:val="15"/>
              </w:rPr>
              <w:t xml:space="preserve"> · </w:t>
            </w:r>
            <w:r>
              <w:rPr>
                <w:rFonts w:ascii="Calibri" w:cs="Calibri" w:eastAsia="Calibri" w:hAnsi="Calibri"/>
                <w:b/>
                <w:bCs/>
                <w:color w:val="0F172A"/>
                <w:sz w:val="15"/>
                <w:szCs w:val="15"/>
              </w:rPr>
              <w:t xml:space="preserve">SQLite</w:t>
            </w:r>
            <w:r>
              <w:rPr>
                <w:rFonts w:ascii="Calibri" w:cs="Calibri" w:eastAsia="Calibri" w:hAnsi="Calibri"/>
                <w:color w:val="0F172A"/>
                <w:sz w:val="15"/>
                <w:szCs w:val="15"/>
              </w:rPr>
              <w:t xml:space="preserve"> (LAYA)</w:t>
            </w:r>
          </w:p>
          <w:p>
            <w:pPr>
              <w:spacing w:after="30" w:before="40" w:line="236"/>
            </w:pPr>
            <w:r>
              <w:rPr>
                <w:rFonts w:ascii="Calibri" w:cs="Calibri" w:eastAsia="Calibri" w:hAnsi="Calibri"/>
                <w:color w:val="64748B"/>
                <w:sz w:val="13"/>
                <w:szCs w:val="13"/>
              </w:rPr>
              <w:t xml:space="preserve">MySQL guarda licencias, estados y registro; SQLite guarda la configuración interna de LAYA.</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MySQL 8.4 LTS</w:t>
            </w:r>
            <w:r>
              <w:rPr>
                <w:rFonts w:ascii="Calibri" w:cs="Calibri" w:eastAsia="Calibri" w:hAnsi="Calibri"/>
                <w:color w:val="0F172A"/>
                <w:sz w:val="15"/>
                <w:szCs w:val="15"/>
              </w:rPr>
              <w:t xml:space="preserve"> · </w:t>
            </w:r>
            <w:r>
              <w:rPr>
                <w:rFonts w:ascii="Calibri" w:cs="Calibri" w:eastAsia="Calibri" w:hAnsi="Calibri"/>
                <w:b/>
                <w:bCs/>
                <w:color w:val="0F172A"/>
                <w:sz w:val="15"/>
                <w:szCs w:val="15"/>
              </w:rPr>
              <w:t xml:space="preserve">SQLite</w:t>
            </w:r>
            <w:r>
              <w:rPr>
                <w:rFonts w:ascii="Calibri" w:cs="Calibri" w:eastAsia="Calibri" w:hAnsi="Calibri"/>
                <w:color w:val="0F172A"/>
                <w:sz w:val="15"/>
                <w:szCs w:val="15"/>
              </w:rPr>
              <w:t xml:space="preserve"> (LAYA)</w:t>
            </w:r>
          </w:p>
          <w:p>
            <w:pPr>
              <w:spacing w:after="30" w:before="40" w:line="236"/>
            </w:pPr>
            <w:r>
              <w:rPr>
                <w:rFonts w:ascii="Calibri" w:cs="Calibri" w:eastAsia="Calibri" w:hAnsi="Calibri"/>
                <w:color w:val="64748B"/>
                <w:sz w:val="13"/>
                <w:szCs w:val="13"/>
              </w:rPr>
              <w:t xml:space="preserve">MySQL guarda licencias, estados y registro; SQLite guarda la configuración interna de LAYA.</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MySQL 8.4 LTS con réplica</w:t>
            </w:r>
            <w:r>
              <w:rPr>
                <w:rFonts w:ascii="Calibri" w:cs="Calibri" w:eastAsia="Calibri" w:hAnsi="Calibri"/>
                <w:color w:val="0F172A"/>
                <w:sz w:val="15"/>
                <w:szCs w:val="15"/>
              </w:rPr>
              <w:t xml:space="preserve"> · </w:t>
            </w:r>
            <w:r>
              <w:rPr>
                <w:rFonts w:ascii="Calibri" w:cs="Calibri" w:eastAsia="Calibri" w:hAnsi="Calibri"/>
                <w:b/>
                <w:bCs/>
                <w:color w:val="0F172A"/>
                <w:sz w:val="15"/>
                <w:szCs w:val="15"/>
              </w:rPr>
              <w:t xml:space="preserve">SQLite</w:t>
            </w:r>
            <w:r>
              <w:rPr>
                <w:rFonts w:ascii="Calibri" w:cs="Calibri" w:eastAsia="Calibri" w:hAnsi="Calibri"/>
                <w:color w:val="0F172A"/>
                <w:sz w:val="15"/>
                <w:szCs w:val="15"/>
              </w:rPr>
              <w:t xml:space="preserve"> (LAYA)</w:t>
            </w:r>
          </w:p>
          <w:p>
            <w:pPr>
              <w:spacing w:after="30" w:before="40" w:line="236"/>
            </w:pPr>
            <w:r>
              <w:rPr>
                <w:rFonts w:ascii="Calibri" w:cs="Calibri" w:eastAsia="Calibri" w:hAnsi="Calibri"/>
                <w:color w:val="64748B"/>
                <w:sz w:val="13"/>
                <w:szCs w:val="13"/>
              </w:rPr>
              <w:t xml:space="preserve">Una segunda copia de la base, siempre al día, lista para usarse si la principal falla.</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Secretos</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Archivo cifrado con </w:t>
            </w:r>
            <w:r>
              <w:rPr>
                <w:rFonts w:ascii="Calibri" w:cs="Calibri" w:eastAsia="Calibri" w:hAnsi="Calibri"/>
                <w:b/>
                <w:bCs/>
                <w:color w:val="0F172A"/>
                <w:sz w:val="15"/>
                <w:szCs w:val="15"/>
              </w:rPr>
              <w:t xml:space="preserve">sops + age</w:t>
            </w:r>
          </w:p>
          <w:p>
            <w:pPr>
              <w:spacing w:after="30" w:before="40" w:line="236"/>
            </w:pPr>
            <w:r>
              <w:rPr>
                <w:rFonts w:ascii="Calibri" w:cs="Calibri" w:eastAsia="Calibri" w:hAnsi="Calibri"/>
                <w:color w:val="64748B"/>
                <w:sz w:val="13"/>
                <w:szCs w:val="13"/>
              </w:rPr>
              <w:t xml:space="preserve">Las claves de servicio quedan cifradas en un archivo que solo el servidor autorizado puede abrir.</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OpenBao</w:t>
            </w:r>
            <w:r>
              <w:rPr>
                <w:rFonts w:ascii="Calibri" w:cs="Calibri" w:eastAsia="Calibri" w:hAnsi="Calibri"/>
                <w:color w:val="0F172A"/>
                <w:sz w:val="15"/>
                <w:szCs w:val="15"/>
              </w:rPr>
              <w:t xml:space="preserve"> (almacén de secretos)</w:t>
            </w:r>
          </w:p>
          <w:p>
            <w:pPr>
              <w:spacing w:after="30" w:before="40" w:line="236"/>
            </w:pPr>
            <w:r>
              <w:rPr>
                <w:rFonts w:ascii="Calibri" w:cs="Calibri" w:eastAsia="Calibri" w:hAnsi="Calibri"/>
                <w:color w:val="64748B"/>
                <w:sz w:val="13"/>
                <w:szCs w:val="13"/>
              </w:rPr>
              <w:t xml:space="preserve">Bóveda que entrega cada clave solo al servicio autorizado y registra cada uso.</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OpenBao</w:t>
            </w:r>
            <w:r>
              <w:rPr>
                <w:rFonts w:ascii="Calibri" w:cs="Calibri" w:eastAsia="Calibri" w:hAnsi="Calibri"/>
                <w:color w:val="0F172A"/>
                <w:sz w:val="15"/>
                <w:szCs w:val="15"/>
              </w:rPr>
              <w:t xml:space="preserve"> con </w:t>
            </w:r>
            <w:r>
              <w:rPr>
                <w:rFonts w:ascii="Calibri" w:cs="Calibri" w:eastAsia="Calibri" w:hAnsi="Calibri"/>
                <w:b/>
                <w:bCs/>
                <w:color w:val="0F172A"/>
                <w:sz w:val="15"/>
                <w:szCs w:val="15"/>
              </w:rPr>
              <w:t xml:space="preserve">desbloqueo por varias personas</w:t>
            </w:r>
          </w:p>
          <w:p>
            <w:pPr>
              <w:spacing w:after="30" w:before="40" w:line="236"/>
            </w:pPr>
            <w:r>
              <w:rPr>
                <w:rFonts w:ascii="Calibri" w:cs="Calibri" w:eastAsia="Calibri" w:hAnsi="Calibri"/>
                <w:color w:val="64748B"/>
                <w:sz w:val="13"/>
                <w:szCs w:val="13"/>
              </w:rPr>
              <w:t xml:space="preserve">Para abrir la bóveda se necesitan llaves de al menos dos personas: nadie puede hacerlo solo.</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Proxy y TLS</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Nginx</w:t>
            </w:r>
            <w:r>
              <w:rPr>
                <w:rFonts w:ascii="Calibri" w:cs="Calibri" w:eastAsia="Calibri" w:hAnsi="Calibri"/>
                <w:color w:val="0F172A"/>
                <w:sz w:val="15"/>
                <w:szCs w:val="15"/>
              </w:rPr>
              <w:t xml:space="preserve"> con certificado de TI</w:t>
            </w:r>
          </w:p>
          <w:p>
            <w:pPr>
              <w:spacing w:after="30" w:before="40" w:line="236"/>
            </w:pPr>
            <w:r>
              <w:rPr>
                <w:rFonts w:ascii="Calibri" w:cs="Calibri" w:eastAsia="Calibri" w:hAnsi="Calibri"/>
                <w:color w:val="64748B"/>
                <w:sz w:val="13"/>
                <w:szCs w:val="13"/>
              </w:rPr>
              <w:t xml:space="preserve">Recibe las conexiones y las cifra con HTTPS usando el certificado institucional.</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Nginx</w:t>
            </w:r>
            <w:r>
              <w:rPr>
                <w:rFonts w:ascii="Calibri" w:cs="Calibri" w:eastAsia="Calibri" w:hAnsi="Calibri"/>
                <w:color w:val="0F172A"/>
                <w:sz w:val="15"/>
                <w:szCs w:val="15"/>
              </w:rPr>
              <w:t xml:space="preserve"> con certificado de TI</w:t>
            </w:r>
          </w:p>
          <w:p>
            <w:pPr>
              <w:spacing w:after="30" w:before="40" w:line="236"/>
            </w:pPr>
            <w:r>
              <w:rPr>
                <w:rFonts w:ascii="Calibri" w:cs="Calibri" w:eastAsia="Calibri" w:hAnsi="Calibri"/>
                <w:color w:val="64748B"/>
                <w:sz w:val="13"/>
                <w:szCs w:val="13"/>
              </w:rPr>
              <w:t xml:space="preserve">Recibe las conexiones y las cifra con HTTPS usando el certificado institucional.</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Nginx</w:t>
            </w:r>
            <w:r>
              <w:rPr>
                <w:rFonts w:ascii="Calibri" w:cs="Calibri" w:eastAsia="Calibri" w:hAnsi="Calibri"/>
                <w:color w:val="0F172A"/>
                <w:sz w:val="15"/>
                <w:szCs w:val="15"/>
              </w:rPr>
              <w:t xml:space="preserve"> + </w:t>
            </w:r>
            <w:r>
              <w:rPr>
                <w:rFonts w:ascii="Calibri" w:cs="Calibri" w:eastAsia="Calibri" w:hAnsi="Calibri"/>
                <w:b/>
                <w:bCs/>
                <w:color w:val="0F172A"/>
                <w:sz w:val="15"/>
                <w:szCs w:val="15"/>
              </w:rPr>
              <w:t xml:space="preserve">keepalived</w:t>
            </w:r>
            <w:r>
              <w:rPr>
                <w:rFonts w:ascii="Calibri" w:cs="Calibri" w:eastAsia="Calibri" w:hAnsi="Calibri"/>
                <w:color w:val="0F172A"/>
                <w:sz w:val="15"/>
                <w:szCs w:val="15"/>
              </w:rPr>
              <w:t xml:space="preserve"> (IP flotante)</w:t>
            </w:r>
          </w:p>
          <w:p>
            <w:pPr>
              <w:spacing w:after="30" w:before="40" w:line="236"/>
            </w:pPr>
            <w:r>
              <w:rPr>
                <w:rFonts w:ascii="Calibri" w:cs="Calibri" w:eastAsia="Calibri" w:hAnsi="Calibri"/>
                <w:color w:val="64748B"/>
                <w:sz w:val="13"/>
                <w:szCs w:val="13"/>
              </w:rPr>
              <w:t xml:space="preserve">keepalived traslada la dirección del servicio al servidor de respaldo si el principal cae.</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Observabilidad</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Registros JSON + </w:t>
            </w:r>
            <w:r>
              <w:rPr>
                <w:rFonts w:ascii="Calibri" w:cs="Calibri" w:eastAsia="Calibri" w:hAnsi="Calibri"/>
                <w:b/>
                <w:bCs/>
                <w:color w:val="0F172A"/>
                <w:sz w:val="15"/>
                <w:szCs w:val="15"/>
              </w:rPr>
              <w:t xml:space="preserve">Uptime Kuma</w:t>
            </w:r>
          </w:p>
          <w:p>
            <w:pPr>
              <w:spacing w:after="30" w:before="40" w:line="236"/>
            </w:pPr>
            <w:r>
              <w:rPr>
                <w:rFonts w:ascii="Calibri" w:cs="Calibri" w:eastAsia="Calibri" w:hAnsi="Calibri"/>
                <w:color w:val="64748B"/>
                <w:sz w:val="13"/>
                <w:szCs w:val="13"/>
              </w:rPr>
              <w:t xml:space="preserve">Registros ordenados para buscar errores y un vigilante que avisa si el servicio deja de responder.</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Registros JSON + </w:t>
            </w:r>
            <w:r>
              <w:rPr>
                <w:rFonts w:ascii="Calibri" w:cs="Calibri" w:eastAsia="Calibri" w:hAnsi="Calibri"/>
                <w:b/>
                <w:bCs/>
                <w:color w:val="0F172A"/>
                <w:sz w:val="15"/>
                <w:szCs w:val="15"/>
              </w:rPr>
              <w:t xml:space="preserve">Uptime Kuma</w:t>
            </w:r>
            <w:r>
              <w:rPr>
                <w:rFonts w:ascii="Calibri" w:cs="Calibri" w:eastAsia="Calibri" w:hAnsi="Calibri"/>
                <w:color w:val="0F172A"/>
                <w:sz w:val="15"/>
                <w:szCs w:val="15"/>
              </w:rPr>
              <w:t xml:space="preserve"> + </w:t>
            </w:r>
            <w:r>
              <w:rPr>
                <w:rFonts w:ascii="Calibri" w:cs="Calibri" w:eastAsia="Calibri" w:hAnsi="Calibri"/>
                <w:b/>
                <w:bCs/>
                <w:color w:val="0F172A"/>
                <w:sz w:val="15"/>
                <w:szCs w:val="15"/>
              </w:rPr>
              <w:t xml:space="preserve">Prometheus · Grafana</w:t>
            </w:r>
            <w:r>
              <w:rPr>
                <w:rFonts w:ascii="Calibri" w:cs="Calibri" w:eastAsia="Calibri" w:hAnsi="Calibri"/>
                <w:color w:val="0F172A"/>
                <w:sz w:val="15"/>
                <w:szCs w:val="15"/>
              </w:rPr>
              <w:t xml:space="preserve"> + métricas de GPU</w:t>
            </w:r>
          </w:p>
          <w:p>
            <w:pPr>
              <w:spacing w:after="30" w:before="40" w:line="236"/>
            </w:pPr>
            <w:r>
              <w:rPr>
                <w:rFonts w:ascii="Calibri" w:cs="Calibri" w:eastAsia="Calibri" w:hAnsi="Calibri"/>
                <w:color w:val="64748B"/>
                <w:sz w:val="13"/>
                <w:szCs w:val="13"/>
              </w:rPr>
              <w:t xml:space="preserve">Prometheus mide el funcionamiento minuto a minuto y Grafana lo muestra en gráficos, incluida la carga de la GPU.</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Uptime Kuma · Prometheus · Grafana</w:t>
            </w:r>
            <w:r>
              <w:rPr>
                <w:rFonts w:ascii="Calibri" w:cs="Calibri" w:eastAsia="Calibri" w:hAnsi="Calibri"/>
                <w:color w:val="0F172A"/>
                <w:sz w:val="15"/>
                <w:szCs w:val="15"/>
              </w:rPr>
              <w:t xml:space="preserve"> + </w:t>
            </w:r>
            <w:r>
              <w:rPr>
                <w:rFonts w:ascii="Calibri" w:cs="Calibri" w:eastAsia="Calibri" w:hAnsi="Calibri"/>
                <w:b/>
                <w:bCs/>
                <w:color w:val="0F172A"/>
                <w:sz w:val="15"/>
                <w:szCs w:val="15"/>
              </w:rPr>
              <w:t xml:space="preserve">Loki · Alertmanager · Wazuh</w:t>
            </w:r>
          </w:p>
          <w:p>
            <w:pPr>
              <w:spacing w:after="30" w:before="40" w:line="236"/>
            </w:pPr>
            <w:r>
              <w:rPr>
                <w:rFonts w:ascii="Calibri" w:cs="Calibri" w:eastAsia="Calibri" w:hAnsi="Calibri"/>
                <w:color w:val="64748B"/>
                <w:sz w:val="13"/>
                <w:szCs w:val="13"/>
              </w:rPr>
              <w:t xml:space="preserve">Loki centraliza los registros, Alertmanager envía avisos y Wazuh detecta eventos de seguridad.</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Respaldo</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restic</w:t>
            </w:r>
            <w:r>
              <w:rPr>
                <w:rFonts w:ascii="Calibri" w:cs="Calibri" w:eastAsia="Calibri" w:hAnsi="Calibri"/>
                <w:color w:val="0F172A"/>
                <w:sz w:val="15"/>
                <w:szCs w:val="15"/>
              </w:rPr>
              <w:t xml:space="preserve"> + volcado diario de MySQL</w:t>
            </w:r>
          </w:p>
          <w:p>
            <w:pPr>
              <w:spacing w:after="30" w:before="40" w:line="236"/>
            </w:pPr>
            <w:r>
              <w:rPr>
                <w:rFonts w:ascii="Calibri" w:cs="Calibri" w:eastAsia="Calibri" w:hAnsi="Calibri"/>
                <w:color w:val="64748B"/>
                <w:sz w:val="13"/>
                <w:szCs w:val="13"/>
              </w:rPr>
              <w:t xml:space="preserve">restic hace copias cifradas e incrementales; el volcado deja la base lista para restaurar.</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restic</w:t>
            </w:r>
            <w:r>
              <w:rPr>
                <w:rFonts w:ascii="Calibri" w:cs="Calibri" w:eastAsia="Calibri" w:hAnsi="Calibri"/>
                <w:color w:val="0F172A"/>
                <w:sz w:val="15"/>
                <w:szCs w:val="15"/>
              </w:rPr>
              <w:t xml:space="preserve"> + volcado diario de MySQL + </w:t>
            </w:r>
            <w:r>
              <w:rPr>
                <w:rFonts w:ascii="Calibri" w:cs="Calibri" w:eastAsia="Calibri" w:hAnsi="Calibri"/>
                <w:b/>
                <w:bCs/>
                <w:color w:val="0F172A"/>
                <w:sz w:val="15"/>
                <w:szCs w:val="15"/>
              </w:rPr>
              <w:t xml:space="preserve">copia semanal externa</w:t>
            </w:r>
          </w:p>
          <w:p>
            <w:pPr>
              <w:spacing w:after="30" w:before="40" w:line="236"/>
            </w:pPr>
            <w:r>
              <w:rPr>
                <w:rFonts w:ascii="Calibri" w:cs="Calibri" w:eastAsia="Calibri" w:hAnsi="Calibri"/>
                <w:color w:val="64748B"/>
                <w:sz w:val="13"/>
                <w:szCs w:val="13"/>
              </w:rPr>
              <w:t xml:space="preserve">restic hace copias cifradas e incrementales; una vez por semana se lleva una copia fuera del edificio.</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restic</w:t>
            </w:r>
            <w:r>
              <w:rPr>
                <w:rFonts w:ascii="Calibri" w:cs="Calibri" w:eastAsia="Calibri" w:hAnsi="Calibri"/>
                <w:color w:val="0F172A"/>
                <w:sz w:val="15"/>
                <w:szCs w:val="15"/>
              </w:rPr>
              <w:t xml:space="preserve"> + volcado diario de MySQL + </w:t>
            </w:r>
            <w:r>
              <w:rPr>
                <w:rFonts w:ascii="Calibri" w:cs="Calibri" w:eastAsia="Calibri" w:hAnsi="Calibri"/>
                <w:b/>
                <w:bCs/>
                <w:color w:val="0F172A"/>
                <w:sz w:val="15"/>
                <w:szCs w:val="15"/>
              </w:rPr>
              <w:t xml:space="preserve">réplica en Azure Chile</w:t>
            </w:r>
          </w:p>
          <w:p>
            <w:pPr>
              <w:spacing w:after="30" w:before="40" w:line="236"/>
            </w:pPr>
            <w:r>
              <w:rPr>
                <w:rFonts w:ascii="Calibri" w:cs="Calibri" w:eastAsia="Calibri" w:hAnsi="Calibri"/>
                <w:color w:val="64748B"/>
                <w:sz w:val="13"/>
                <w:szCs w:val="13"/>
              </w:rPr>
              <w:t xml:space="preserve">Las copias se envían cifradas al sitio de respaldo en Azure, dentro de Chile.</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Calidad y CI</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GitLab CE · pytest · ruff · mypy · Trivy</w:t>
            </w:r>
          </w:p>
          <w:p>
            <w:pPr>
              <w:spacing w:after="30" w:before="40" w:line="236"/>
            </w:pPr>
            <w:r>
              <w:rPr>
                <w:rFonts w:ascii="Calibri" w:cs="Calibri" w:eastAsia="Calibri" w:hAnsi="Calibri"/>
                <w:color w:val="64748B"/>
                <w:sz w:val="13"/>
                <w:szCs w:val="13"/>
              </w:rPr>
              <w:t xml:space="preserve">GitLab guarda el código y corre las pruebas en cada cambio; ruff y mypy revisan errores; Trivy busca vulnerabilidades en las dependencias.</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GitLab CE · pytest · ruff · mypy · Trivy</w:t>
            </w:r>
          </w:p>
          <w:p>
            <w:pPr>
              <w:spacing w:after="30" w:before="40" w:line="236"/>
            </w:pPr>
            <w:r>
              <w:rPr>
                <w:rFonts w:ascii="Calibri" w:cs="Calibri" w:eastAsia="Calibri" w:hAnsi="Calibri"/>
                <w:color w:val="64748B"/>
                <w:sz w:val="13"/>
                <w:szCs w:val="13"/>
              </w:rPr>
              <w:t xml:space="preserve">GitLab guarda el código y corre las pruebas en cada cambio; ruff y mypy revisan errores; Trivy busca vulnerabilidades en las dependencias.</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GitLab CE · pytest · ruff · mypy · Trivy</w:t>
            </w:r>
            <w:r>
              <w:rPr>
                <w:rFonts w:ascii="Calibri" w:cs="Calibri" w:eastAsia="Calibri" w:hAnsi="Calibri"/>
                <w:color w:val="0F172A"/>
                <w:sz w:val="15"/>
                <w:szCs w:val="15"/>
              </w:rPr>
              <w:t xml:space="preserve"> + </w:t>
            </w:r>
            <w:r>
              <w:rPr>
                <w:rFonts w:ascii="Calibri" w:cs="Calibri" w:eastAsia="Calibri" w:hAnsi="Calibri"/>
                <w:b/>
                <w:bCs/>
                <w:color w:val="0F172A"/>
                <w:sz w:val="15"/>
                <w:szCs w:val="15"/>
              </w:rPr>
              <w:t xml:space="preserve">SonarQube Community · OWASP ZAP</w:t>
            </w:r>
          </w:p>
          <w:p>
            <w:pPr>
              <w:spacing w:after="30" w:before="40" w:line="236"/>
            </w:pPr>
            <w:r>
              <w:rPr>
                <w:rFonts w:ascii="Calibri" w:cs="Calibri" w:eastAsia="Calibri" w:hAnsi="Calibri"/>
                <w:color w:val="64748B"/>
                <w:sz w:val="13"/>
                <w:szCs w:val="13"/>
              </w:rPr>
              <w:t xml:space="preserve">SonarQube mide la calidad del código y ZAP ataca la aplicación de forma controlada para encontrar fallas de seguridad.</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GDP-SLEP Studio</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Node.js 24 LTS · NestJS 11 · Angular 21</w:t>
            </w:r>
          </w:p>
          <w:p>
            <w:pPr>
              <w:spacing w:after="30" w:before="40" w:line="236"/>
            </w:pPr>
            <w:r>
              <w:rPr>
                <w:rFonts w:ascii="Calibri" w:cs="Calibri" w:eastAsia="Calibri" w:hAnsi="Calibri"/>
                <w:color w:val="64748B"/>
                <w:sz w:val="13"/>
                <w:szCs w:val="13"/>
              </w:rPr>
              <w:t xml:space="preserve">La aplicación web de la DEP donde se ve la cola, se aprueba cada licencia y queda el registro.</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Node.js 24 LTS · NestJS 11 · Angular 21</w:t>
            </w:r>
          </w:p>
          <w:p>
            <w:pPr>
              <w:spacing w:after="30" w:before="40" w:line="236"/>
            </w:pPr>
            <w:r>
              <w:rPr>
                <w:rFonts w:ascii="Calibri" w:cs="Calibri" w:eastAsia="Calibri" w:hAnsi="Calibri"/>
                <w:color w:val="64748B"/>
                <w:sz w:val="13"/>
                <w:szCs w:val="13"/>
              </w:rPr>
              <w:t xml:space="preserve">La aplicación web de la DEP donde se ve la cola, se aprueba cada licencia y queda el registro.</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Node.js 24 LTS · NestJS 11 · Angular 21</w:t>
            </w:r>
            <w:r>
              <w:rPr>
                <w:rFonts w:ascii="Calibri" w:cs="Calibri" w:eastAsia="Calibri" w:hAnsi="Calibri"/>
                <w:color w:val="0F172A"/>
                <w:sz w:val="15"/>
                <w:szCs w:val="15"/>
              </w:rPr>
              <w:t xml:space="preserve"> + inicio de sesión con </w:t>
            </w:r>
            <w:r>
              <w:rPr>
                <w:rFonts w:ascii="Calibri" w:cs="Calibri" w:eastAsia="Calibri" w:hAnsi="Calibri"/>
                <w:b/>
                <w:bCs/>
                <w:color w:val="0F172A"/>
                <w:sz w:val="15"/>
                <w:szCs w:val="15"/>
              </w:rPr>
              <w:t xml:space="preserve">ClaveÚnica (OIDC)</w:t>
            </w:r>
            <w:r>
              <w:rPr>
                <w:rFonts w:ascii="Calibri" w:cs="Calibri" w:eastAsia="Calibri" w:hAnsi="Calibri"/>
                <w:color w:val="0F172A"/>
                <w:sz w:val="15"/>
                <w:szCs w:val="15"/>
              </w:rPr>
              <w:t xml:space="preserve"> cuando TI lo apruebe</w:t>
            </w:r>
          </w:p>
          <w:p>
            <w:pPr>
              <w:spacing w:after="30" w:before="40" w:line="236"/>
            </w:pPr>
            <w:r>
              <w:rPr>
                <w:rFonts w:ascii="Calibri" w:cs="Calibri" w:eastAsia="Calibri" w:hAnsi="Calibri"/>
                <w:color w:val="64748B"/>
                <w:sz w:val="13"/>
                <w:szCs w:val="13"/>
              </w:rPr>
              <w:t xml:space="preserve">La aplicación web de la DEP; los usuarios entrarían con su ClaveÚnica en vez de una clave propia.</w:t>
            </w:r>
          </w:p>
        </w:tc>
      </w:tr>
      <w:tr>
        <w:trPr>
          <w:cantSplit/>
        </w:trPr>
        <w:tc>
          <w:tcPr>
            <w:tcW w:type="dxa" w:w="9640"/>
            <w:gridSpan w:val="4"/>
            <w:tcBorders>
              <w:top w:val="single" w:color="0F172A" w:sz="12"/>
              <w:left w:val="none" w:color="FFFFFF" w:sz="0"/>
              <w:bottom w:val="single" w:color="CBD5E1" w:sz="4"/>
              <w:right w:val="none" w:color="FFFFFF" w:sz="0"/>
            </w:tcBorders>
            <w:shd w:fill="F1F5F9" w:color="auto" w:val="clear"/>
            <w:tcMar>
              <w:top w:type="dxa" w:w="90"/>
              <w:left w:type="dxa" w:w="110"/>
              <w:bottom w:type="dxa" w:w="90"/>
              <w:right w:type="dxa" w:w="100"/>
            </w:tcMar>
            <w:vAlign w:val="top"/>
          </w:tcPr>
          <w:p>
            <w:pPr>
              <w:keepNext/>
              <w:spacing w:after="0"/>
            </w:pPr>
            <w:r>
              <w:rPr>
                <w:rFonts w:ascii="Consolas" w:cs="Consolas" w:eastAsia="Consolas" w:hAnsi="Consolas"/>
                <w:b/>
                <w:bCs/>
                <w:color w:val="0D9488"/>
                <w:sz w:val="16"/>
                <w:szCs w:val="16"/>
              </w:rPr>
              <w:t xml:space="preserve">03   </w:t>
            </w:r>
            <w:r>
              <w:rPr>
                <w:rFonts w:ascii="Consolas" w:cs="Consolas" w:eastAsia="Consolas" w:hAnsi="Consolas"/>
                <w:b/>
                <w:bCs/>
                <w:color w:val="0F172A"/>
                <w:spacing w:val="15"/>
                <w:sz w:val="16"/>
                <w:szCs w:val="16"/>
              </w:rPr>
              <w:t xml:space="preserve">COMPONENTES, VERSIÓN Y LICENCIA</w:t>
            </w:r>
            <w:r>
              <w:rPr>
                <w:rFonts w:ascii="Calibri" w:cs="Calibri" w:eastAsia="Calibri" w:hAnsi="Calibri"/>
                <w:color w:val="64748B"/>
                <w:sz w:val="14"/>
                <w:szCs w:val="14"/>
              </w:rPr>
              <w:t xml:space="preserve">   versiones vigentes a octubre de 2026</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Lenguaje y bibliotecas</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Python 3.12 (</w:t>
            </w:r>
            <w:r>
              <w:rPr>
                <w:rFonts w:ascii="Calibri" w:cs="Calibri" w:eastAsia="Calibri" w:hAnsi="Calibri"/>
                <w:b/>
                <w:bCs/>
                <w:color w:val="0F172A"/>
                <w:sz w:val="15"/>
                <w:szCs w:val="15"/>
              </w:rPr>
              <w:t xml:space="preserve">PSF</w:t>
            </w:r>
            <w:r>
              <w:rPr>
                <w:rFonts w:ascii="Calibri" w:cs="Calibri" w:eastAsia="Calibri" w:hAnsi="Calibri"/>
                <w:color w:val="0F172A"/>
                <w:sz w:val="15"/>
                <w:szCs w:val="15"/>
              </w:rPr>
              <w:t xml:space="preserve">) · FastAPI, pydantic 2, SQLAlchemy 2, APScheduler, zeep 4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 · httpx (</w:t>
            </w:r>
            <w:r>
              <w:rPr>
                <w:rFonts w:ascii="Calibri" w:cs="Calibri" w:eastAsia="Calibri" w:hAnsi="Calibri"/>
                <w:b/>
                <w:bCs/>
                <w:color w:val="0F172A"/>
                <w:sz w:val="15"/>
                <w:szCs w:val="15"/>
              </w:rPr>
              <w:t xml:space="preserve">BSD</w:t>
            </w:r>
            <w:r>
              <w:rPr>
                <w:rFonts w:ascii="Calibri" w:cs="Calibri" w:eastAsia="Calibri" w:hAnsi="Calibri"/>
                <w:color w:val="0F172A"/>
                <w:sz w:val="15"/>
                <w:szCs w:val="15"/>
              </w:rPr>
              <w:t xml:space="preserve">) · tenacity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w:t>
            </w:r>
          </w:p>
          <w:p>
            <w:pPr>
              <w:spacing w:after="30" w:before="40" w:line="236"/>
            </w:pPr>
            <w:r>
              <w:rPr>
                <w:rFonts w:ascii="Calibri" w:cs="Calibri" w:eastAsia="Calibri" w:hAnsi="Calibri"/>
                <w:color w:val="64748B"/>
                <w:sz w:val="13"/>
                <w:szCs w:val="13"/>
              </w:rPr>
              <w:t xml:space="preserve">Licencias permisivas: se pueden usar, modificar e instalar en los 36 SLEP sin pago ni auditoría.</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Python 3.12 (</w:t>
            </w:r>
            <w:r>
              <w:rPr>
                <w:rFonts w:ascii="Calibri" w:cs="Calibri" w:eastAsia="Calibri" w:hAnsi="Calibri"/>
                <w:b/>
                <w:bCs/>
                <w:color w:val="0F172A"/>
                <w:sz w:val="15"/>
                <w:szCs w:val="15"/>
              </w:rPr>
              <w:t xml:space="preserve">PSF</w:t>
            </w:r>
            <w:r>
              <w:rPr>
                <w:rFonts w:ascii="Calibri" w:cs="Calibri" w:eastAsia="Calibri" w:hAnsi="Calibri"/>
                <w:color w:val="0F172A"/>
                <w:sz w:val="15"/>
                <w:szCs w:val="15"/>
              </w:rPr>
              <w:t xml:space="preserve">) · FastAPI, pydantic 2, SQLAlchemy 2, APScheduler, zeep 4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 · httpx (</w:t>
            </w:r>
            <w:r>
              <w:rPr>
                <w:rFonts w:ascii="Calibri" w:cs="Calibri" w:eastAsia="Calibri" w:hAnsi="Calibri"/>
                <w:b/>
                <w:bCs/>
                <w:color w:val="0F172A"/>
                <w:sz w:val="15"/>
                <w:szCs w:val="15"/>
              </w:rPr>
              <w:t xml:space="preserve">BSD</w:t>
            </w:r>
            <w:r>
              <w:rPr>
                <w:rFonts w:ascii="Calibri" w:cs="Calibri" w:eastAsia="Calibri" w:hAnsi="Calibri"/>
                <w:color w:val="0F172A"/>
                <w:sz w:val="15"/>
                <w:szCs w:val="15"/>
              </w:rPr>
              <w:t xml:space="preserve">) · tenacity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w:t>
            </w:r>
          </w:p>
          <w:p>
            <w:pPr>
              <w:spacing w:after="30" w:before="40" w:line="236"/>
            </w:pPr>
            <w:r>
              <w:rPr>
                <w:rFonts w:ascii="Calibri" w:cs="Calibri" w:eastAsia="Calibri" w:hAnsi="Calibri"/>
                <w:color w:val="64748B"/>
                <w:sz w:val="13"/>
                <w:szCs w:val="13"/>
              </w:rPr>
              <w:t xml:space="preserve">Licencias permisivas: se pueden usar, modificar e instalar en los 36 SLEP sin pago ni auditoría.</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Python 3.12 (</w:t>
            </w:r>
            <w:r>
              <w:rPr>
                <w:rFonts w:ascii="Calibri" w:cs="Calibri" w:eastAsia="Calibri" w:hAnsi="Calibri"/>
                <w:b/>
                <w:bCs/>
                <w:color w:val="0F172A"/>
                <w:sz w:val="15"/>
                <w:szCs w:val="15"/>
              </w:rPr>
              <w:t xml:space="preserve">PSF</w:t>
            </w:r>
            <w:r>
              <w:rPr>
                <w:rFonts w:ascii="Calibri" w:cs="Calibri" w:eastAsia="Calibri" w:hAnsi="Calibri"/>
                <w:color w:val="0F172A"/>
                <w:sz w:val="15"/>
                <w:szCs w:val="15"/>
              </w:rPr>
              <w:t xml:space="preserve">) · FastAPI, pydantic 2, SQLAlchemy 2, APScheduler, zeep 4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 · httpx (</w:t>
            </w:r>
            <w:r>
              <w:rPr>
                <w:rFonts w:ascii="Calibri" w:cs="Calibri" w:eastAsia="Calibri" w:hAnsi="Calibri"/>
                <w:b/>
                <w:bCs/>
                <w:color w:val="0F172A"/>
                <w:sz w:val="15"/>
                <w:szCs w:val="15"/>
              </w:rPr>
              <w:t xml:space="preserve">BSD</w:t>
            </w:r>
            <w:r>
              <w:rPr>
                <w:rFonts w:ascii="Calibri" w:cs="Calibri" w:eastAsia="Calibri" w:hAnsi="Calibri"/>
                <w:color w:val="0F172A"/>
                <w:sz w:val="15"/>
                <w:szCs w:val="15"/>
              </w:rPr>
              <w:t xml:space="preserve">) · tenacity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w:t>
            </w:r>
          </w:p>
          <w:p>
            <w:pPr>
              <w:spacing w:after="30" w:before="40" w:line="236"/>
            </w:pPr>
            <w:r>
              <w:rPr>
                <w:rFonts w:ascii="Calibri" w:cs="Calibri" w:eastAsia="Calibri" w:hAnsi="Calibri"/>
                <w:color w:val="64748B"/>
                <w:sz w:val="13"/>
                <w:szCs w:val="13"/>
              </w:rPr>
              <w:t xml:space="preserve">Licencias permisivas: se pueden usar, modificar e instalar en los 36 SLEP sin pago ni auditoría.</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IA local</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LAYA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 · Ollama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 · LiteLLM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 · Qwen3 4B–8B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w:t>
            </w:r>
          </w:p>
          <w:p>
            <w:pPr>
              <w:spacing w:after="30" w:before="40" w:line="236"/>
            </w:pPr>
            <w:r>
              <w:rPr>
                <w:rFonts w:ascii="Calibri" w:cs="Calibri" w:eastAsia="Calibri" w:hAnsi="Calibri"/>
                <w:color w:val="64748B"/>
                <w:sz w:val="13"/>
                <w:szCs w:val="13"/>
              </w:rPr>
              <w:t xml:space="preserve">Modelo y motores abiertos: corren en equipos de la DEP sin pagar por consulta ni enviar datos fuera.</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LAYA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 · Ollama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 · LiteLLM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 · Qwen3 8B–14B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w:t>
            </w:r>
          </w:p>
          <w:p>
            <w:pPr>
              <w:spacing w:after="30" w:before="40" w:line="236"/>
            </w:pPr>
            <w:r>
              <w:rPr>
                <w:rFonts w:ascii="Calibri" w:cs="Calibri" w:eastAsia="Calibri" w:hAnsi="Calibri"/>
                <w:color w:val="64748B"/>
                <w:sz w:val="13"/>
                <w:szCs w:val="13"/>
              </w:rPr>
              <w:t xml:space="preserve">Modelo y motores abiertos: corren en equipos de la DEP sin pagar por consulta ni enviar datos fuera.</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LAYA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 · vLLM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 · Ollama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 · LiteLLM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 · Qwen3 14B–32B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w:t>
            </w:r>
          </w:p>
          <w:p>
            <w:pPr>
              <w:spacing w:after="30" w:before="40" w:line="236"/>
            </w:pPr>
            <w:r>
              <w:rPr>
                <w:rFonts w:ascii="Calibri" w:cs="Calibri" w:eastAsia="Calibri" w:hAnsi="Calibri"/>
                <w:color w:val="64748B"/>
                <w:sz w:val="13"/>
                <w:szCs w:val="13"/>
              </w:rPr>
              <w:t xml:space="preserve">Modelo y motores abiertos: corren en equipos de la DEP sin pagar por consulta ni enviar datos fuera.</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Cola, caché y secretos</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Tabla de tareas en MySQL · sops (</w:t>
            </w:r>
            <w:r>
              <w:rPr>
                <w:rFonts w:ascii="Calibri" w:cs="Calibri" w:eastAsia="Calibri" w:hAnsi="Calibri"/>
                <w:b/>
                <w:bCs/>
                <w:color w:val="0F172A"/>
                <w:sz w:val="15"/>
                <w:szCs w:val="15"/>
              </w:rPr>
              <w:t xml:space="preserve">MPL-2.0</w:t>
            </w:r>
            <w:r>
              <w:rPr>
                <w:rFonts w:ascii="Calibri" w:cs="Calibri" w:eastAsia="Calibri" w:hAnsi="Calibri"/>
                <w:color w:val="0F172A"/>
                <w:sz w:val="15"/>
                <w:szCs w:val="15"/>
              </w:rPr>
              <w:t xml:space="preserve">) · age (</w:t>
            </w:r>
            <w:r>
              <w:rPr>
                <w:rFonts w:ascii="Calibri" w:cs="Calibri" w:eastAsia="Calibri" w:hAnsi="Calibri"/>
                <w:b/>
                <w:bCs/>
                <w:color w:val="0F172A"/>
                <w:sz w:val="15"/>
                <w:szCs w:val="15"/>
              </w:rPr>
              <w:t xml:space="preserve">BSD</w:t>
            </w:r>
            <w:r>
              <w:rPr>
                <w:rFonts w:ascii="Calibri" w:cs="Calibri" w:eastAsia="Calibri" w:hAnsi="Calibri"/>
                <w:color w:val="0F172A"/>
                <w:sz w:val="15"/>
                <w:szCs w:val="15"/>
              </w:rPr>
              <w:t xml:space="preserve">)</w:t>
            </w:r>
          </w:p>
          <w:p>
            <w:pPr>
              <w:spacing w:after="30" w:before="40" w:line="236"/>
            </w:pPr>
            <w:r>
              <w:rPr>
                <w:rFonts w:ascii="Calibri" w:cs="Calibri" w:eastAsia="Calibri" w:hAnsi="Calibri"/>
                <w:color w:val="64748B"/>
                <w:sz w:val="13"/>
                <w:szCs w:val="13"/>
              </w:rPr>
              <w:t xml:space="preserve">Sin componentes adicionales: se reutiliza MySQL y los secretos se cifran con herramientas libres.</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Valkey </w:t>
            </w:r>
            <w:r>
              <w:rPr>
                <w:rFonts w:ascii="Calibri" w:cs="Calibri" w:eastAsia="Calibri" w:hAnsi="Calibri"/>
                <w:b/>
                <w:bCs/>
                <w:color w:val="0F172A"/>
                <w:sz w:val="15"/>
                <w:szCs w:val="15"/>
              </w:rPr>
              <w:t xml:space="preserve">8</w:t>
            </w:r>
            <w:r>
              <w:rPr>
                <w:rFonts w:ascii="Calibri" w:cs="Calibri" w:eastAsia="Calibri" w:hAnsi="Calibri"/>
                <w:color w:val="0F172A"/>
                <w:sz w:val="15"/>
                <w:szCs w:val="15"/>
              </w:rPr>
              <w:t xml:space="preserve"> (</w:t>
            </w:r>
            <w:r>
              <w:rPr>
                <w:rFonts w:ascii="Calibri" w:cs="Calibri" w:eastAsia="Calibri" w:hAnsi="Calibri"/>
                <w:b/>
                <w:bCs/>
                <w:color w:val="0F172A"/>
                <w:sz w:val="15"/>
                <w:szCs w:val="15"/>
              </w:rPr>
              <w:t xml:space="preserve">BSD</w:t>
            </w:r>
            <w:r>
              <w:rPr>
                <w:rFonts w:ascii="Calibri" w:cs="Calibri" w:eastAsia="Calibri" w:hAnsi="Calibri"/>
                <w:color w:val="0F172A"/>
                <w:sz w:val="15"/>
                <w:szCs w:val="15"/>
              </w:rPr>
              <w:t xml:space="preserve">) · OpenBao </w:t>
            </w:r>
            <w:r>
              <w:rPr>
                <w:rFonts w:ascii="Calibri" w:cs="Calibri" w:eastAsia="Calibri" w:hAnsi="Calibri"/>
                <w:b/>
                <w:bCs/>
                <w:color w:val="0F172A"/>
                <w:sz w:val="15"/>
                <w:szCs w:val="15"/>
              </w:rPr>
              <w:t xml:space="preserve">2</w:t>
            </w:r>
            <w:r>
              <w:rPr>
                <w:rFonts w:ascii="Calibri" w:cs="Calibri" w:eastAsia="Calibri" w:hAnsi="Calibri"/>
                <w:color w:val="0F172A"/>
                <w:sz w:val="15"/>
                <w:szCs w:val="15"/>
              </w:rPr>
              <w:t xml:space="preserve"> (</w:t>
            </w:r>
            <w:r>
              <w:rPr>
                <w:rFonts w:ascii="Calibri" w:cs="Calibri" w:eastAsia="Calibri" w:hAnsi="Calibri"/>
                <w:b/>
                <w:bCs/>
                <w:color w:val="0F172A"/>
                <w:sz w:val="15"/>
                <w:szCs w:val="15"/>
              </w:rPr>
              <w:t xml:space="preserve">MPL-2.0</w:t>
            </w:r>
            <w:r>
              <w:rPr>
                <w:rFonts w:ascii="Calibri" w:cs="Calibri" w:eastAsia="Calibri" w:hAnsi="Calibri"/>
                <w:color w:val="0F172A"/>
                <w:sz w:val="15"/>
                <w:szCs w:val="15"/>
              </w:rPr>
              <w:t xml:space="preserve">)</w:t>
            </w:r>
          </w:p>
          <w:p>
            <w:pPr>
              <w:spacing w:after="30" w:before="40" w:line="236"/>
            </w:pPr>
            <w:r>
              <w:rPr>
                <w:rFonts w:ascii="Calibri" w:cs="Calibri" w:eastAsia="Calibri" w:hAnsi="Calibri"/>
                <w:color w:val="64748B"/>
                <w:sz w:val="13"/>
                <w:szCs w:val="13"/>
              </w:rPr>
              <w:t xml:space="preserve">Valkey es la versión libre de Redis y OpenBao la versión libre de Vault, ambas sin cambios de licencia futuros.</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Valkey </w:t>
            </w:r>
            <w:r>
              <w:rPr>
                <w:rFonts w:ascii="Calibri" w:cs="Calibri" w:eastAsia="Calibri" w:hAnsi="Calibri"/>
                <w:b/>
                <w:bCs/>
                <w:color w:val="0F172A"/>
                <w:sz w:val="15"/>
                <w:szCs w:val="15"/>
              </w:rPr>
              <w:t xml:space="preserve">8</w:t>
            </w:r>
            <w:r>
              <w:rPr>
                <w:rFonts w:ascii="Calibri" w:cs="Calibri" w:eastAsia="Calibri" w:hAnsi="Calibri"/>
                <w:color w:val="0F172A"/>
                <w:sz w:val="15"/>
                <w:szCs w:val="15"/>
              </w:rPr>
              <w:t xml:space="preserve"> (</w:t>
            </w:r>
            <w:r>
              <w:rPr>
                <w:rFonts w:ascii="Calibri" w:cs="Calibri" w:eastAsia="Calibri" w:hAnsi="Calibri"/>
                <w:b/>
                <w:bCs/>
                <w:color w:val="0F172A"/>
                <w:sz w:val="15"/>
                <w:szCs w:val="15"/>
              </w:rPr>
              <w:t xml:space="preserve">BSD</w:t>
            </w:r>
            <w:r>
              <w:rPr>
                <w:rFonts w:ascii="Calibri" w:cs="Calibri" w:eastAsia="Calibri" w:hAnsi="Calibri"/>
                <w:color w:val="0F172A"/>
                <w:sz w:val="15"/>
                <w:szCs w:val="15"/>
              </w:rPr>
              <w:t xml:space="preserve">) · OpenBao </w:t>
            </w:r>
            <w:r>
              <w:rPr>
                <w:rFonts w:ascii="Calibri" w:cs="Calibri" w:eastAsia="Calibri" w:hAnsi="Calibri"/>
                <w:b/>
                <w:bCs/>
                <w:color w:val="0F172A"/>
                <w:sz w:val="15"/>
                <w:szCs w:val="15"/>
              </w:rPr>
              <w:t xml:space="preserve">2</w:t>
            </w:r>
            <w:r>
              <w:rPr>
                <w:rFonts w:ascii="Calibri" w:cs="Calibri" w:eastAsia="Calibri" w:hAnsi="Calibri"/>
                <w:color w:val="0F172A"/>
                <w:sz w:val="15"/>
                <w:szCs w:val="15"/>
              </w:rPr>
              <w:t xml:space="preserve"> (</w:t>
            </w:r>
            <w:r>
              <w:rPr>
                <w:rFonts w:ascii="Calibri" w:cs="Calibri" w:eastAsia="Calibri" w:hAnsi="Calibri"/>
                <w:b/>
                <w:bCs/>
                <w:color w:val="0F172A"/>
                <w:sz w:val="15"/>
                <w:szCs w:val="15"/>
              </w:rPr>
              <w:t xml:space="preserve">MPL-2.0</w:t>
            </w:r>
            <w:r>
              <w:rPr>
                <w:rFonts w:ascii="Calibri" w:cs="Calibri" w:eastAsia="Calibri" w:hAnsi="Calibri"/>
                <w:color w:val="0F172A"/>
                <w:sz w:val="15"/>
                <w:szCs w:val="15"/>
              </w:rPr>
              <w:t xml:space="preserve">) · keepalived (</w:t>
            </w:r>
            <w:r>
              <w:rPr>
                <w:rFonts w:ascii="Calibri" w:cs="Calibri" w:eastAsia="Calibri" w:hAnsi="Calibri"/>
                <w:b/>
                <w:bCs/>
                <w:color w:val="0F172A"/>
                <w:sz w:val="15"/>
                <w:szCs w:val="15"/>
              </w:rPr>
              <w:t xml:space="preserve">GPLv2</w:t>
            </w:r>
            <w:r>
              <w:rPr>
                <w:rFonts w:ascii="Calibri" w:cs="Calibri" w:eastAsia="Calibri" w:hAnsi="Calibri"/>
                <w:color w:val="0F172A"/>
                <w:sz w:val="15"/>
                <w:szCs w:val="15"/>
              </w:rPr>
              <w:t xml:space="preserve">)</w:t>
            </w:r>
          </w:p>
          <w:p>
            <w:pPr>
              <w:spacing w:after="30" w:before="40" w:line="236"/>
            </w:pPr>
            <w:r>
              <w:rPr>
                <w:rFonts w:ascii="Calibri" w:cs="Calibri" w:eastAsia="Calibri" w:hAnsi="Calibri"/>
                <w:color w:val="64748B"/>
                <w:sz w:val="13"/>
                <w:szCs w:val="13"/>
              </w:rPr>
              <w:t xml:space="preserve">Valkey es la versión libre de Redis y OpenBao la versión libre de Vault; keepalived es software base de Linux.</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Bases de datos</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MySQL Community </w:t>
            </w:r>
            <w:r>
              <w:rPr>
                <w:rFonts w:ascii="Calibri" w:cs="Calibri" w:eastAsia="Calibri" w:hAnsi="Calibri"/>
                <w:b/>
                <w:bCs/>
                <w:color w:val="0F172A"/>
                <w:sz w:val="15"/>
                <w:szCs w:val="15"/>
              </w:rPr>
              <w:t xml:space="preserve">8.4 LTS</w:t>
            </w:r>
            <w:r>
              <w:rPr>
                <w:rFonts w:ascii="Calibri" w:cs="Calibri" w:eastAsia="Calibri" w:hAnsi="Calibri"/>
                <w:color w:val="0F172A"/>
                <w:sz w:val="15"/>
                <w:szCs w:val="15"/>
              </w:rPr>
              <w:t xml:space="preserve"> (</w:t>
            </w:r>
            <w:r>
              <w:rPr>
                <w:rFonts w:ascii="Calibri" w:cs="Calibri" w:eastAsia="Calibri" w:hAnsi="Calibri"/>
                <w:b/>
                <w:bCs/>
                <w:color w:val="0F172A"/>
                <w:sz w:val="15"/>
                <w:szCs w:val="15"/>
              </w:rPr>
              <w:t xml:space="preserve">GPLv2</w:t>
            </w:r>
            <w:r>
              <w:rPr>
                <w:rFonts w:ascii="Calibri" w:cs="Calibri" w:eastAsia="Calibri" w:hAnsi="Calibri"/>
                <w:color w:val="0F172A"/>
                <w:sz w:val="15"/>
                <w:szCs w:val="15"/>
              </w:rPr>
              <w:t xml:space="preserve">) · SQLite </w:t>
            </w:r>
            <w:r>
              <w:rPr>
                <w:rFonts w:ascii="Calibri" w:cs="Calibri" w:eastAsia="Calibri" w:hAnsi="Calibri"/>
                <w:b/>
                <w:bCs/>
                <w:color w:val="0F172A"/>
                <w:sz w:val="15"/>
                <w:szCs w:val="15"/>
              </w:rPr>
              <w:t xml:space="preserve">3</w:t>
            </w:r>
            <w:r>
              <w:rPr>
                <w:rFonts w:ascii="Calibri" w:cs="Calibri" w:eastAsia="Calibri" w:hAnsi="Calibri"/>
                <w:color w:val="0F172A"/>
                <w:sz w:val="15"/>
                <w:szCs w:val="15"/>
              </w:rPr>
              <w:t xml:space="preserve"> (</w:t>
            </w:r>
            <w:r>
              <w:rPr>
                <w:rFonts w:ascii="Calibri" w:cs="Calibri" w:eastAsia="Calibri" w:hAnsi="Calibri"/>
                <w:b/>
                <w:bCs/>
                <w:color w:val="0F172A"/>
                <w:sz w:val="15"/>
                <w:szCs w:val="15"/>
              </w:rPr>
              <w:t xml:space="preserve">dominio público</w:t>
            </w:r>
            <w:r>
              <w:rPr>
                <w:rFonts w:ascii="Calibri" w:cs="Calibri" w:eastAsia="Calibri" w:hAnsi="Calibri"/>
                <w:color w:val="0F172A"/>
                <w:sz w:val="15"/>
                <w:szCs w:val="15"/>
              </w:rPr>
              <w:t xml:space="preserve">)</w:t>
            </w:r>
          </w:p>
          <w:p>
            <w:pPr>
              <w:spacing w:after="30" w:before="40" w:line="236"/>
            </w:pPr>
            <w:r>
              <w:rPr>
                <w:rFonts w:ascii="Calibri" w:cs="Calibri" w:eastAsia="Calibri" w:hAnsi="Calibri"/>
                <w:color w:val="64748B"/>
                <w:sz w:val="13"/>
                <w:szCs w:val="13"/>
              </w:rPr>
              <w:t xml:space="preserve">La edición Community es gratuita; la GPLv2 no impone obligaciones mientras la DEP no distribuya MySQL modificado.</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MySQL Community </w:t>
            </w:r>
            <w:r>
              <w:rPr>
                <w:rFonts w:ascii="Calibri" w:cs="Calibri" w:eastAsia="Calibri" w:hAnsi="Calibri"/>
                <w:b/>
                <w:bCs/>
                <w:color w:val="0F172A"/>
                <w:sz w:val="15"/>
                <w:szCs w:val="15"/>
              </w:rPr>
              <w:t xml:space="preserve">8.4 LTS</w:t>
            </w:r>
            <w:r>
              <w:rPr>
                <w:rFonts w:ascii="Calibri" w:cs="Calibri" w:eastAsia="Calibri" w:hAnsi="Calibri"/>
                <w:color w:val="0F172A"/>
                <w:sz w:val="15"/>
                <w:szCs w:val="15"/>
              </w:rPr>
              <w:t xml:space="preserve"> (</w:t>
            </w:r>
            <w:r>
              <w:rPr>
                <w:rFonts w:ascii="Calibri" w:cs="Calibri" w:eastAsia="Calibri" w:hAnsi="Calibri"/>
                <w:b/>
                <w:bCs/>
                <w:color w:val="0F172A"/>
                <w:sz w:val="15"/>
                <w:szCs w:val="15"/>
              </w:rPr>
              <w:t xml:space="preserve">GPLv2</w:t>
            </w:r>
            <w:r>
              <w:rPr>
                <w:rFonts w:ascii="Calibri" w:cs="Calibri" w:eastAsia="Calibri" w:hAnsi="Calibri"/>
                <w:color w:val="0F172A"/>
                <w:sz w:val="15"/>
                <w:szCs w:val="15"/>
              </w:rPr>
              <w:t xml:space="preserve">) · SQLite </w:t>
            </w:r>
            <w:r>
              <w:rPr>
                <w:rFonts w:ascii="Calibri" w:cs="Calibri" w:eastAsia="Calibri" w:hAnsi="Calibri"/>
                <w:b/>
                <w:bCs/>
                <w:color w:val="0F172A"/>
                <w:sz w:val="15"/>
                <w:szCs w:val="15"/>
              </w:rPr>
              <w:t xml:space="preserve">3</w:t>
            </w:r>
            <w:r>
              <w:rPr>
                <w:rFonts w:ascii="Calibri" w:cs="Calibri" w:eastAsia="Calibri" w:hAnsi="Calibri"/>
                <w:color w:val="0F172A"/>
                <w:sz w:val="15"/>
                <w:szCs w:val="15"/>
              </w:rPr>
              <w:t xml:space="preserve"> (</w:t>
            </w:r>
            <w:r>
              <w:rPr>
                <w:rFonts w:ascii="Calibri" w:cs="Calibri" w:eastAsia="Calibri" w:hAnsi="Calibri"/>
                <w:b/>
                <w:bCs/>
                <w:color w:val="0F172A"/>
                <w:sz w:val="15"/>
                <w:szCs w:val="15"/>
              </w:rPr>
              <w:t xml:space="preserve">dominio público</w:t>
            </w:r>
            <w:r>
              <w:rPr>
                <w:rFonts w:ascii="Calibri" w:cs="Calibri" w:eastAsia="Calibri" w:hAnsi="Calibri"/>
                <w:color w:val="0F172A"/>
                <w:sz w:val="15"/>
                <w:szCs w:val="15"/>
              </w:rPr>
              <w:t xml:space="preserve">)</w:t>
            </w:r>
          </w:p>
          <w:p>
            <w:pPr>
              <w:spacing w:after="30" w:before="40" w:line="236"/>
            </w:pPr>
            <w:r>
              <w:rPr>
                <w:rFonts w:ascii="Calibri" w:cs="Calibri" w:eastAsia="Calibri" w:hAnsi="Calibri"/>
                <w:color w:val="64748B"/>
                <w:sz w:val="13"/>
                <w:szCs w:val="13"/>
              </w:rPr>
              <w:t xml:space="preserve">La edición Community es gratuita; la GPLv2 no impone obligaciones mientras la DEP no distribuya MySQL modificado.</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MySQL Community </w:t>
            </w:r>
            <w:r>
              <w:rPr>
                <w:rFonts w:ascii="Calibri" w:cs="Calibri" w:eastAsia="Calibri" w:hAnsi="Calibri"/>
                <w:b/>
                <w:bCs/>
                <w:color w:val="0F172A"/>
                <w:sz w:val="15"/>
                <w:szCs w:val="15"/>
              </w:rPr>
              <w:t xml:space="preserve">8.4 LTS</w:t>
            </w:r>
            <w:r>
              <w:rPr>
                <w:rFonts w:ascii="Calibri" w:cs="Calibri" w:eastAsia="Calibri" w:hAnsi="Calibri"/>
                <w:color w:val="0F172A"/>
                <w:sz w:val="15"/>
                <w:szCs w:val="15"/>
              </w:rPr>
              <w:t xml:space="preserve"> (</w:t>
            </w:r>
            <w:r>
              <w:rPr>
                <w:rFonts w:ascii="Calibri" w:cs="Calibri" w:eastAsia="Calibri" w:hAnsi="Calibri"/>
                <w:b/>
                <w:bCs/>
                <w:color w:val="0F172A"/>
                <w:sz w:val="15"/>
                <w:szCs w:val="15"/>
              </w:rPr>
              <w:t xml:space="preserve">GPLv2</w:t>
            </w:r>
            <w:r>
              <w:rPr>
                <w:rFonts w:ascii="Calibri" w:cs="Calibri" w:eastAsia="Calibri" w:hAnsi="Calibri"/>
                <w:color w:val="0F172A"/>
                <w:sz w:val="15"/>
                <w:szCs w:val="15"/>
              </w:rPr>
              <w:t xml:space="preserve">) · SQLite </w:t>
            </w:r>
            <w:r>
              <w:rPr>
                <w:rFonts w:ascii="Calibri" w:cs="Calibri" w:eastAsia="Calibri" w:hAnsi="Calibri"/>
                <w:b/>
                <w:bCs/>
                <w:color w:val="0F172A"/>
                <w:sz w:val="15"/>
                <w:szCs w:val="15"/>
              </w:rPr>
              <w:t xml:space="preserve">3</w:t>
            </w:r>
            <w:r>
              <w:rPr>
                <w:rFonts w:ascii="Calibri" w:cs="Calibri" w:eastAsia="Calibri" w:hAnsi="Calibri"/>
                <w:color w:val="0F172A"/>
                <w:sz w:val="15"/>
                <w:szCs w:val="15"/>
              </w:rPr>
              <w:t xml:space="preserve"> (</w:t>
            </w:r>
            <w:r>
              <w:rPr>
                <w:rFonts w:ascii="Calibri" w:cs="Calibri" w:eastAsia="Calibri" w:hAnsi="Calibri"/>
                <w:b/>
                <w:bCs/>
                <w:color w:val="0F172A"/>
                <w:sz w:val="15"/>
                <w:szCs w:val="15"/>
              </w:rPr>
              <w:t xml:space="preserve">dominio público</w:t>
            </w:r>
            <w:r>
              <w:rPr>
                <w:rFonts w:ascii="Calibri" w:cs="Calibri" w:eastAsia="Calibri" w:hAnsi="Calibri"/>
                <w:color w:val="0F172A"/>
                <w:sz w:val="15"/>
                <w:szCs w:val="15"/>
              </w:rPr>
              <w:t xml:space="preserve">)</w:t>
            </w:r>
          </w:p>
          <w:p>
            <w:pPr>
              <w:spacing w:after="30" w:before="40" w:line="236"/>
            </w:pPr>
            <w:r>
              <w:rPr>
                <w:rFonts w:ascii="Calibri" w:cs="Calibri" w:eastAsia="Calibri" w:hAnsi="Calibri"/>
                <w:color w:val="64748B"/>
                <w:sz w:val="13"/>
                <w:szCs w:val="13"/>
              </w:rPr>
              <w:t xml:space="preserve">La edición Community es gratuita; la GPLv2 no impone obligaciones mientras la DEP no distribuya MySQL modificado.</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Observabilidad</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Uptime Kuma </w:t>
            </w:r>
            <w:r>
              <w:rPr>
                <w:rFonts w:ascii="Calibri" w:cs="Calibri" w:eastAsia="Calibri" w:hAnsi="Calibri"/>
                <w:b/>
                <w:bCs/>
                <w:color w:val="0F172A"/>
                <w:sz w:val="15"/>
                <w:szCs w:val="15"/>
              </w:rPr>
              <w:t xml:space="preserve">2</w:t>
            </w:r>
            <w:r>
              <w:rPr>
                <w:rFonts w:ascii="Calibri" w:cs="Calibri" w:eastAsia="Calibri" w:hAnsi="Calibri"/>
                <w:color w:val="0F172A"/>
                <w:sz w:val="15"/>
                <w:szCs w:val="15"/>
              </w:rPr>
              <w:t xml:space="preserve">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w:t>
            </w:r>
          </w:p>
          <w:p>
            <w:pPr>
              <w:spacing w:after="30" w:before="40" w:line="236"/>
            </w:pPr>
            <w:r>
              <w:rPr>
                <w:rFonts w:ascii="Calibri" w:cs="Calibri" w:eastAsia="Calibri" w:hAnsi="Calibri"/>
                <w:color w:val="64748B"/>
                <w:sz w:val="13"/>
                <w:szCs w:val="13"/>
              </w:rPr>
              <w:t xml:space="preserve">Licencia libre; un solo programa liviano.</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Uptime Kuma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 · Prometheus </w:t>
            </w:r>
            <w:r>
              <w:rPr>
                <w:rFonts w:ascii="Calibri" w:cs="Calibri" w:eastAsia="Calibri" w:hAnsi="Calibri"/>
                <w:b/>
                <w:bCs/>
                <w:color w:val="0F172A"/>
                <w:sz w:val="15"/>
                <w:szCs w:val="15"/>
              </w:rPr>
              <w:t xml:space="preserve">3</w:t>
            </w:r>
            <w:r>
              <w:rPr>
                <w:rFonts w:ascii="Calibri" w:cs="Calibri" w:eastAsia="Calibri" w:hAnsi="Calibri"/>
                <w:color w:val="0F172A"/>
                <w:sz w:val="15"/>
                <w:szCs w:val="15"/>
              </w:rPr>
              <w:t xml:space="preserve">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 · Grafana (</w:t>
            </w:r>
            <w:r>
              <w:rPr>
                <w:rFonts w:ascii="Calibri" w:cs="Calibri" w:eastAsia="Calibri" w:hAnsi="Calibri"/>
                <w:b/>
                <w:bCs/>
                <w:color w:val="0F172A"/>
                <w:sz w:val="15"/>
                <w:szCs w:val="15"/>
              </w:rPr>
              <w:t xml:space="preserve">AGPL-3.0</w:t>
            </w:r>
            <w:r>
              <w:rPr>
                <w:rFonts w:ascii="Calibri" w:cs="Calibri" w:eastAsia="Calibri" w:hAnsi="Calibri"/>
                <w:color w:val="0F172A"/>
                <w:sz w:val="15"/>
                <w:szCs w:val="15"/>
              </w:rPr>
              <w:t xml:space="preserve">)</w:t>
            </w:r>
          </w:p>
          <w:p>
            <w:pPr>
              <w:spacing w:after="30" w:before="40" w:line="236"/>
            </w:pPr>
            <w:r>
              <w:rPr>
                <w:rFonts w:ascii="Calibri" w:cs="Calibri" w:eastAsia="Calibri" w:hAnsi="Calibri"/>
                <w:color w:val="64748B"/>
                <w:sz w:val="13"/>
                <w:szCs w:val="13"/>
              </w:rPr>
              <w:t xml:space="preserve">La AGPL solo obliga a publicar cambios si se modifica el programa y se ofrece a terceros; el uso interno es libre.</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Uptime Kuma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 · Prometheus </w:t>
            </w:r>
            <w:r>
              <w:rPr>
                <w:rFonts w:ascii="Calibri" w:cs="Calibri" w:eastAsia="Calibri" w:hAnsi="Calibri"/>
                <w:b/>
                <w:bCs/>
                <w:color w:val="0F172A"/>
                <w:sz w:val="15"/>
                <w:szCs w:val="15"/>
              </w:rPr>
              <w:t xml:space="preserve">3</w:t>
            </w:r>
            <w:r>
              <w:rPr>
                <w:rFonts w:ascii="Calibri" w:cs="Calibri" w:eastAsia="Calibri" w:hAnsi="Calibri"/>
                <w:color w:val="0F172A"/>
                <w:sz w:val="15"/>
                <w:szCs w:val="15"/>
              </w:rPr>
              <w:t xml:space="preserve">, Alertmanager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 · Grafana, Loki (</w:t>
            </w:r>
            <w:r>
              <w:rPr>
                <w:rFonts w:ascii="Calibri" w:cs="Calibri" w:eastAsia="Calibri" w:hAnsi="Calibri"/>
                <w:b/>
                <w:bCs/>
                <w:color w:val="0F172A"/>
                <w:sz w:val="15"/>
                <w:szCs w:val="15"/>
              </w:rPr>
              <w:t xml:space="preserve">AGPL-3.0</w:t>
            </w:r>
            <w:r>
              <w:rPr>
                <w:rFonts w:ascii="Calibri" w:cs="Calibri" w:eastAsia="Calibri" w:hAnsi="Calibri"/>
                <w:color w:val="0F172A"/>
                <w:sz w:val="15"/>
                <w:szCs w:val="15"/>
              </w:rPr>
              <w:t xml:space="preserve">) · Wazuh </w:t>
            </w:r>
            <w:r>
              <w:rPr>
                <w:rFonts w:ascii="Calibri" w:cs="Calibri" w:eastAsia="Calibri" w:hAnsi="Calibri"/>
                <w:b/>
                <w:bCs/>
                <w:color w:val="0F172A"/>
                <w:sz w:val="15"/>
                <w:szCs w:val="15"/>
              </w:rPr>
              <w:t xml:space="preserve">4</w:t>
            </w:r>
            <w:r>
              <w:rPr>
                <w:rFonts w:ascii="Calibri" w:cs="Calibri" w:eastAsia="Calibri" w:hAnsi="Calibri"/>
                <w:color w:val="0F172A"/>
                <w:sz w:val="15"/>
                <w:szCs w:val="15"/>
              </w:rPr>
              <w:t xml:space="preserve"> (</w:t>
            </w:r>
            <w:r>
              <w:rPr>
                <w:rFonts w:ascii="Calibri" w:cs="Calibri" w:eastAsia="Calibri" w:hAnsi="Calibri"/>
                <w:b/>
                <w:bCs/>
                <w:color w:val="0F172A"/>
                <w:sz w:val="15"/>
                <w:szCs w:val="15"/>
              </w:rPr>
              <w:t xml:space="preserve">GPLv2</w:t>
            </w:r>
            <w:r>
              <w:rPr>
                <w:rFonts w:ascii="Calibri" w:cs="Calibri" w:eastAsia="Calibri" w:hAnsi="Calibri"/>
                <w:color w:val="0F172A"/>
                <w:sz w:val="15"/>
                <w:szCs w:val="15"/>
              </w:rPr>
              <w:t xml:space="preserve">)</w:t>
            </w:r>
          </w:p>
          <w:p>
            <w:pPr>
              <w:spacing w:after="30" w:before="40" w:line="236"/>
            </w:pPr>
            <w:r>
              <w:rPr>
                <w:rFonts w:ascii="Calibri" w:cs="Calibri" w:eastAsia="Calibri" w:hAnsi="Calibri"/>
                <w:color w:val="64748B"/>
                <w:sz w:val="13"/>
                <w:szCs w:val="13"/>
              </w:rPr>
              <w:t xml:space="preserve">La AGPL y la GPL solo imponen condiciones si se distribuye el programa modificado; el uso interno es libre.</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Plataforma base y calidad</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Ubuntu Server 24.04 LTS · Docker Engine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 · Nginx (</w:t>
            </w:r>
            <w:r>
              <w:rPr>
                <w:rFonts w:ascii="Calibri" w:cs="Calibri" w:eastAsia="Calibri" w:hAnsi="Calibri"/>
                <w:b/>
                <w:bCs/>
                <w:color w:val="0F172A"/>
                <w:sz w:val="15"/>
                <w:szCs w:val="15"/>
              </w:rPr>
              <w:t xml:space="preserve">BSD</w:t>
            </w:r>
            <w:r>
              <w:rPr>
                <w:rFonts w:ascii="Calibri" w:cs="Calibri" w:eastAsia="Calibri" w:hAnsi="Calibri"/>
                <w:color w:val="0F172A"/>
                <w:sz w:val="15"/>
                <w:szCs w:val="15"/>
              </w:rPr>
              <w:t xml:space="preserve">) · GitLab CE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 · restic (</w:t>
            </w:r>
            <w:r>
              <w:rPr>
                <w:rFonts w:ascii="Calibri" w:cs="Calibri" w:eastAsia="Calibri" w:hAnsi="Calibri"/>
                <w:b/>
                <w:bCs/>
                <w:color w:val="0F172A"/>
                <w:sz w:val="15"/>
                <w:szCs w:val="15"/>
              </w:rPr>
              <w:t xml:space="preserve">BSD</w:t>
            </w:r>
            <w:r>
              <w:rPr>
                <w:rFonts w:ascii="Calibri" w:cs="Calibri" w:eastAsia="Calibri" w:hAnsi="Calibri"/>
                <w:color w:val="0F172A"/>
                <w:sz w:val="15"/>
                <w:szCs w:val="15"/>
              </w:rPr>
              <w:t xml:space="preserve">) · pytest, ruff, mypy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 · Trivy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w:t>
            </w:r>
          </w:p>
          <w:p>
            <w:pPr>
              <w:spacing w:after="30" w:before="40" w:line="236"/>
            </w:pPr>
            <w:r>
              <w:rPr>
                <w:rFonts w:ascii="Calibri" w:cs="Calibri" w:eastAsia="Calibri" w:hAnsi="Calibri"/>
                <w:color w:val="64748B"/>
                <w:sz w:val="13"/>
                <w:szCs w:val="13"/>
              </w:rPr>
              <w:t xml:space="preserve">Software base libre; GitLab CE es la edición gratuita, sin las funciones de pago de Enterprise.</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Ubuntu Server 24.04 LTS · Docker Engine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 · Nginx (</w:t>
            </w:r>
            <w:r>
              <w:rPr>
                <w:rFonts w:ascii="Calibri" w:cs="Calibri" w:eastAsia="Calibri" w:hAnsi="Calibri"/>
                <w:b/>
                <w:bCs/>
                <w:color w:val="0F172A"/>
                <w:sz w:val="15"/>
                <w:szCs w:val="15"/>
              </w:rPr>
              <w:t xml:space="preserve">BSD</w:t>
            </w:r>
            <w:r>
              <w:rPr>
                <w:rFonts w:ascii="Calibri" w:cs="Calibri" w:eastAsia="Calibri" w:hAnsi="Calibri"/>
                <w:color w:val="0F172A"/>
                <w:sz w:val="15"/>
                <w:szCs w:val="15"/>
              </w:rPr>
              <w:t xml:space="preserve">) · GitLab CE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 · restic (</w:t>
            </w:r>
            <w:r>
              <w:rPr>
                <w:rFonts w:ascii="Calibri" w:cs="Calibri" w:eastAsia="Calibri" w:hAnsi="Calibri"/>
                <w:b/>
                <w:bCs/>
                <w:color w:val="0F172A"/>
                <w:sz w:val="15"/>
                <w:szCs w:val="15"/>
              </w:rPr>
              <w:t xml:space="preserve">BSD</w:t>
            </w:r>
            <w:r>
              <w:rPr>
                <w:rFonts w:ascii="Calibri" w:cs="Calibri" w:eastAsia="Calibri" w:hAnsi="Calibri"/>
                <w:color w:val="0F172A"/>
                <w:sz w:val="15"/>
                <w:szCs w:val="15"/>
              </w:rPr>
              <w:t xml:space="preserve">) · pytest, ruff, mypy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 · Trivy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w:t>
            </w:r>
          </w:p>
          <w:p>
            <w:pPr>
              <w:spacing w:after="30" w:before="40" w:line="236"/>
            </w:pPr>
            <w:r>
              <w:rPr>
                <w:rFonts w:ascii="Calibri" w:cs="Calibri" w:eastAsia="Calibri" w:hAnsi="Calibri"/>
                <w:color w:val="64748B"/>
                <w:sz w:val="13"/>
                <w:szCs w:val="13"/>
              </w:rPr>
              <w:t xml:space="preserve">Software base libre; GitLab CE es la edición gratuita, sin las funciones de pago de Enterprise.</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Ubuntu Server 24.04 LTS · Docker Engine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 · Nginx (</w:t>
            </w:r>
            <w:r>
              <w:rPr>
                <w:rFonts w:ascii="Calibri" w:cs="Calibri" w:eastAsia="Calibri" w:hAnsi="Calibri"/>
                <w:b/>
                <w:bCs/>
                <w:color w:val="0F172A"/>
                <w:sz w:val="15"/>
                <w:szCs w:val="15"/>
              </w:rPr>
              <w:t xml:space="preserve">BSD</w:t>
            </w:r>
            <w:r>
              <w:rPr>
                <w:rFonts w:ascii="Calibri" w:cs="Calibri" w:eastAsia="Calibri" w:hAnsi="Calibri"/>
                <w:color w:val="0F172A"/>
                <w:sz w:val="15"/>
                <w:szCs w:val="15"/>
              </w:rPr>
              <w:t xml:space="preserve">) · GitLab CE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 · restic (</w:t>
            </w:r>
            <w:r>
              <w:rPr>
                <w:rFonts w:ascii="Calibri" w:cs="Calibri" w:eastAsia="Calibri" w:hAnsi="Calibri"/>
                <w:b/>
                <w:bCs/>
                <w:color w:val="0F172A"/>
                <w:sz w:val="15"/>
                <w:szCs w:val="15"/>
              </w:rPr>
              <w:t xml:space="preserve">BSD</w:t>
            </w:r>
            <w:r>
              <w:rPr>
                <w:rFonts w:ascii="Calibri" w:cs="Calibri" w:eastAsia="Calibri" w:hAnsi="Calibri"/>
                <w:color w:val="0F172A"/>
                <w:sz w:val="15"/>
                <w:szCs w:val="15"/>
              </w:rPr>
              <w:t xml:space="preserve">) · pytest, ruff, mypy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 · Trivy, OWASP ZAP (</w:t>
            </w:r>
            <w:r>
              <w:rPr>
                <w:rFonts w:ascii="Calibri" w:cs="Calibri" w:eastAsia="Calibri" w:hAnsi="Calibri"/>
                <w:b/>
                <w:bCs/>
                <w:color w:val="0F172A"/>
                <w:sz w:val="15"/>
                <w:szCs w:val="15"/>
              </w:rPr>
              <w:t xml:space="preserve">Apache-2.0</w:t>
            </w:r>
            <w:r>
              <w:rPr>
                <w:rFonts w:ascii="Calibri" w:cs="Calibri" w:eastAsia="Calibri" w:hAnsi="Calibri"/>
                <w:color w:val="0F172A"/>
                <w:sz w:val="15"/>
                <w:szCs w:val="15"/>
              </w:rPr>
              <w:t xml:space="preserve">) · SonarQube Community (</w:t>
            </w:r>
            <w:r>
              <w:rPr>
                <w:rFonts w:ascii="Calibri" w:cs="Calibri" w:eastAsia="Calibri" w:hAnsi="Calibri"/>
                <w:b/>
                <w:bCs/>
                <w:color w:val="0F172A"/>
                <w:sz w:val="15"/>
                <w:szCs w:val="15"/>
              </w:rPr>
              <w:t xml:space="preserve">LGPL-3.0</w:t>
            </w:r>
            <w:r>
              <w:rPr>
                <w:rFonts w:ascii="Calibri" w:cs="Calibri" w:eastAsia="Calibri" w:hAnsi="Calibri"/>
                <w:color w:val="0F172A"/>
                <w:sz w:val="15"/>
                <w:szCs w:val="15"/>
              </w:rPr>
              <w:t xml:space="preserve">)</w:t>
            </w:r>
          </w:p>
          <w:p>
            <w:pPr>
              <w:spacing w:after="30" w:before="40" w:line="236"/>
            </w:pPr>
            <w:r>
              <w:rPr>
                <w:rFonts w:ascii="Calibri" w:cs="Calibri" w:eastAsia="Calibri" w:hAnsi="Calibri"/>
                <w:color w:val="64748B"/>
                <w:sz w:val="13"/>
                <w:szCs w:val="13"/>
              </w:rPr>
              <w:t xml:space="preserve">Software base libre; SonarQube Community es la edición gratuita del analizador de calidad.</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GDP-SLEP Studio</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Node.js </w:t>
            </w:r>
            <w:r>
              <w:rPr>
                <w:rFonts w:ascii="Calibri" w:cs="Calibri" w:eastAsia="Calibri" w:hAnsi="Calibri"/>
                <w:b/>
                <w:bCs/>
                <w:color w:val="0F172A"/>
                <w:sz w:val="15"/>
                <w:szCs w:val="15"/>
              </w:rPr>
              <w:t xml:space="preserve">24 LTS</w:t>
            </w:r>
            <w:r>
              <w:rPr>
                <w:rFonts w:ascii="Calibri" w:cs="Calibri" w:eastAsia="Calibri" w:hAnsi="Calibri"/>
                <w:color w:val="0F172A"/>
                <w:sz w:val="15"/>
                <w:szCs w:val="15"/>
              </w:rPr>
              <w:t xml:space="preserve"> · NestJS </w:t>
            </w:r>
            <w:r>
              <w:rPr>
                <w:rFonts w:ascii="Calibri" w:cs="Calibri" w:eastAsia="Calibri" w:hAnsi="Calibri"/>
                <w:b/>
                <w:bCs/>
                <w:color w:val="0F172A"/>
                <w:sz w:val="15"/>
                <w:szCs w:val="15"/>
              </w:rPr>
              <w:t xml:space="preserve">11</w:t>
            </w:r>
            <w:r>
              <w:rPr>
                <w:rFonts w:ascii="Calibri" w:cs="Calibri" w:eastAsia="Calibri" w:hAnsi="Calibri"/>
                <w:color w:val="0F172A"/>
                <w:sz w:val="15"/>
                <w:szCs w:val="15"/>
              </w:rPr>
              <w:t xml:space="preserve"> · Angular </w:t>
            </w:r>
            <w:r>
              <w:rPr>
                <w:rFonts w:ascii="Calibri" w:cs="Calibri" w:eastAsia="Calibri" w:hAnsi="Calibri"/>
                <w:b/>
                <w:bCs/>
                <w:color w:val="0F172A"/>
                <w:sz w:val="15"/>
                <w:szCs w:val="15"/>
              </w:rPr>
              <w:t xml:space="preserve">21</w:t>
            </w:r>
            <w:r>
              <w:rPr>
                <w:rFonts w:ascii="Calibri" w:cs="Calibri" w:eastAsia="Calibri" w:hAnsi="Calibri"/>
                <w:color w:val="0F172A"/>
                <w:sz w:val="15"/>
                <w:szCs w:val="15"/>
              </w:rPr>
              <w:t xml:space="preserve">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w:t>
            </w:r>
          </w:p>
          <w:p>
            <w:pPr>
              <w:spacing w:after="30" w:before="40" w:line="236"/>
            </w:pPr>
            <w:r>
              <w:rPr>
                <w:rFonts w:ascii="Calibri" w:cs="Calibri" w:eastAsia="Calibri" w:hAnsi="Calibri"/>
                <w:color w:val="64748B"/>
                <w:sz w:val="13"/>
                <w:szCs w:val="13"/>
              </w:rPr>
              <w:t xml:space="preserve">Mismo stack aprobado por TI para todo GDP-SLEP Studio.</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Node.js </w:t>
            </w:r>
            <w:r>
              <w:rPr>
                <w:rFonts w:ascii="Calibri" w:cs="Calibri" w:eastAsia="Calibri" w:hAnsi="Calibri"/>
                <w:b/>
                <w:bCs/>
                <w:color w:val="0F172A"/>
                <w:sz w:val="15"/>
                <w:szCs w:val="15"/>
              </w:rPr>
              <w:t xml:space="preserve">24 LTS</w:t>
            </w:r>
            <w:r>
              <w:rPr>
                <w:rFonts w:ascii="Calibri" w:cs="Calibri" w:eastAsia="Calibri" w:hAnsi="Calibri"/>
                <w:color w:val="0F172A"/>
                <w:sz w:val="15"/>
                <w:szCs w:val="15"/>
              </w:rPr>
              <w:t xml:space="preserve"> · NestJS </w:t>
            </w:r>
            <w:r>
              <w:rPr>
                <w:rFonts w:ascii="Calibri" w:cs="Calibri" w:eastAsia="Calibri" w:hAnsi="Calibri"/>
                <w:b/>
                <w:bCs/>
                <w:color w:val="0F172A"/>
                <w:sz w:val="15"/>
                <w:szCs w:val="15"/>
              </w:rPr>
              <w:t xml:space="preserve">11</w:t>
            </w:r>
            <w:r>
              <w:rPr>
                <w:rFonts w:ascii="Calibri" w:cs="Calibri" w:eastAsia="Calibri" w:hAnsi="Calibri"/>
                <w:color w:val="0F172A"/>
                <w:sz w:val="15"/>
                <w:szCs w:val="15"/>
              </w:rPr>
              <w:t xml:space="preserve"> · Angular </w:t>
            </w:r>
            <w:r>
              <w:rPr>
                <w:rFonts w:ascii="Calibri" w:cs="Calibri" w:eastAsia="Calibri" w:hAnsi="Calibri"/>
                <w:b/>
                <w:bCs/>
                <w:color w:val="0F172A"/>
                <w:sz w:val="15"/>
                <w:szCs w:val="15"/>
              </w:rPr>
              <w:t xml:space="preserve">21</w:t>
            </w:r>
            <w:r>
              <w:rPr>
                <w:rFonts w:ascii="Calibri" w:cs="Calibri" w:eastAsia="Calibri" w:hAnsi="Calibri"/>
                <w:color w:val="0F172A"/>
                <w:sz w:val="15"/>
                <w:szCs w:val="15"/>
              </w:rPr>
              <w:t xml:space="preserve">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w:t>
            </w:r>
          </w:p>
          <w:p>
            <w:pPr>
              <w:spacing w:after="30" w:before="40" w:line="236"/>
            </w:pPr>
            <w:r>
              <w:rPr>
                <w:rFonts w:ascii="Calibri" w:cs="Calibri" w:eastAsia="Calibri" w:hAnsi="Calibri"/>
                <w:color w:val="64748B"/>
                <w:sz w:val="13"/>
                <w:szCs w:val="13"/>
              </w:rPr>
              <w:t xml:space="preserve">Mismo stack aprobado por TI para todo GDP-SLEP Studio.</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Node.js </w:t>
            </w:r>
            <w:r>
              <w:rPr>
                <w:rFonts w:ascii="Calibri" w:cs="Calibri" w:eastAsia="Calibri" w:hAnsi="Calibri"/>
                <w:b/>
                <w:bCs/>
                <w:color w:val="0F172A"/>
                <w:sz w:val="15"/>
                <w:szCs w:val="15"/>
              </w:rPr>
              <w:t xml:space="preserve">24 LTS</w:t>
            </w:r>
            <w:r>
              <w:rPr>
                <w:rFonts w:ascii="Calibri" w:cs="Calibri" w:eastAsia="Calibri" w:hAnsi="Calibri"/>
                <w:color w:val="0F172A"/>
                <w:sz w:val="15"/>
                <w:szCs w:val="15"/>
              </w:rPr>
              <w:t xml:space="preserve"> · NestJS </w:t>
            </w:r>
            <w:r>
              <w:rPr>
                <w:rFonts w:ascii="Calibri" w:cs="Calibri" w:eastAsia="Calibri" w:hAnsi="Calibri"/>
                <w:b/>
                <w:bCs/>
                <w:color w:val="0F172A"/>
                <w:sz w:val="15"/>
                <w:szCs w:val="15"/>
              </w:rPr>
              <w:t xml:space="preserve">11</w:t>
            </w:r>
            <w:r>
              <w:rPr>
                <w:rFonts w:ascii="Calibri" w:cs="Calibri" w:eastAsia="Calibri" w:hAnsi="Calibri"/>
                <w:color w:val="0F172A"/>
                <w:sz w:val="15"/>
                <w:szCs w:val="15"/>
              </w:rPr>
              <w:t xml:space="preserve"> · Angular </w:t>
            </w:r>
            <w:r>
              <w:rPr>
                <w:rFonts w:ascii="Calibri" w:cs="Calibri" w:eastAsia="Calibri" w:hAnsi="Calibri"/>
                <w:b/>
                <w:bCs/>
                <w:color w:val="0F172A"/>
                <w:sz w:val="15"/>
                <w:szCs w:val="15"/>
              </w:rPr>
              <w:t xml:space="preserve">21</w:t>
            </w:r>
            <w:r>
              <w:rPr>
                <w:rFonts w:ascii="Calibri" w:cs="Calibri" w:eastAsia="Calibri" w:hAnsi="Calibri"/>
                <w:color w:val="0F172A"/>
                <w:sz w:val="15"/>
                <w:szCs w:val="15"/>
              </w:rPr>
              <w:t xml:space="preserve"> (</w:t>
            </w:r>
            <w:r>
              <w:rPr>
                <w:rFonts w:ascii="Calibri" w:cs="Calibri" w:eastAsia="Calibri" w:hAnsi="Calibri"/>
                <w:b/>
                <w:bCs/>
                <w:color w:val="0F172A"/>
                <w:sz w:val="15"/>
                <w:szCs w:val="15"/>
              </w:rPr>
              <w:t xml:space="preserve">MIT</w:t>
            </w:r>
            <w:r>
              <w:rPr>
                <w:rFonts w:ascii="Calibri" w:cs="Calibri" w:eastAsia="Calibri" w:hAnsi="Calibri"/>
                <w:color w:val="0F172A"/>
                <w:sz w:val="15"/>
                <w:szCs w:val="15"/>
              </w:rPr>
              <w:t xml:space="preserve">)</w:t>
            </w:r>
          </w:p>
          <w:p>
            <w:pPr>
              <w:spacing w:after="30" w:before="40" w:line="236"/>
            </w:pPr>
            <w:r>
              <w:rPr>
                <w:rFonts w:ascii="Calibri" w:cs="Calibri" w:eastAsia="Calibri" w:hAnsi="Calibri"/>
                <w:color w:val="64748B"/>
                <w:sz w:val="13"/>
                <w:szCs w:val="13"/>
              </w:rPr>
              <w:t xml:space="preserve">Mismo stack aprobado por TI para todo GDP-SLEP Studio.</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Descartado</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n8n · </w:t>
            </w:r>
            <w:r>
              <w:rPr>
                <w:rFonts w:ascii="Calibri" w:cs="Calibri" w:eastAsia="Calibri" w:hAnsi="Calibri"/>
                <w:b/>
                <w:bCs/>
                <w:color w:val="0F172A"/>
                <w:sz w:val="15"/>
                <w:szCs w:val="15"/>
              </w:rPr>
              <w:t xml:space="preserve">Sustainable Use License</w:t>
            </w:r>
          </w:p>
          <w:p>
            <w:pPr>
              <w:spacing w:after="30" w:before="40" w:line="236"/>
            </w:pPr>
            <w:r>
              <w:rPr>
                <w:rFonts w:ascii="Calibri" w:cs="Calibri" w:eastAsia="Calibri" w:hAnsi="Calibri"/>
                <w:color w:val="64748B"/>
                <w:sz w:val="13"/>
                <w:szCs w:val="13"/>
              </w:rPr>
              <w:t xml:space="preserve">No se usa: su licencia no es de código abierto y LAYA ya cubre lo que hacía.</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n8n · </w:t>
            </w:r>
            <w:r>
              <w:rPr>
                <w:rFonts w:ascii="Calibri" w:cs="Calibri" w:eastAsia="Calibri" w:hAnsi="Calibri"/>
                <w:b/>
                <w:bCs/>
                <w:color w:val="0F172A"/>
                <w:sz w:val="15"/>
                <w:szCs w:val="15"/>
              </w:rPr>
              <w:t xml:space="preserve">Sustainable Use License</w:t>
            </w:r>
          </w:p>
          <w:p>
            <w:pPr>
              <w:spacing w:after="30" w:before="40" w:line="236"/>
            </w:pPr>
            <w:r>
              <w:rPr>
                <w:rFonts w:ascii="Calibri" w:cs="Calibri" w:eastAsia="Calibri" w:hAnsi="Calibri"/>
                <w:color w:val="64748B"/>
                <w:sz w:val="13"/>
                <w:szCs w:val="13"/>
              </w:rPr>
              <w:t xml:space="preserve">No se usa: su licencia no es de código abierto y LAYA ya cubre lo que hacía.</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n8n · </w:t>
            </w:r>
            <w:r>
              <w:rPr>
                <w:rFonts w:ascii="Calibri" w:cs="Calibri" w:eastAsia="Calibri" w:hAnsi="Calibri"/>
                <w:b/>
                <w:bCs/>
                <w:color w:val="0F172A"/>
                <w:sz w:val="15"/>
                <w:szCs w:val="15"/>
              </w:rPr>
              <w:t xml:space="preserve">Sustainable Use License</w:t>
            </w:r>
          </w:p>
          <w:p>
            <w:pPr>
              <w:spacing w:after="30" w:before="40" w:line="236"/>
            </w:pPr>
            <w:r>
              <w:rPr>
                <w:rFonts w:ascii="Calibri" w:cs="Calibri" w:eastAsia="Calibri" w:hAnsi="Calibri"/>
                <w:color w:val="64748B"/>
                <w:sz w:val="13"/>
                <w:szCs w:val="13"/>
              </w:rPr>
              <w:t xml:space="preserve">No se usa: su licencia no es de código abierto y LAYA ya cubre lo que hacía.</w:t>
            </w:r>
          </w:p>
        </w:tc>
      </w:tr>
      <w:tr>
        <w:trPr>
          <w:cantSplit/>
        </w:trPr>
        <w:tc>
          <w:tcPr>
            <w:tcW w:type="dxa" w:w="9640"/>
            <w:gridSpan w:val="4"/>
            <w:tcBorders>
              <w:top w:val="single" w:color="0F172A" w:sz="12"/>
              <w:left w:val="none" w:color="FFFFFF" w:sz="0"/>
              <w:bottom w:val="single" w:color="CBD5E1" w:sz="4"/>
              <w:right w:val="none" w:color="FFFFFF" w:sz="0"/>
            </w:tcBorders>
            <w:shd w:fill="F1F5F9" w:color="auto" w:val="clear"/>
            <w:tcMar>
              <w:top w:type="dxa" w:w="90"/>
              <w:left w:type="dxa" w:w="110"/>
              <w:bottom w:type="dxa" w:w="90"/>
              <w:right w:type="dxa" w:w="100"/>
            </w:tcMar>
            <w:vAlign w:val="top"/>
          </w:tcPr>
          <w:p>
            <w:pPr>
              <w:keepNext/>
              <w:spacing w:after="0"/>
            </w:pPr>
            <w:r>
              <w:rPr>
                <w:rFonts w:ascii="Consolas" w:cs="Consolas" w:eastAsia="Consolas" w:hAnsi="Consolas"/>
                <w:b/>
                <w:bCs/>
                <w:color w:val="0D9488"/>
                <w:sz w:val="16"/>
                <w:szCs w:val="16"/>
              </w:rPr>
              <w:t xml:space="preserve">04   </w:t>
            </w:r>
            <w:r>
              <w:rPr>
                <w:rFonts w:ascii="Consolas" w:cs="Consolas" w:eastAsia="Consolas" w:hAnsi="Consolas"/>
                <w:b/>
                <w:bCs/>
                <w:color w:val="0F172A"/>
                <w:spacing w:val="15"/>
                <w:sz w:val="16"/>
                <w:szCs w:val="16"/>
              </w:rPr>
              <w:t xml:space="preserve">PERSONAS Y SERVICIOS</w:t>
            </w:r>
            <w:r>
              <w:rPr>
                <w:rFonts w:ascii="Calibri" w:cs="Calibri" w:eastAsia="Calibri" w:hAnsi="Calibri"/>
                <w:color w:val="64748B"/>
                <w:sz w:val="14"/>
                <w:szCs w:val="14"/>
              </w:rPr>
              <w:t xml:space="preserve">   no son tecnologías, pero forman parte del costo de cada propuesta</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Incorporación de 36 SLEP</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½ día por SLEP · </w:t>
            </w:r>
            <w:r>
              <w:rPr>
                <w:rFonts w:ascii="Calibri" w:cs="Calibri" w:eastAsia="Calibri" w:hAnsi="Calibri"/>
                <w:b/>
                <w:bCs/>
                <w:color w:val="0F172A"/>
                <w:sz w:val="15"/>
                <w:szCs w:val="15"/>
              </w:rPr>
              <w:t xml:space="preserve">144 h</w:t>
            </w:r>
            <w:r>
              <w:rPr>
                <w:rFonts w:ascii="Calibri" w:cs="Calibri" w:eastAsia="Calibri" w:hAnsi="Calibri"/>
                <w:color w:val="0F172A"/>
                <w:sz w:val="15"/>
                <w:szCs w:val="15"/>
              </w:rPr>
              <w:t xml:space="preserve"> en total</w:t>
            </w:r>
          </w:p>
          <w:p>
            <w:pPr>
              <w:spacing w:after="30" w:before="40" w:line="236"/>
            </w:pPr>
            <w:r>
              <w:rPr>
                <w:rFonts w:ascii="Calibri" w:cs="Calibri" w:eastAsia="Calibri" w:hAnsi="Calibri"/>
                <w:color w:val="64748B"/>
                <w:sz w:val="13"/>
                <w:szCs w:val="13"/>
              </w:rPr>
              <w:t xml:space="preserve">Configurar cada SLEP en el sistema, cargar sus datos y acompañar al encargado en sus primeras licencias.</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½ día por SLEP · </w:t>
            </w:r>
            <w:r>
              <w:rPr>
                <w:rFonts w:ascii="Calibri" w:cs="Calibri" w:eastAsia="Calibri" w:hAnsi="Calibri"/>
                <w:b/>
                <w:bCs/>
                <w:color w:val="0F172A"/>
                <w:sz w:val="15"/>
                <w:szCs w:val="15"/>
              </w:rPr>
              <w:t xml:space="preserve">144 h</w:t>
            </w:r>
            <w:r>
              <w:rPr>
                <w:rFonts w:ascii="Calibri" w:cs="Calibri" w:eastAsia="Calibri" w:hAnsi="Calibri"/>
                <w:color w:val="0F172A"/>
                <w:sz w:val="15"/>
                <w:szCs w:val="15"/>
              </w:rPr>
              <w:t xml:space="preserve"> en total</w:t>
            </w:r>
          </w:p>
          <w:p>
            <w:pPr>
              <w:spacing w:after="30" w:before="40" w:line="236"/>
            </w:pPr>
            <w:r>
              <w:rPr>
                <w:rFonts w:ascii="Calibri" w:cs="Calibri" w:eastAsia="Calibri" w:hAnsi="Calibri"/>
                <w:color w:val="64748B"/>
                <w:sz w:val="13"/>
                <w:szCs w:val="13"/>
              </w:rPr>
              <w:t xml:space="preserve">Configurar cada SLEP en el sistema, cargar sus datos y acompañar al encargado en sus primeras licencias.</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½ día por SLEP · </w:t>
            </w:r>
            <w:r>
              <w:rPr>
                <w:rFonts w:ascii="Calibri" w:cs="Calibri" w:eastAsia="Calibri" w:hAnsi="Calibri"/>
                <w:b/>
                <w:bCs/>
                <w:color w:val="0F172A"/>
                <w:sz w:val="15"/>
                <w:szCs w:val="15"/>
              </w:rPr>
              <w:t xml:space="preserve">144 h</w:t>
            </w:r>
            <w:r>
              <w:rPr>
                <w:rFonts w:ascii="Calibri" w:cs="Calibri" w:eastAsia="Calibri" w:hAnsi="Calibri"/>
                <w:color w:val="0F172A"/>
                <w:sz w:val="15"/>
                <w:szCs w:val="15"/>
              </w:rPr>
              <w:t xml:space="preserve"> en total</w:t>
            </w:r>
          </w:p>
          <w:p>
            <w:pPr>
              <w:spacing w:after="30" w:before="40" w:line="236"/>
            </w:pPr>
            <w:r>
              <w:rPr>
                <w:rFonts w:ascii="Calibri" w:cs="Calibri" w:eastAsia="Calibri" w:hAnsi="Calibri"/>
                <w:color w:val="64748B"/>
                <w:sz w:val="13"/>
                <w:szCs w:val="13"/>
              </w:rPr>
              <w:t xml:space="preserve">Configurar cada SLEP en el sistema, cargar sus datos y acompañar al encargado en sus primeras licencias.</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Capacitación de encargados</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Inducción práctica durante la incorporación, sin curso formal</w:t>
            </w:r>
          </w:p>
          <w:p>
            <w:pPr>
              <w:spacing w:after="30" w:before="40" w:line="236"/>
            </w:pPr>
            <w:r>
              <w:rPr>
                <w:rFonts w:ascii="Calibri" w:cs="Calibri" w:eastAsia="Calibri" w:hAnsi="Calibri"/>
                <w:color w:val="64748B"/>
                <w:sz w:val="13"/>
                <w:szCs w:val="13"/>
              </w:rPr>
              <w:t xml:space="preserve">El encargado aprende a revisar y confirmar cada licencia mientras se incorpora su SLEP.</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Curso de </w:t>
            </w:r>
            <w:r>
              <w:rPr>
                <w:rFonts w:ascii="Calibri" w:cs="Calibri" w:eastAsia="Calibri" w:hAnsi="Calibri"/>
                <w:b/>
                <w:bCs/>
                <w:color w:val="0F172A"/>
                <w:sz w:val="15"/>
                <w:szCs w:val="15"/>
              </w:rPr>
              <w:t xml:space="preserve">16 h para 15 personas</w:t>
            </w:r>
            <w:r>
              <w:rPr>
                <w:rFonts w:ascii="Calibri" w:cs="Calibri" w:eastAsia="Calibri" w:hAnsi="Calibri"/>
                <w:color w:val="0F172A"/>
                <w:sz w:val="15"/>
                <w:szCs w:val="15"/>
              </w:rPr>
              <w:t xml:space="preserve"> (SENCE)</w:t>
            </w:r>
          </w:p>
          <w:p>
            <w:pPr>
              <w:spacing w:after="30" w:before="40" w:line="236"/>
            </w:pPr>
            <w:r>
              <w:rPr>
                <w:rFonts w:ascii="Calibri" w:cs="Calibri" w:eastAsia="Calibri" w:hAnsi="Calibri"/>
                <w:color w:val="64748B"/>
                <w:sz w:val="13"/>
                <w:szCs w:val="13"/>
              </w:rPr>
              <w:t xml:space="preserve">Curso formal para encargados y jefaturas: uso de la herramienta, excepciones y qué hacer si algo falla.</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Curso de </w:t>
            </w:r>
            <w:r>
              <w:rPr>
                <w:rFonts w:ascii="Calibri" w:cs="Calibri" w:eastAsia="Calibri" w:hAnsi="Calibri"/>
                <w:b/>
                <w:bCs/>
                <w:color w:val="0F172A"/>
                <w:sz w:val="15"/>
                <w:szCs w:val="15"/>
              </w:rPr>
              <w:t xml:space="preserve">16 h para 15 personas</w:t>
            </w:r>
            <w:r>
              <w:rPr>
                <w:rFonts w:ascii="Calibri" w:cs="Calibri" w:eastAsia="Calibri" w:hAnsi="Calibri"/>
                <w:color w:val="0F172A"/>
                <w:sz w:val="15"/>
                <w:szCs w:val="15"/>
              </w:rPr>
              <w:t xml:space="preserve"> (SENCE)</w:t>
            </w:r>
          </w:p>
          <w:p>
            <w:pPr>
              <w:spacing w:after="30" w:before="40" w:line="236"/>
            </w:pPr>
            <w:r>
              <w:rPr>
                <w:rFonts w:ascii="Calibri" w:cs="Calibri" w:eastAsia="Calibri" w:hAnsi="Calibri"/>
                <w:color w:val="64748B"/>
                <w:sz w:val="13"/>
                <w:szCs w:val="13"/>
              </w:rPr>
              <w:t xml:space="preserve">Curso formal para encargados y jefaturas: uso de la herramienta, excepciones y qué hacer si algo falla.</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Servicios externos</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No se contratan</w:t>
            </w:r>
          </w:p>
          <w:p>
            <w:pPr>
              <w:spacing w:after="30" w:before="40" w:line="236"/>
            </w:pPr>
            <w:r>
              <w:rPr>
                <w:rFonts w:ascii="Calibri" w:cs="Calibri" w:eastAsia="Calibri" w:hAnsi="Calibri"/>
                <w:color w:val="64748B"/>
                <w:sz w:val="13"/>
                <w:szCs w:val="13"/>
              </w:rPr>
              <w:t xml:space="preserve">Toda la construcción y la mantención las hace el equipo de la DEP.</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color w:val="0F172A"/>
                <w:sz w:val="15"/>
                <w:szCs w:val="15"/>
              </w:rPr>
              <w:t xml:space="preserve">No se contratan</w:t>
            </w:r>
          </w:p>
          <w:p>
            <w:pPr>
              <w:spacing w:after="30" w:before="40" w:line="236"/>
            </w:pPr>
            <w:r>
              <w:rPr>
                <w:rFonts w:ascii="Calibri" w:cs="Calibri" w:eastAsia="Calibri" w:hAnsi="Calibri"/>
                <w:color w:val="64748B"/>
                <w:sz w:val="13"/>
                <w:szCs w:val="13"/>
              </w:rPr>
              <w:t xml:space="preserve">Toda la construcción y la mantención las hace el equipo de la DEP.</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Prueba de penetración externa</w:t>
            </w:r>
            <w:r>
              <w:rPr>
                <w:rFonts w:ascii="Calibri" w:cs="Calibri" w:eastAsia="Calibri" w:hAnsi="Calibri"/>
                <w:color w:val="0F172A"/>
                <w:sz w:val="15"/>
                <w:szCs w:val="15"/>
              </w:rPr>
              <w:t xml:space="preserve"> antes de operar en los 36 SLEP</w:t>
            </w:r>
          </w:p>
          <w:p>
            <w:pPr>
              <w:spacing w:after="30" w:before="40" w:line="236"/>
            </w:pPr>
            <w:r>
              <w:rPr>
                <w:rFonts w:ascii="Calibri" w:cs="Calibri" w:eastAsia="Calibri" w:hAnsi="Calibri"/>
                <w:color w:val="64748B"/>
                <w:sz w:val="13"/>
                <w:szCs w:val="13"/>
              </w:rPr>
              <w:t xml:space="preserve">Una empresa especializada intenta vulnerar el sistema y entrega un informe de fallas a corregir antes de escalar.</w:t>
            </w:r>
          </w:p>
        </w:tc>
      </w:tr>
      <w:tr>
        <w:trPr>
          <w:cantSplit/>
        </w:trPr>
        <w:tc>
          <w:tcPr>
            <w:tcW w:type="dxa" w:w="1760"/>
            <w:tcBorders>
              <w:top w:val="none" w:color="FFFFFF" w:sz="0"/>
              <w:left w:val="none" w:color="FFFFFF" w:sz="0"/>
              <w:bottom w:val="single" w:color="E2E8F0" w:sz="4"/>
              <w:right w:val="single" w:color="CBD5E1" w:sz="4"/>
            </w:tcBorders>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Mantención</w:t>
            </w:r>
          </w:p>
        </w:tc>
        <w:tc>
          <w:tcPr>
            <w:tcW w:type="dxa" w:w="2626"/>
            <w:tcBorders>
              <w:top w:val="none" w:color="FFFFFF" w:sz="0"/>
              <w:left w:val="single" w:color="15803D" w:sz="18"/>
              <w:bottom w:val="single" w:color="E2E8F0" w:sz="4"/>
              <w:right w:val="none" w:color="FFFFFF" w:sz="0"/>
            </w:tcBorders>
            <w:shd w:fill="F0FDF4"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6 h al mes</w:t>
            </w:r>
            <w:r>
              <w:rPr>
                <w:rFonts w:ascii="Calibri" w:cs="Calibri" w:eastAsia="Calibri" w:hAnsi="Calibri"/>
                <w:color w:val="0F172A"/>
                <w:sz w:val="15"/>
                <w:szCs w:val="15"/>
              </w:rPr>
              <w:t xml:space="preserve"> de conector e IA; contrato estable</w:t>
            </w:r>
          </w:p>
          <w:p>
            <w:pPr>
              <w:spacing w:after="30" w:before="40" w:line="236"/>
            </w:pPr>
            <w:r>
              <w:rPr>
                <w:rFonts w:ascii="Calibri" w:cs="Calibri" w:eastAsia="Calibri" w:hAnsi="Calibri"/>
                <w:color w:val="64748B"/>
                <w:sz w:val="13"/>
                <w:szCs w:val="13"/>
              </w:rPr>
              <w:t xml:space="preserve">Horas para ajustar la solución cuando FONASA cambia algo, actualizar versiones y revisar alertas.</w:t>
            </w:r>
          </w:p>
        </w:tc>
        <w:tc>
          <w:tcPr>
            <w:tcW w:type="dxa" w:w="2626"/>
            <w:tcBorders>
              <w:top w:val="none" w:color="FFFFFF" w:sz="0"/>
              <w:left w:val="single" w:color="0D9488" w:sz="18"/>
              <w:bottom w:val="single" w:color="E2E8F0" w:sz="4"/>
              <w:right w:val="none" w:color="FFFFFF" w:sz="0"/>
            </w:tcBorders>
            <w:shd w:fill="F0FDFA"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6 h al mes</w:t>
            </w:r>
            <w:r>
              <w:rPr>
                <w:rFonts w:ascii="Calibri" w:cs="Calibri" w:eastAsia="Calibri" w:hAnsi="Calibri"/>
                <w:color w:val="0F172A"/>
                <w:sz w:val="15"/>
                <w:szCs w:val="15"/>
              </w:rPr>
              <w:t xml:space="preserve"> de conector, IA y monitoreo</w:t>
            </w:r>
          </w:p>
          <w:p>
            <w:pPr>
              <w:spacing w:after="30" w:before="40" w:line="236"/>
            </w:pPr>
            <w:r>
              <w:rPr>
                <w:rFonts w:ascii="Calibri" w:cs="Calibri" w:eastAsia="Calibri" w:hAnsi="Calibri"/>
                <w:color w:val="64748B"/>
                <w:sz w:val="13"/>
                <w:szCs w:val="13"/>
              </w:rPr>
              <w:t xml:space="preserve">Horas para ajustar la solución cuando FONASA cambia algo, actualizar versiones y revisar alertas.</w:t>
            </w:r>
          </w:p>
        </w:tc>
        <w:tc>
          <w:tcPr>
            <w:tcW w:type="dxa" w:w="2628"/>
            <w:tcBorders>
              <w:top w:val="none" w:color="FFFFFF" w:sz="0"/>
              <w:left w:val="single" w:color="B45309" w:sz="18"/>
              <w:bottom w:val="single" w:color="E2E8F0" w:sz="4"/>
              <w:right w:val="none" w:color="FFFFFF" w:sz="0"/>
            </w:tcBorders>
            <w:shd w:fill="FFFBEB" w:color="auto" w:val="clear"/>
            <w:tcMar>
              <w:top w:type="dxa" w:w="70"/>
              <w:left w:type="dxa" w:w="110"/>
              <w:bottom w:type="dxa" w:w="70"/>
              <w:right w:type="dxa" w:w="100"/>
            </w:tcMar>
            <w:vAlign w:val="top"/>
          </w:tcPr>
          <w:p>
            <w:pPr>
              <w:spacing w:after="30" w:before="0" w:line="236"/>
            </w:pPr>
            <w:r>
              <w:rPr>
                <w:rFonts w:ascii="Calibri" w:cs="Calibri" w:eastAsia="Calibri" w:hAnsi="Calibri"/>
                <w:b/>
                <w:bCs/>
                <w:color w:val="0F172A"/>
                <w:sz w:val="15"/>
                <w:szCs w:val="15"/>
              </w:rPr>
              <w:t xml:space="preserve">8 h al mes</w:t>
            </w:r>
            <w:r>
              <w:rPr>
                <w:rFonts w:ascii="Calibri" w:cs="Calibri" w:eastAsia="Calibri" w:hAnsi="Calibri"/>
                <w:color w:val="0F172A"/>
                <w:sz w:val="15"/>
                <w:szCs w:val="15"/>
              </w:rPr>
              <w:t xml:space="preserve"> de conector, alta disponibilidad y seguridad</w:t>
            </w:r>
          </w:p>
          <w:p>
            <w:pPr>
              <w:spacing w:after="30" w:before="40" w:line="236"/>
            </w:pPr>
            <w:r>
              <w:rPr>
                <w:rFonts w:ascii="Calibri" w:cs="Calibri" w:eastAsia="Calibri" w:hAnsi="Calibri"/>
                <w:color w:val="64748B"/>
                <w:sz w:val="13"/>
                <w:szCs w:val="13"/>
              </w:rPr>
              <w:t xml:space="preserve">Horas para ajustar la solución cuando FONASA cambia algo, actualizar versiones y revisar alertas.</w:t>
            </w:r>
          </w:p>
        </w:tc>
      </w:tr>
    </w:tbl>
    <w:p>
      <w:pPr>
        <w:spacing w:after="140" w:before="0" w:line="120"/>
      </w:pPr>
    </w:p>
    <w:p>
      <w:pPr>
        <w:keepNext/>
        <w:pageBreakBefore/>
        <w:spacing w:after="60"/>
      </w:pPr>
      <w:r>
        <w:rPr>
          <w:rFonts w:ascii="Consolas" w:cs="Consolas" w:eastAsia="Consolas" w:hAnsi="Consolas"/>
          <w:b/>
          <w:bCs/>
          <w:color w:val="0D9488"/>
          <w:spacing w:val="30"/>
          <w:sz w:val="16"/>
          <w:szCs w:val="16"/>
        </w:rPr>
        <w:t xml:space="preserve">SECCIÓN 03</w:t>
      </w:r>
      <w:r>
        <w:rPr>
          <w:rFonts w:ascii="Consolas" w:cs="Consolas" w:eastAsia="Consolas" w:hAnsi="Consolas"/>
          <w:color w:val="94A3B8"/>
          <w:sz w:val="16"/>
          <w:szCs w:val="16"/>
        </w:rPr>
        <w:t xml:space="preserve">  /  operación</w:t>
      </w:r>
    </w:p>
    <w:p>
      <w:pPr>
        <w:pStyle w:val="Heading1"/>
        <w:keepNext/>
        <w:pBdr>
          <w:bottom w:val="single" w:color="E2E8F0" w:sz="6" w:space="6"/>
        </w:pBdr>
        <w:spacing w:after="160"/>
      </w:pPr>
      <w:r>
        <w:rPr>
          <w:rFonts w:ascii="Calibri" w:cs="Calibri" w:eastAsia="Calibri" w:hAnsi="Calibri"/>
          <w:b/>
          <w:bCs/>
          <w:color w:val="0F172A"/>
          <w:sz w:val="34"/>
          <w:szCs w:val="34"/>
        </w:rPr>
        <w:t xml:space="preserve">Modo de operación</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La estabilidad de este camino viene de usar un canal hecho para el intercambio entre organismos.</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Definir el reparto entre persona y sistema.</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Conexión de institución a institución con credenciales de servicio; la persona aprueba cada envío.</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3.1  </w:t>
      </w:r>
      <w:r>
        <w:rPr>
          <w:rFonts w:ascii="Calibri" w:cs="Calibri" w:eastAsia="Calibri" w:hAnsi="Calibri"/>
          <w:b/>
          <w:bCs/>
          <w:color w:val="0F172A"/>
          <w:sz w:val="25"/>
          <w:szCs w:val="25"/>
        </w:rPr>
        <w:t xml:space="preserve">Reparto de tareas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200"/>
        <w:gridCol w:w="2200"/>
        <w:gridCol w:w="2240"/>
      </w:tblGrid>
      <w:tr>
        <w:trPr>
          <w:tblHeader/>
        </w:trPr>
        <w:tc>
          <w:tcPr>
            <w:tcW w:type="dxa" w:w="52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TAREA</w:t>
            </w:r>
          </w:p>
        </w:tc>
        <w:tc>
          <w:tcPr>
            <w:tcW w:type="dxa" w:w="22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PERSONA</w:t>
            </w:r>
          </w:p>
        </w:tc>
        <w:tc>
          <w:tcPr>
            <w:tcW w:type="dxa" w:w="22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SISTEMA</w:t>
            </w:r>
          </w:p>
        </w:tc>
      </w:tr>
      <w:tr>
        <w:trPr>
          <w:cantSplit/>
        </w:trPr>
        <w:tc>
          <w:tcPr>
            <w:tcW w:type="dxa" w:w="5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Gestionar el acuerdo y las credenciales de servicio</w:t>
            </w:r>
          </w:p>
        </w:tc>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 (una vez)</w:t>
            </w:r>
          </w:p>
        </w:tc>
        <w:tc>
          <w:tcPr>
            <w:tcW w:type="dxa" w:w="2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w:t>
            </w:r>
          </w:p>
        </w:tc>
      </w:tr>
      <w:tr>
        <w:trPr>
          <w:cantSplit/>
        </w:trPr>
        <w:tc>
          <w:tcPr>
            <w:tcW w:type="dxa" w:w="5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Consultar las licencias por el servicio oficial</w:t>
            </w:r>
          </w:p>
        </w:tc>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w:t>
            </w:r>
          </w:p>
        </w:tc>
        <w:tc>
          <w:tcPr>
            <w:tcW w:type="dxa" w:w="2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w:t>
            </w:r>
          </w:p>
        </w:tc>
      </w:tr>
      <w:tr>
        <w:trPr>
          <w:cantSplit/>
        </w:trPr>
        <w:tc>
          <w:tcPr>
            <w:tcW w:type="dxa" w:w="5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Calcular vencimientos y priorizar</w:t>
            </w:r>
          </w:p>
        </w:tc>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w:t>
            </w:r>
          </w:p>
        </w:tc>
        <w:tc>
          <w:tcPr>
            <w:tcW w:type="dxa" w:w="2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w:t>
            </w:r>
          </w:p>
        </w:tc>
      </w:tr>
      <w:tr>
        <w:trPr>
          <w:cantSplit/>
        </w:trPr>
        <w:tc>
          <w:tcPr>
            <w:tcW w:type="dxa" w:w="5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Cruzar con remuneraciones y preparar la zona C</w:t>
            </w:r>
          </w:p>
        </w:tc>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w:t>
            </w:r>
          </w:p>
        </w:tc>
        <w:tc>
          <w:tcPr>
            <w:tcW w:type="dxa" w:w="2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w:t>
            </w:r>
          </w:p>
        </w:tc>
      </w:tr>
      <w:tr>
        <w:trPr>
          <w:cantSplit/>
        </w:trPr>
        <w:tc>
          <w:tcPr>
            <w:tcW w:type="dxa" w:w="5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Clasificar y priorizar con IA local</w:t>
            </w:r>
          </w:p>
        </w:tc>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w:t>
            </w:r>
          </w:p>
        </w:tc>
        <w:tc>
          <w:tcPr>
            <w:tcW w:type="dxa" w:w="2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w:t>
            </w:r>
          </w:p>
        </w:tc>
      </w:tr>
      <w:tr>
        <w:trPr>
          <w:cantSplit/>
        </w:trPr>
        <w:tc>
          <w:tcPr>
            <w:tcW w:type="dxa" w:w="5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Revisar y aprobar cada envío</w:t>
            </w:r>
          </w:p>
        </w:tc>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w:t>
            </w:r>
          </w:p>
        </w:tc>
        <w:tc>
          <w:tcPr>
            <w:tcW w:type="dxa" w:w="2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w:t>
            </w:r>
          </w:p>
        </w:tc>
      </w:tr>
      <w:tr>
        <w:trPr>
          <w:cantSplit/>
        </w:trPr>
        <w:tc>
          <w:tcPr>
            <w:tcW w:type="dxa" w:w="5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Enviar la zona C y leer el acuse oficial</w:t>
            </w:r>
          </w:p>
        </w:tc>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w:t>
            </w:r>
          </w:p>
        </w:tc>
        <w:tc>
          <w:tcPr>
            <w:tcW w:type="dxa" w:w="2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 (tras aprobación)</w:t>
            </w:r>
          </w:p>
        </w:tc>
      </w:tr>
      <w:tr>
        <w:trPr>
          <w:cantSplit/>
        </w:trPr>
        <w:tc>
          <w:tcPr>
            <w:tcW w:type="dxa" w:w="5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Resolver excepciones</w:t>
            </w:r>
          </w:p>
        </w:tc>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w:t>
            </w:r>
          </w:p>
        </w:tc>
        <w:tc>
          <w:tcPr>
            <w:tcW w:type="dxa" w:w="2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Las deriva</w:t>
            </w:r>
          </w:p>
        </w:tc>
      </w:tr>
    </w:tbl>
    <w:p>
      <w:pPr>
        <w:spacing w:after="120" w:before="0" w:line="120"/>
      </w:pPr>
    </w:p>
    <w:p>
      <w:pPr>
        <w:pStyle w:val="Heading2"/>
        <w:keepNext/>
        <w:spacing w:after="120" w:before="260"/>
      </w:pPr>
      <w:r>
        <w:rPr>
          <w:rFonts w:ascii="Consolas" w:cs="Consolas" w:eastAsia="Consolas" w:hAnsi="Consolas"/>
          <w:b/>
          <w:bCs/>
          <w:color w:val="0D9488"/>
          <w:sz w:val="22"/>
          <w:szCs w:val="22"/>
        </w:rPr>
        <w:t xml:space="preserve">3.2  </w:t>
      </w:r>
      <w:r>
        <w:rPr>
          <w:rFonts w:ascii="Calibri" w:cs="Calibri" w:eastAsia="Calibri" w:hAnsi="Calibri"/>
          <w:b/>
          <w:bCs/>
          <w:color w:val="0F172A"/>
          <w:sz w:val="25"/>
          <w:szCs w:val="25"/>
        </w:rPr>
        <w:t xml:space="preserve">Operación continua</w:t>
      </w:r>
    </w:p>
    <w:p>
      <w:pPr>
        <w:spacing w:after="140" w:before="0" w:line="276"/>
        <w:jc w:val="left"/>
      </w:pPr>
      <w:r>
        <w:rPr>
          <w:rFonts w:ascii="Calibri" w:cs="Calibri" w:eastAsia="Calibri" w:hAnsi="Calibri"/>
          <w:color w:val="334155"/>
          <w:sz w:val="19"/>
          <w:szCs w:val="19"/>
        </w:rPr>
        <w:t xml:space="preserve">A diferencia del RPA y del API, el conector </w:t>
      </w:r>
      <w:r>
        <w:rPr>
          <w:rFonts w:ascii="Calibri" w:cs="Calibri" w:eastAsia="Calibri" w:hAnsi="Calibri"/>
          <w:b/>
          <w:bCs/>
          <w:color w:val="0F172A"/>
          <w:sz w:val="19"/>
          <w:szCs w:val="19"/>
        </w:rPr>
        <w:t xml:space="preserve">no depende de una sesión de usuario</w:t>
      </w:r>
      <w:r>
        <w:rPr>
          <w:rFonts w:ascii="Calibri" w:cs="Calibri" w:eastAsia="Calibri" w:hAnsi="Calibri"/>
          <w:color w:val="334155"/>
          <w:sz w:val="19"/>
          <w:szCs w:val="19"/>
        </w:rPr>
        <w:t xml:space="preserve">: usa credenciales de servicio institucionales y puede consultar de forma continua (por ejemplo, cada 15 minutos en horario hábil). Los </w:t>
      </w:r>
      <w:r>
        <w:rPr>
          <w:rFonts w:ascii="Calibri" w:cs="Calibri" w:eastAsia="Calibri" w:hAnsi="Calibri"/>
          <w:b/>
          <w:bCs/>
          <w:color w:val="0F172A"/>
          <w:sz w:val="19"/>
          <w:szCs w:val="19"/>
        </w:rPr>
        <w:t xml:space="preserve">envíos</w:t>
      </w:r>
      <w:r>
        <w:rPr>
          <w:rFonts w:ascii="Calibri" w:cs="Calibri" w:eastAsia="Calibri" w:hAnsi="Calibri"/>
          <w:color w:val="334155"/>
          <w:sz w:val="19"/>
          <w:szCs w:val="19"/>
        </w:rPr>
        <w:t xml:space="preserve">, en cambio, siempre esperan la </w:t>
      </w:r>
      <w:r>
        <w:rPr>
          <w:rFonts w:ascii="Calibri" w:cs="Calibri" w:eastAsia="Calibri" w:hAnsi="Calibri"/>
          <w:b/>
          <w:bCs/>
          <w:color w:val="0F172A"/>
          <w:sz w:val="19"/>
          <w:szCs w:val="19"/>
        </w:rPr>
        <w:t xml:space="preserve">aprobación del encargado</w:t>
      </w:r>
      <w:r>
        <w:rPr>
          <w:rFonts w:ascii="Calibri" w:cs="Calibri" w:eastAsia="Calibri" w:hAnsi="Calibri"/>
          <w:color w:val="334155"/>
          <w:sz w:val="19"/>
          <w:szCs w:val="19"/>
        </w:rPr>
        <w:t xml:space="preserve"> en GDP-SLEP Studio. La persona deja de iniciar sesión y se concentra en revisar.</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B91C1C" w:sz="24"/>
              <w:bottom w:val="none" w:color="FFFFFF" w:sz="0"/>
              <w:right w:val="none" w:color="FFFFFF" w:sz="0"/>
            </w:tcBorders>
            <w:shd w:fill="FEF2F2" w:color="auto" w:val="clear"/>
            <w:tcMar>
              <w:top w:type="dxa" w:w="110"/>
              <w:left w:type="dxa" w:w="220"/>
              <w:bottom w:type="dxa" w:w="110"/>
              <w:right w:type="dxa" w:w="110"/>
            </w:tcMar>
            <w:vAlign w:val="top"/>
          </w:tcPr>
          <w:p>
            <w:pPr>
              <w:spacing w:after="60"/>
            </w:pPr>
            <w:r>
              <w:rPr>
                <w:rFonts w:ascii="Consolas" w:cs="Consolas" w:eastAsia="Consolas" w:hAnsi="Consolas"/>
                <w:b/>
                <w:bCs/>
                <w:color w:val="B91C1C"/>
                <w:spacing w:val="20"/>
                <w:sz w:val="15"/>
                <w:szCs w:val="15"/>
              </w:rPr>
              <w:t xml:space="preserve">NUNCA SE AUTOMATIZA NI SE HACE</w:t>
            </w:r>
          </w:p>
          <w:p>
            <w:pPr>
              <w:spacing w:after="50" w:line="260"/>
            </w:pPr>
            <w:r>
              <w:rPr>
                <w:color w:val="334155"/>
                <w:sz w:val="19"/>
                <w:szCs w:val="19"/>
              </w:rPr>
              <w:t xml:space="preserve">El uso del canal </w:t>
            </w:r>
            <w:r>
              <w:rPr>
                <w:b/>
                <w:bCs/>
                <w:color w:val="0F172A"/>
                <w:sz w:val="19"/>
                <w:szCs w:val="19"/>
              </w:rPr>
              <w:t xml:space="preserve">sin el acuerdo</w:t>
            </w:r>
            <w:r>
              <w:rPr>
                <w:color w:val="334155"/>
                <w:sz w:val="19"/>
                <w:szCs w:val="19"/>
              </w:rPr>
              <w:t xml:space="preserve"> formal con FONASA.</w:t>
            </w:r>
          </w:p>
          <w:p>
            <w:pPr>
              <w:spacing w:after="50" w:line="260"/>
            </w:pPr>
            <w:r>
              <w:rPr>
                <w:color w:val="334155"/>
                <w:sz w:val="19"/>
                <w:szCs w:val="19"/>
              </w:rPr>
              <w:t xml:space="preserve">El </w:t>
            </w:r>
            <w:r>
              <w:rPr>
                <w:b/>
                <w:bCs/>
                <w:color w:val="0F172A"/>
                <w:sz w:val="19"/>
                <w:szCs w:val="19"/>
              </w:rPr>
              <w:t xml:space="preserve">envío sin aprobación</w:t>
            </w:r>
            <w:r>
              <w:rPr>
                <w:color w:val="334155"/>
                <w:sz w:val="19"/>
                <w:szCs w:val="19"/>
              </w:rPr>
              <w:t xml:space="preserve"> del encargado.</w:t>
            </w:r>
          </w:p>
          <w:p>
            <w:pPr>
              <w:spacing w:after="50" w:line="260"/>
            </w:pPr>
            <w:r>
              <w:rPr>
                <w:color w:val="334155"/>
                <w:sz w:val="19"/>
                <w:szCs w:val="19"/>
              </w:rPr>
              <w:t xml:space="preserve">La lectura o el almacenamiento del </w:t>
            </w:r>
            <w:r>
              <w:rPr>
                <w:b/>
                <w:bCs/>
                <w:color w:val="0F172A"/>
                <w:sz w:val="19"/>
                <w:szCs w:val="19"/>
              </w:rPr>
              <w:t xml:space="preserve">diagnóstico</w:t>
            </w:r>
            <w:r>
              <w:rPr>
                <w:color w:val="334155"/>
                <w:sz w:val="19"/>
                <w:szCs w:val="19"/>
              </w:rPr>
              <w:t xml:space="preserve"> (zona A).</w:t>
            </w:r>
          </w:p>
          <w:p>
            <w:pPr>
              <w:spacing w:after="50" w:line="260"/>
            </w:pPr>
            <w:r>
              <w:rPr>
                <w:color w:val="334155"/>
                <w:sz w:val="19"/>
                <w:szCs w:val="19"/>
              </w:rPr>
              <w:t xml:space="preserve">El uso de la </w:t>
            </w:r>
            <w:r>
              <w:rPr>
                <w:b/>
                <w:bCs/>
                <w:color w:val="0F172A"/>
                <w:sz w:val="19"/>
                <w:szCs w:val="19"/>
              </w:rPr>
              <w:t xml:space="preserve">ClaveÚnica</w:t>
            </w:r>
            <w:r>
              <w:rPr>
                <w:color w:val="334155"/>
                <w:sz w:val="19"/>
                <w:szCs w:val="19"/>
              </w:rPr>
              <w:t xml:space="preserve"> de personas: se usan credenciales de servicio.</w:t>
            </w:r>
          </w:p>
        </w:tc>
      </w:tr>
    </w:tbl>
    <w:p>
      <w:pPr>
        <w:spacing w:after="140" w:before="0" w:line="120"/>
      </w:pPr>
    </w:p>
    <w:p>
      <w:pPr>
        <w:keepNext/>
        <w:pageBreakBefore/>
        <w:spacing w:after="60"/>
      </w:pPr>
      <w:r>
        <w:rPr>
          <w:rFonts w:ascii="Consolas" w:cs="Consolas" w:eastAsia="Consolas" w:hAnsi="Consolas"/>
          <w:b/>
          <w:bCs/>
          <w:color w:val="0D9488"/>
          <w:spacing w:val="30"/>
          <w:sz w:val="16"/>
          <w:szCs w:val="16"/>
        </w:rPr>
        <w:t xml:space="preserve">SECCIÓN 04</w:t>
      </w:r>
      <w:r>
        <w:rPr>
          <w:rFonts w:ascii="Consolas" w:cs="Consolas" w:eastAsia="Consolas" w:hAnsi="Consolas"/>
          <w:color w:val="94A3B8"/>
          <w:sz w:val="16"/>
          <w:szCs w:val="16"/>
        </w:rPr>
        <w:t xml:space="preserve">  /  proceso</w:t>
      </w:r>
    </w:p>
    <w:p>
      <w:pPr>
        <w:pStyle w:val="Heading1"/>
        <w:keepNext/>
        <w:pBdr>
          <w:bottom w:val="single" w:color="E2E8F0" w:sz="6" w:space="6"/>
        </w:pBdr>
        <w:spacing w:after="160"/>
      </w:pPr>
      <w:r>
        <w:rPr>
          <w:rFonts w:ascii="Calibri" w:cs="Calibri" w:eastAsia="Calibri" w:hAnsi="Calibri"/>
          <w:b/>
          <w:bCs/>
          <w:color w:val="0F172A"/>
          <w:sz w:val="34"/>
          <w:szCs w:val="34"/>
        </w:rPr>
        <w:t xml:space="preserve">Cómo funciona paso a paso (técnico)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Para costear y construir hay que describir el intercambio por el servicio oficial, con su control en cada paso.</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Especificar el recorrido de una licencia por el canal de la Red de Interoperabilidad.</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Operaciones del servicio y campos a confirmar con la documentación de FONASA al otorgarlo (sección 04 del Informe 08.3.1).</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4.1  </w:t>
      </w:r>
      <w:r>
        <w:rPr>
          <w:rFonts w:ascii="Calibri" w:cs="Calibri" w:eastAsia="Calibri" w:hAnsi="Calibri"/>
          <w:b/>
          <w:bCs/>
          <w:color w:val="0F172A"/>
          <w:sz w:val="25"/>
          <w:szCs w:val="25"/>
        </w:rPr>
        <w:t xml:space="preserve">El modelo, en términos técnicos</w:t>
      </w:r>
    </w:p>
    <w:p>
      <w:pPr>
        <w:spacing w:after="140" w:before="0" w:line="276"/>
        <w:jc w:val="left"/>
      </w:pPr>
      <w:r>
        <w:rPr>
          <w:rFonts w:ascii="Calibri" w:cs="Calibri" w:eastAsia="Calibri" w:hAnsi="Calibri"/>
          <w:color w:val="334155"/>
          <w:sz w:val="18"/>
          <w:szCs w:val="18"/>
        </w:rPr>
        <w:t xml:space="preserve">Un servicio web de interoperabilidad es un conjunto de </w:t>
      </w:r>
      <w:r>
        <w:rPr>
          <w:rFonts w:ascii="Calibri" w:cs="Calibri" w:eastAsia="Calibri" w:hAnsi="Calibri"/>
          <w:b/>
          <w:bCs/>
          <w:color w:val="0F172A"/>
          <w:sz w:val="18"/>
          <w:szCs w:val="18"/>
        </w:rPr>
        <w:t xml:space="preserve">operaciones</w:t>
      </w:r>
      <w:r>
        <w:rPr>
          <w:rFonts w:ascii="Calibri" w:cs="Calibri" w:eastAsia="Calibri" w:hAnsi="Calibri"/>
          <w:color w:val="334155"/>
          <w:sz w:val="18"/>
          <w:szCs w:val="18"/>
        </w:rPr>
        <w:t xml:space="preserve"> publicadas por una institución para que otras las consuman de forma programática, con un </w:t>
      </w:r>
      <w:r>
        <w:rPr>
          <w:rFonts w:ascii="Calibri" w:cs="Calibri" w:eastAsia="Calibri" w:hAnsi="Calibri"/>
          <w:b/>
          <w:bCs/>
          <w:color w:val="0F172A"/>
          <w:sz w:val="18"/>
          <w:szCs w:val="18"/>
        </w:rPr>
        <w:t xml:space="preserve">contrato</w:t>
      </w:r>
      <w:r>
        <w:rPr>
          <w:rFonts w:ascii="Calibri" w:cs="Calibri" w:eastAsia="Calibri" w:hAnsi="Calibri"/>
          <w:color w:val="334155"/>
          <w:sz w:val="18"/>
          <w:szCs w:val="18"/>
        </w:rPr>
        <w:t xml:space="preserve"> que define qué se pide y qué se recibe. La DEP, con sus </w:t>
      </w:r>
      <w:r>
        <w:rPr>
          <w:rFonts w:ascii="Calibri" w:cs="Calibri" w:eastAsia="Calibri" w:hAnsi="Calibri"/>
          <w:b/>
          <w:bCs/>
          <w:color w:val="0F172A"/>
          <w:sz w:val="18"/>
          <w:szCs w:val="18"/>
        </w:rPr>
        <w:t xml:space="preserve">credenciales de servicio</w:t>
      </w:r>
      <w:r>
        <w:rPr>
          <w:rFonts w:ascii="Calibri" w:cs="Calibri" w:eastAsia="Calibri" w:hAnsi="Calibri"/>
          <w:color w:val="334155"/>
          <w:sz w:val="18"/>
          <w:szCs w:val="18"/>
        </w:rPr>
        <w:t xml:space="preserve">, invoca esas operaciones desde el conector; FONASA responde con datos estructurados. No hay navegador, pantalla ni sesión de persona: es software hablando con software, bajo un acuerdo formal.</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200"/>
        <w:gridCol w:w="3900"/>
        <w:gridCol w:w="3540"/>
      </w:tblGrid>
      <w:tr>
        <w:trPr>
          <w:tblHeader/>
        </w:trPr>
        <w:tc>
          <w:tcPr>
            <w:tcW w:type="dxa" w:w="22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CONCEPTO</w:t>
            </w:r>
          </w:p>
        </w:tc>
        <w:tc>
          <w:tcPr>
            <w:tcW w:type="dxa" w:w="39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QUÉ ES</w:t>
            </w:r>
          </w:p>
        </w:tc>
        <w:tc>
          <w:tcPr>
            <w:tcW w:type="dxa" w:w="35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CÓMO LO TRATA EL CONECTOR</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Credencial de servicio</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Identificación institucional que FONASA entrega al otorgar el servicio</w:t>
            </w:r>
          </w:p>
        </w:tc>
        <w:tc>
          <w:tcPr>
            <w:tcW w:type="dxa" w:w="35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Se guarda en el almacén de secretos; no es la ClaveÚnica de una persona</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Operación de consulta</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Pide el listado o el detalle de licencias</w:t>
            </w:r>
          </w:p>
        </w:tc>
        <w:tc>
          <w:tcPr>
            <w:tcW w:type="dxa" w:w="35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Consulta periódica; descarta la zona A (diagnóstico)</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Operación de envío</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Entrega la zona C para que FONASA la registre</w:t>
            </w:r>
          </w:p>
        </w:tc>
        <w:tc>
          <w:tcPr>
            <w:tcW w:type="dxa" w:w="35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Se invoca solo tras la aprobación del encargado</w:t>
            </w:r>
          </w:p>
        </w:tc>
      </w:tr>
      <w:tr>
        <w:trPr>
          <w:cantSplit/>
        </w:trPr>
        <w:tc>
          <w:tcPr>
            <w:tcW w:type="dxa" w:w="2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Acuse</w:t>
            </w:r>
          </w:p>
        </w:tc>
        <w:tc>
          <w:tcPr>
            <w:tcW w:type="dxa" w:w="3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Respuesta formal que confirma la recepción</w:t>
            </w:r>
          </w:p>
        </w:tc>
        <w:tc>
          <w:tcPr>
            <w:tcW w:type="dxa" w:w="35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Se guarda como respaldo del envío y del plazo</w:t>
            </w:r>
          </w:p>
        </w:tc>
      </w:tr>
    </w:tbl>
    <w:p>
      <w:pPr>
        <w:spacing w:after="120" w:before="0" w:line="120"/>
      </w:pPr>
    </w:p>
    <w:p>
      <w:pPr>
        <w:pStyle w:val="Heading2"/>
        <w:keepNext/>
        <w:spacing w:after="120" w:before="260"/>
      </w:pPr>
      <w:r>
        <w:rPr>
          <w:rFonts w:ascii="Consolas" w:cs="Consolas" w:eastAsia="Consolas" w:hAnsi="Consolas"/>
          <w:b/>
          <w:bCs/>
          <w:color w:val="0D9488"/>
          <w:sz w:val="22"/>
          <w:szCs w:val="22"/>
        </w:rPr>
        <w:t xml:space="preserve">4.2  </w:t>
      </w:r>
      <w:r>
        <w:rPr>
          <w:rFonts w:ascii="Calibri" w:cs="Calibri" w:eastAsia="Calibri" w:hAnsi="Calibri"/>
          <w:b/>
          <w:bCs/>
          <w:color w:val="0F172A"/>
          <w:sz w:val="25"/>
          <w:szCs w:val="25"/>
        </w:rPr>
        <w:t xml:space="preserve">Paso a paso de una licencia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0"/>
        <w:gridCol w:w="3100"/>
        <w:gridCol w:w="1300"/>
        <w:gridCol w:w="1200"/>
        <w:gridCol w:w="3540"/>
      </w:tblGrid>
      <w:tr>
        <w:trPr>
          <w:tblHeader/>
        </w:trPr>
        <w:tc>
          <w:tcPr>
            <w:tcW w:type="dxa" w:w="5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w:t>
            </w:r>
          </w:p>
        </w:tc>
        <w:tc>
          <w:tcPr>
            <w:tcW w:type="dxa" w:w="31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PASO</w:t>
            </w:r>
          </w:p>
        </w:tc>
        <w:tc>
          <w:tcPr>
            <w:tcW w:type="dxa" w:w="13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OPERACIÓN</w:t>
            </w:r>
          </w:p>
        </w:tc>
        <w:tc>
          <w:tcPr>
            <w:tcW w:type="dxa" w:w="12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ACTOR</w:t>
            </w:r>
          </w:p>
        </w:tc>
        <w:tc>
          <w:tcPr>
            <w:tcW w:type="dxa" w:w="35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CONTROL</w:t>
            </w:r>
          </w:p>
        </w:tc>
      </w:tr>
      <w:tr>
        <w:trPr>
          <w:cantSplit/>
        </w:trPr>
        <w:tc>
          <w:tcPr>
            <w:tcW w:type="dxa" w:w="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4"/>
                <w:szCs w:val="14"/>
              </w:rPr>
              <w:t xml:space="preserve">1</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Consultar licencias nuevas o con cambio de estado</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Consulta</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Sistema</w:t>
            </w:r>
          </w:p>
        </w:tc>
        <w:tc>
          <w:tcPr>
            <w:tcW w:type="dxa" w:w="35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Credenciales de servicio; solo campos permitidos (sin zona A)</w:t>
            </w:r>
          </w:p>
        </w:tc>
      </w:tr>
      <w:tr>
        <w:trPr>
          <w:cantSplit/>
        </w:trPr>
        <w:tc>
          <w:tcPr>
            <w:tcW w:type="dxa" w:w="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4"/>
                <w:szCs w:val="14"/>
              </w:rPr>
              <w:t xml:space="preserve">2</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Calcular vencimiento y clasificar con IA local</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Interno</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Sistema · IA</w:t>
            </w:r>
          </w:p>
        </w:tc>
        <w:tc>
          <w:tcPr>
            <w:tcW w:type="dxa" w:w="35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Calendario hábil; la IA local prioriza y marca casos ambiguos</w:t>
            </w:r>
          </w:p>
        </w:tc>
      </w:tr>
      <w:tr>
        <w:trPr>
          <w:cantSplit/>
        </w:trPr>
        <w:tc>
          <w:tcPr>
            <w:tcW w:type="dxa" w:w="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4"/>
                <w:szCs w:val="14"/>
              </w:rPr>
              <w:t xml:space="preserve">3</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Cruzar con remuneraciones y preparar la zona C</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Interno</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Sistema</w:t>
            </w:r>
          </w:p>
        </w:tc>
        <w:tc>
          <w:tcPr>
            <w:tcW w:type="dxa" w:w="35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Coincidencia exacta de RUT; excepción si falta</w:t>
            </w:r>
          </w:p>
        </w:tc>
      </w:tr>
      <w:tr>
        <w:trPr>
          <w:cantSplit/>
        </w:trPr>
        <w:tc>
          <w:tcPr>
            <w:tcW w:type="dxa" w:w="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4"/>
                <w:szCs w:val="14"/>
              </w:rPr>
              <w:t xml:space="preserve">4</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Mostrar el resumen y esperar aprobación</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Interno</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Persona</w:t>
            </w:r>
          </w:p>
        </w:tc>
        <w:tc>
          <w:tcPr>
            <w:tcW w:type="dxa" w:w="35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Sin aprobación no hay envío</w:t>
            </w:r>
          </w:p>
        </w:tc>
      </w:tr>
      <w:tr>
        <w:trPr>
          <w:cantSplit/>
        </w:trPr>
        <w:tc>
          <w:tcPr>
            <w:tcW w:type="dxa" w:w="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4"/>
                <w:szCs w:val="14"/>
              </w:rPr>
              <w:t xml:space="preserve">5</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Enviar la zona C</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Envío</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Sistema</w:t>
            </w:r>
          </w:p>
        </w:tc>
        <w:tc>
          <w:tcPr>
            <w:tcW w:type="dxa" w:w="35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Idempotencia por folio; registro de la invocación</w:t>
            </w:r>
          </w:p>
        </w:tc>
      </w:tr>
      <w:tr>
        <w:trPr>
          <w:cantSplit/>
        </w:trPr>
        <w:tc>
          <w:tcPr>
            <w:tcW w:type="dxa" w:w="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4"/>
                <w:szCs w:val="14"/>
              </w:rPr>
              <w:t xml:space="preserve">6</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Leer el acuse oficial y actualizar el estado</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Consulta</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Sistema</w:t>
            </w:r>
          </w:p>
        </w:tc>
        <w:tc>
          <w:tcPr>
            <w:tcW w:type="dxa" w:w="35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Reintento controlado si falla</w:t>
            </w:r>
          </w:p>
        </w:tc>
      </w:tr>
      <w:tr>
        <w:trPr>
          <w:cantSplit/>
        </w:trPr>
        <w:tc>
          <w:tcPr>
            <w:tcW w:type="dxa" w:w="5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4"/>
                <w:szCs w:val="14"/>
              </w:rPr>
              <w:t xml:space="preserve">7</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Registrar folio, fecha y acuse</w:t>
            </w:r>
          </w:p>
        </w:tc>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Interno</w:t>
            </w:r>
          </w:p>
        </w:tc>
        <w:tc>
          <w:tcPr>
            <w:tcW w:type="dxa" w:w="12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Sistema</w:t>
            </w:r>
          </w:p>
        </w:tc>
        <w:tc>
          <w:tcPr>
            <w:tcW w:type="dxa" w:w="35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Registro sin datos clínicos</w:t>
            </w:r>
          </w:p>
        </w:tc>
      </w:tr>
    </w:tbl>
    <w:p>
      <w:pPr>
        <w:spacing w:after="120" w:before="0" w:line="120"/>
      </w:pPr>
    </w:p>
    <w:p>
      <w:pPr>
        <w:spacing w:after="140" w:before="0" w:line="276"/>
        <w:jc w:val="left"/>
      </w:pPr>
      <w:r>
        <w:rPr>
          <w:rFonts w:ascii="Calibri" w:cs="Calibri" w:eastAsia="Calibri" w:hAnsi="Calibri"/>
          <w:color w:val="334155"/>
          <w:sz w:val="17"/>
          <w:szCs w:val="17"/>
        </w:rPr>
        <w:t xml:space="preserve">Los </w:t>
      </w:r>
      <w:r>
        <w:rPr>
          <w:rFonts w:ascii="Calibri" w:cs="Calibri" w:eastAsia="Calibri" w:hAnsi="Calibri"/>
          <w:b/>
          <w:bCs/>
          <w:color w:val="0F172A"/>
          <w:sz w:val="17"/>
          <w:szCs w:val="17"/>
        </w:rPr>
        <w:t xml:space="preserve">nombres exactos</w:t>
      </w:r>
      <w:r>
        <w:rPr>
          <w:rFonts w:ascii="Calibri" w:cs="Calibri" w:eastAsia="Calibri" w:hAnsi="Calibri"/>
          <w:color w:val="334155"/>
          <w:sz w:val="17"/>
          <w:szCs w:val="17"/>
        </w:rPr>
        <w:t xml:space="preserve"> de las operaciones, sus campos y el formato de respuesta los entrega FONASA en la </w:t>
      </w:r>
      <w:r>
        <w:rPr>
          <w:rFonts w:ascii="Calibri" w:cs="Calibri" w:eastAsia="Calibri" w:hAnsi="Calibri"/>
          <w:b/>
          <w:bCs/>
          <w:color w:val="0F172A"/>
          <w:sz w:val="17"/>
          <w:szCs w:val="17"/>
        </w:rPr>
        <w:t xml:space="preserve">documentación del servicio</w:t>
      </w:r>
      <w:r>
        <w:rPr>
          <w:rFonts w:ascii="Calibri" w:cs="Calibri" w:eastAsia="Calibri" w:hAnsi="Calibri"/>
          <w:color w:val="334155"/>
          <w:sz w:val="17"/>
          <w:szCs w:val="17"/>
        </w:rPr>
        <w:t xml:space="preserve"> al otorgarlo (sección 04 del Informe 08.3.1). El Compendio de la SUSESO especifica el contenido de la zona C que el servicio debe cubrir.</w:t>
      </w:r>
    </w:p>
    <w:p>
      <w:pPr>
        <w:keepNext/>
        <w:pageBreakBefore/>
        <w:spacing w:after="60"/>
      </w:pPr>
      <w:r>
        <w:rPr>
          <w:rFonts w:ascii="Consolas" w:cs="Consolas" w:eastAsia="Consolas" w:hAnsi="Consolas"/>
          <w:b/>
          <w:bCs/>
          <w:color w:val="0D9488"/>
          <w:spacing w:val="30"/>
          <w:sz w:val="16"/>
          <w:szCs w:val="16"/>
        </w:rPr>
        <w:t xml:space="preserve">SECCIÓN 05</w:t>
      </w:r>
      <w:r>
        <w:rPr>
          <w:rFonts w:ascii="Consolas" w:cs="Consolas" w:eastAsia="Consolas" w:hAnsi="Consolas"/>
          <w:color w:val="94A3B8"/>
          <w:sz w:val="16"/>
          <w:szCs w:val="16"/>
        </w:rPr>
        <w:t xml:space="preserve">  /  arquitectura</w:t>
      </w:r>
    </w:p>
    <w:p>
      <w:pPr>
        <w:pStyle w:val="Heading1"/>
        <w:keepNext/>
        <w:pBdr>
          <w:bottom w:val="single" w:color="E2E8F0" w:sz="6" w:space="6"/>
        </w:pBdr>
        <w:spacing w:after="160"/>
      </w:pPr>
      <w:r>
        <w:rPr>
          <w:rFonts w:ascii="Calibri" w:cs="Calibri" w:eastAsia="Calibri" w:hAnsi="Calibri"/>
          <w:b/>
          <w:bCs/>
          <w:color w:val="0F172A"/>
          <w:sz w:val="34"/>
          <w:szCs w:val="34"/>
        </w:rPr>
        <w:t xml:space="preserve">Arquitectura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El conector no debe ser una pieza aislada: su información tiene que llegar al tablero común.</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Describir los componentes, dónde corren y cómo se comunican.</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Tres capas en el servidor de la DEP: conector, motor e IA, y GDP-SLEP Studio. Comparte seguridad con el Validador (Informe 07).</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5.1  </w:t>
      </w:r>
      <w:r>
        <w:rPr>
          <w:rFonts w:ascii="Calibri" w:cs="Calibri" w:eastAsia="Calibri" w:hAnsi="Calibri"/>
          <w:b/>
          <w:bCs/>
          <w:color w:val="0F172A"/>
          <w:sz w:val="25"/>
          <w:szCs w:val="25"/>
        </w:rPr>
        <w:t xml:space="preserve">Vista de componentes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300"/>
        <w:gridCol w:w="300"/>
        <w:gridCol w:w="2600"/>
        <w:gridCol w:w="300"/>
        <w:gridCol w:w="4140"/>
      </w:tblGrid>
      <w:tr>
        <w:trPr>
          <w:cantSplit/>
        </w:trPr>
        <w:tc>
          <w:tcPr>
            <w:tcW w:type="dxa" w:w="2300"/>
            <w:tcBorders>
              <w:top w:val="single" w:color="0F172A" w:sz="6"/>
              <w:left w:val="single" w:color="0F172A" w:sz="6"/>
              <w:bottom w:val="single" w:color="0F172A" w:sz="6"/>
              <w:right w:val="single" w:color="0F172A" w:sz="6"/>
            </w:tcBorders>
            <w:shd w:fill="0F172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CCFBF1"/>
                <w:sz w:val="13"/>
                <w:szCs w:val="13"/>
              </w:rPr>
              <w:t xml:space="preserve">EXTERNO</w:t>
            </w:r>
          </w:p>
          <w:p>
            <w:pPr>
              <w:spacing w:after="20" w:line="240"/>
              <w:jc w:val="left"/>
            </w:pPr>
            <w:r>
              <w:rPr>
                <w:b/>
                <w:bCs/>
                <w:color w:val="FFFFFF"/>
                <w:sz w:val="17"/>
                <w:szCs w:val="17"/>
              </w:rPr>
              <w:t xml:space="preserve">FONASA</w:t>
            </w:r>
          </w:p>
          <w:p>
            <w:pPr>
              <w:spacing w:after="0" w:line="230"/>
              <w:jc w:val="left"/>
            </w:pPr>
            <w:r>
              <w:rPr>
                <w:color w:val="94A3B8"/>
                <w:sz w:val="14"/>
                <w:szCs w:val="14"/>
              </w:rPr>
              <w:t xml:space="preserve">servicio oficial</w:t>
            </w:r>
          </w:p>
        </w:tc>
        <w:tc>
          <w:tcPr>
            <w:tcW w:type="dxa" w:w="300"/>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line="252"/>
              <w:jc w:val="left"/>
            </w:pPr>
          </w:p>
        </w:tc>
        <w:tc>
          <w:tcPr>
            <w:tcW w:type="dxa" w:w="2600"/>
            <w:tcBorders>
              <w:top w:val="single" w:color="0F172A" w:sz="6"/>
              <w:left w:val="single" w:color="0F172A" w:sz="6"/>
              <w:bottom w:val="single" w:color="0F172A" w:sz="6"/>
              <w:right w:val="single" w:color="0F172A" w:sz="6"/>
            </w:tcBorders>
            <w:shd w:fill="0F172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CCFBF1"/>
                <w:sz w:val="13"/>
                <w:szCs w:val="13"/>
              </w:rPr>
              <w:t xml:space="preserve">CAPAS 1 Y 2</w:t>
            </w:r>
          </w:p>
          <w:p>
            <w:pPr>
              <w:spacing w:after="20" w:line="240"/>
              <w:jc w:val="left"/>
            </w:pPr>
            <w:r>
              <w:rPr>
                <w:b/>
                <w:bCs/>
                <w:color w:val="FFFFFF"/>
                <w:sz w:val="17"/>
                <w:szCs w:val="17"/>
              </w:rPr>
              <w:t xml:space="preserve">Conector e inteligencia</w:t>
            </w:r>
          </w:p>
          <w:p>
            <w:pPr>
              <w:spacing w:after="0" w:line="230"/>
              <w:jc w:val="left"/>
            </w:pPr>
            <w:r>
              <w:rPr>
                <w:color w:val="94A3B8"/>
                <w:sz w:val="14"/>
                <w:szCs w:val="14"/>
              </w:rPr>
              <w:t xml:space="preserve">Python · FastAPI · IA local</w:t>
            </w:r>
          </w:p>
        </w:tc>
        <w:tc>
          <w:tcPr>
            <w:tcW w:type="dxa" w:w="300"/>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line="252"/>
              <w:jc w:val="left"/>
            </w:pPr>
          </w:p>
        </w:tc>
        <w:tc>
          <w:tcPr>
            <w:tcW w:type="dxa" w:w="4140"/>
            <w:tcBorders>
              <w:top w:val="single" w:color="0F172A" w:sz="6"/>
              <w:left w:val="single" w:color="0F172A" w:sz="6"/>
              <w:bottom w:val="single" w:color="0F172A" w:sz="6"/>
              <w:right w:val="single" w:color="0F172A" w:sz="6"/>
            </w:tcBorders>
            <w:shd w:fill="0F172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CCFBF1"/>
                <w:sz w:val="13"/>
                <w:szCs w:val="13"/>
              </w:rPr>
              <w:t xml:space="preserve">CAPA 3</w:t>
            </w:r>
          </w:p>
          <w:p>
            <w:pPr>
              <w:spacing w:after="20" w:line="240"/>
              <w:jc w:val="left"/>
            </w:pPr>
            <w:r>
              <w:rPr>
                <w:b/>
                <w:bCs/>
                <w:color w:val="FFFFFF"/>
                <w:sz w:val="17"/>
                <w:szCs w:val="17"/>
              </w:rPr>
              <w:t xml:space="preserve">GDP-SLEP Studio</w:t>
            </w:r>
          </w:p>
          <w:p>
            <w:pPr>
              <w:spacing w:after="0" w:line="230"/>
              <w:jc w:val="left"/>
            </w:pPr>
            <w:r>
              <w:rPr>
                <w:color w:val="94A3B8"/>
                <w:sz w:val="14"/>
                <w:szCs w:val="14"/>
              </w:rPr>
              <w:t xml:space="preserve">NestJS · Angular · MySQL</w:t>
            </w:r>
          </w:p>
        </w:tc>
      </w:tr>
      <w:tr>
        <w:trPr>
          <w:cantSplit/>
        </w:trPr>
        <w:tc>
          <w:tcPr>
            <w:tcW w:type="dxa" w:w="2300"/>
            <w:tcBorders>
              <w:top w:val="single" w:color="0F172A" w:sz="6"/>
              <w:left w:val="single" w:color="0F172A" w:sz="6"/>
              <w:bottom w:val="single" w:color="0F172A" w:sz="6"/>
              <w:right w:val="single" w:color="0F172A" w:sz="6"/>
            </w:tcBorders>
            <w:shd w:fill="F8FAFC" w:color="auto" w:val="clear"/>
            <w:tcMar>
              <w:top w:type="dxa" w:w="90"/>
              <w:left w:type="dxa" w:w="110"/>
              <w:bottom w:type="dxa" w:w="90"/>
              <w:right w:type="dxa" w:w="110"/>
            </w:tcMar>
            <w:vAlign w:val="center"/>
          </w:tcPr>
          <w:p>
            <w:pPr>
              <w:spacing w:after="20" w:line="240"/>
              <w:jc w:val="left"/>
            </w:pPr>
            <w:r>
              <w:rPr>
                <w:b/>
                <w:bCs/>
                <w:color w:val="0F172A"/>
                <w:sz w:val="17"/>
                <w:szCs w:val="17"/>
              </w:rPr>
              <w:t xml:space="preserve">Servicio por la Red de Interoperabilidad</w:t>
            </w:r>
          </w:p>
          <w:p>
            <w:pPr>
              <w:spacing w:after="0" w:line="230"/>
              <w:jc w:val="left"/>
            </w:pPr>
            <w:r>
              <w:rPr>
                <w:color w:val="64748B"/>
                <w:sz w:val="14"/>
                <w:szCs w:val="14"/>
              </w:rPr>
              <w:t xml:space="preserve">operaciones de consulta y envío</w:t>
            </w:r>
          </w:p>
        </w:tc>
        <w:tc>
          <w:tcPr>
            <w:tcW w:type="dxa" w:w="30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2600"/>
            <w:tcBorders>
              <w:top w:val="single" w:color="0D9488" w:sz="12"/>
              <w:left w:val="single" w:color="0D9488" w:sz="12"/>
              <w:bottom w:val="single" w:color="0D9488" w:sz="12"/>
              <w:right w:val="single" w:color="0D9488" w:sz="12"/>
            </w:tcBorders>
            <w:shd w:fill="F0FDFA" w:color="auto" w:val="clear"/>
            <w:tcMar>
              <w:top w:type="dxa" w:w="90"/>
              <w:left w:type="dxa" w:w="110"/>
              <w:bottom w:type="dxa" w:w="90"/>
              <w:right w:type="dxa" w:w="110"/>
            </w:tcMar>
            <w:vAlign w:val="center"/>
          </w:tcPr>
          <w:p>
            <w:pPr>
              <w:spacing w:after="20" w:line="240"/>
              <w:jc w:val="left"/>
            </w:pPr>
            <w:r>
              <w:rPr>
                <w:b/>
                <w:bCs/>
                <w:color w:val="0F172A"/>
                <w:sz w:val="17"/>
                <w:szCs w:val="17"/>
              </w:rPr>
              <w:t xml:space="preserve">Conector del servicio</w:t>
            </w:r>
          </w:p>
          <w:p>
            <w:pPr>
              <w:spacing w:after="0" w:line="230"/>
              <w:jc w:val="left"/>
            </w:pPr>
            <w:r>
              <w:rPr>
                <w:color w:val="64748B"/>
                <w:sz w:val="14"/>
                <w:szCs w:val="14"/>
              </w:rPr>
              <w:t xml:space="preserve">consulta, envía y lee el acuse con credenciales de servicio</w:t>
            </w:r>
          </w:p>
        </w:tc>
        <w:tc>
          <w:tcPr>
            <w:tcW w:type="dxa" w:w="30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4140"/>
            <w:tcBorders>
              <w:top w:val="single" w:color="0D9488" w:sz="12"/>
              <w:left w:val="single" w:color="0D9488" w:sz="12"/>
              <w:bottom w:val="single" w:color="0D9488" w:sz="12"/>
              <w:right w:val="single" w:color="0D9488" w:sz="12"/>
            </w:tcBorders>
            <w:shd w:fill="F0FDFA" w:color="auto" w:val="clear"/>
            <w:tcMar>
              <w:top w:type="dxa" w:w="90"/>
              <w:left w:type="dxa" w:w="110"/>
              <w:bottom w:type="dxa" w:w="90"/>
              <w:right w:type="dxa" w:w="110"/>
            </w:tcMar>
            <w:vAlign w:val="center"/>
          </w:tcPr>
          <w:p>
            <w:pPr>
              <w:spacing w:after="20" w:line="240"/>
              <w:jc w:val="left"/>
            </w:pPr>
            <w:r>
              <w:rPr>
                <w:b/>
                <w:bCs/>
                <w:color w:val="0F172A"/>
                <w:sz w:val="17"/>
                <w:szCs w:val="17"/>
              </w:rPr>
              <w:t xml:space="preserve">Módulo Licencias</w:t>
            </w:r>
          </w:p>
          <w:p>
            <w:pPr>
              <w:spacing w:after="0" w:line="230"/>
              <w:jc w:val="left"/>
            </w:pPr>
            <w:r>
              <w:rPr>
                <w:color w:val="64748B"/>
                <w:sz w:val="14"/>
                <w:szCs w:val="14"/>
              </w:rPr>
              <w:t xml:space="preserve">casos, cola, aprobación, registro</w:t>
            </w:r>
          </w:p>
        </w:tc>
      </w:tr>
      <w:tr>
        <w:trPr>
          <w:cantSplit/>
        </w:trPr>
        <w:tc>
          <w:tcPr>
            <w:tcW w:type="dxa" w:w="2300"/>
            <w:tcBorders>
              <w:top w:val="single" w:color="0F172A" w:sz="6"/>
              <w:left w:val="single" w:color="0F172A" w:sz="6"/>
              <w:bottom w:val="single" w:color="0F172A" w:sz="6"/>
              <w:right w:val="single" w:color="0F172A" w:sz="6"/>
            </w:tcBorders>
            <w:shd w:fill="F8FAFC" w:color="auto" w:val="clear"/>
            <w:tcMar>
              <w:top w:type="dxa" w:w="90"/>
              <w:left w:type="dxa" w:w="110"/>
              <w:bottom w:type="dxa" w:w="90"/>
              <w:right w:type="dxa" w:w="110"/>
            </w:tcMar>
            <w:vAlign w:val="center"/>
          </w:tcPr>
          <w:p>
            <w:pPr>
              <w:spacing w:after="20" w:line="240"/>
              <w:jc w:val="left"/>
            </w:pPr>
            <w:r>
              <w:rPr>
                <w:b/>
                <w:bCs/>
                <w:color w:val="0F172A"/>
                <w:sz w:val="17"/>
                <w:szCs w:val="17"/>
              </w:rPr>
              <w:t xml:space="preserve">Acuerdo formal DEP–FONASA</w:t>
            </w:r>
          </w:p>
          <w:p>
            <w:pPr>
              <w:spacing w:after="0" w:line="230"/>
              <w:jc w:val="left"/>
            </w:pPr>
            <w:r>
              <w:rPr>
                <w:color w:val="64748B"/>
                <w:sz w:val="14"/>
                <w:szCs w:val="14"/>
              </w:rPr>
              <w:t xml:space="preserve">Red de Interoperabilidad</w:t>
            </w:r>
          </w:p>
        </w:tc>
        <w:tc>
          <w:tcPr>
            <w:tcW w:type="dxa" w:w="30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2600"/>
            <w:tcBorders>
              <w:top w:val="single" w:color="0D9488" w:sz="6"/>
              <w:left w:val="single" w:color="0D9488" w:sz="6"/>
              <w:bottom w:val="single" w:color="0D9488" w:sz="6"/>
              <w:right w:val="single" w:color="0D9488" w:sz="6"/>
            </w:tcBorders>
            <w:shd w:fill="F0FDFA" w:color="auto" w:val="clear"/>
            <w:tcMar>
              <w:top w:type="dxa" w:w="90"/>
              <w:left w:type="dxa" w:w="110"/>
              <w:bottom w:type="dxa" w:w="90"/>
              <w:right w:type="dxa" w:w="110"/>
            </w:tcMar>
            <w:vAlign w:val="center"/>
          </w:tcPr>
          <w:p>
            <w:pPr>
              <w:spacing w:after="20" w:line="240"/>
              <w:jc w:val="left"/>
            </w:pPr>
            <w:r>
              <w:rPr>
                <w:b/>
                <w:bCs/>
                <w:color w:val="0F172A"/>
                <w:sz w:val="17"/>
                <w:szCs w:val="17"/>
              </w:rPr>
              <w:t xml:space="preserve">Motor de plazos + LAYA</w:t>
            </w:r>
          </w:p>
          <w:p>
            <w:pPr>
              <w:spacing w:after="0" w:line="230"/>
              <w:jc w:val="left"/>
            </w:pPr>
            <w:r>
              <w:rPr>
                <w:color w:val="64748B"/>
                <w:sz w:val="14"/>
                <w:szCs w:val="14"/>
              </w:rPr>
              <w:t xml:space="preserve">calendario hábil, borrador de zona C, clasificación (modelo local)</w:t>
            </w:r>
          </w:p>
        </w:tc>
        <w:tc>
          <w:tcPr>
            <w:tcW w:type="dxa" w:w="30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414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20" w:line="240"/>
              <w:jc w:val="left"/>
            </w:pPr>
            <w:r>
              <w:rPr>
                <w:b/>
                <w:bCs/>
                <w:color w:val="0F172A"/>
                <w:sz w:val="17"/>
                <w:szCs w:val="17"/>
              </w:rPr>
              <w:t xml:space="preserve">Bandeja y tablero</w:t>
            </w:r>
          </w:p>
          <w:p>
            <w:pPr>
              <w:spacing w:after="0" w:line="230"/>
              <w:jc w:val="left"/>
            </w:pPr>
            <w:r>
              <w:rPr>
                <w:color w:val="64748B"/>
                <w:sz w:val="14"/>
                <w:szCs w:val="14"/>
              </w:rPr>
              <w:t xml:space="preserve">el encargado aprueba; la DEP supervisa</w:t>
            </w:r>
          </w:p>
        </w:tc>
      </w:tr>
      <w:tr>
        <w:trPr>
          <w:cantSplit/>
        </w:trPr>
        <w:tc>
          <w:tcPr>
            <w:tcW w:type="dxa" w:w="230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20" w:line="240"/>
              <w:jc w:val="left"/>
            </w:pPr>
            <w:r>
              <w:rPr>
                <w:b/>
                <w:bCs/>
                <w:color w:val="0F172A"/>
                <w:sz w:val="17"/>
                <w:szCs w:val="17"/>
              </w:rPr>
              <w:t xml:space="preserve">Remuneraciones del SLEP</w:t>
            </w:r>
          </w:p>
          <w:p>
            <w:pPr>
              <w:spacing w:after="0" w:line="230"/>
              <w:jc w:val="left"/>
            </w:pPr>
            <w:r>
              <w:rPr>
                <w:color w:val="64748B"/>
                <w:sz w:val="14"/>
                <w:szCs w:val="14"/>
              </w:rPr>
              <w:t xml:space="preserve">planilla estándar</w:t>
            </w:r>
          </w:p>
        </w:tc>
        <w:tc>
          <w:tcPr>
            <w:tcW w:type="dxa" w:w="30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260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20" w:line="240"/>
              <w:jc w:val="left"/>
            </w:pPr>
            <w:r>
              <w:rPr>
                <w:b/>
                <w:bCs/>
                <w:color w:val="0F172A"/>
                <w:sz w:val="17"/>
                <w:szCs w:val="17"/>
              </w:rPr>
              <w:t xml:space="preserve">Almacén de secretos</w:t>
            </w:r>
          </w:p>
          <w:p>
            <w:pPr>
              <w:spacing w:after="0" w:line="230"/>
              <w:jc w:val="left"/>
            </w:pPr>
            <w:r>
              <w:rPr>
                <w:color w:val="64748B"/>
                <w:sz w:val="14"/>
                <w:szCs w:val="14"/>
              </w:rPr>
              <w:t xml:space="preserve">credenciales de servicio institucionales</w:t>
            </w:r>
          </w:p>
        </w:tc>
        <w:tc>
          <w:tcPr>
            <w:tcW w:type="dxa" w:w="300"/>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line="252"/>
              <w:jc w:val="left"/>
            </w:pPr>
          </w:p>
        </w:tc>
        <w:tc>
          <w:tcPr>
            <w:tcW w:type="dxa" w:w="4140"/>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line="252"/>
              <w:jc w:val="left"/>
            </w:pPr>
          </w:p>
        </w:tc>
      </w:tr>
    </w:tbl>
    <w:p>
      <w:pPr>
        <w:spacing w:after="200" w:before="80"/>
      </w:pPr>
      <w:r>
        <w:rPr>
          <w:rFonts w:ascii="Consolas" w:cs="Consolas" w:eastAsia="Consolas" w:hAnsi="Consolas"/>
          <w:b/>
          <w:bCs/>
          <w:color w:val="0D9488"/>
          <w:sz w:val="15"/>
          <w:szCs w:val="15"/>
        </w:rPr>
        <w:t xml:space="preserve">FIG. 1  </w:t>
      </w:r>
      <w:r>
        <w:rPr>
          <w:rFonts w:ascii="Calibri" w:cs="Calibri" w:eastAsia="Calibri" w:hAnsi="Calibri"/>
          <w:color w:val="64748B"/>
          <w:sz w:val="16"/>
          <w:szCs w:val="16"/>
        </w:rPr>
        <w:t xml:space="preserve">Todo corre en el servidor de la DEP; el conector habla con FONASA por el canal oficial, con credenciales de servicio.</w:t>
      </w:r>
    </w:p>
    <w:p>
      <w:pPr>
        <w:pStyle w:val="Heading2"/>
        <w:keepNext/>
        <w:spacing w:after="120" w:before="260"/>
      </w:pPr>
      <w:r>
        <w:rPr>
          <w:rFonts w:ascii="Consolas" w:cs="Consolas" w:eastAsia="Consolas" w:hAnsi="Consolas"/>
          <w:b/>
          <w:bCs/>
          <w:color w:val="0D9488"/>
          <w:sz w:val="22"/>
          <w:szCs w:val="22"/>
        </w:rPr>
        <w:t xml:space="preserve">5.2  </w:t>
      </w:r>
      <w:r>
        <w:rPr>
          <w:rFonts w:ascii="Calibri" w:cs="Calibri" w:eastAsia="Calibri" w:hAnsi="Calibri"/>
          <w:b/>
          <w:bCs/>
          <w:color w:val="0F172A"/>
          <w:sz w:val="25"/>
          <w:szCs w:val="25"/>
        </w:rPr>
        <w:t xml:space="preserve">Servicios nuevos en GDP-SLEP Studio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300"/>
        <w:gridCol w:w="3700"/>
        <w:gridCol w:w="4640"/>
      </w:tblGrid>
      <w:tr>
        <w:trPr>
          <w:tblHeader/>
        </w:trPr>
        <w:tc>
          <w:tcPr>
            <w:tcW w:type="dxa" w:w="13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MÉTODO</w:t>
            </w:r>
          </w:p>
        </w:tc>
        <w:tc>
          <w:tcPr>
            <w:tcW w:type="dxa" w:w="37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SERVICIO</w:t>
            </w:r>
          </w:p>
        </w:tc>
        <w:tc>
          <w:tcPr>
            <w:tcW w:type="dxa" w:w="46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USO</w:t>
            </w:r>
          </w:p>
        </w:tc>
      </w:tr>
      <w:tr>
        <w:trPr>
          <w:cantSplit/>
        </w:trPr>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GET</w:t>
            </w:r>
          </w:p>
        </w:tc>
        <w:tc>
          <w:tcPr>
            <w:tcW w:type="dxa" w:w="3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/api/licencias/cola?slep=:id</w:t>
            </w:r>
          </w:p>
        </w:tc>
        <w:tc>
          <w:tcPr>
            <w:tcW w:type="dxa" w:w="4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Cola priorizada por vencimiento</w:t>
            </w:r>
          </w:p>
        </w:tc>
      </w:tr>
      <w:tr>
        <w:trPr>
          <w:cantSplit/>
        </w:trPr>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POST · PATCH</w:t>
            </w:r>
          </w:p>
        </w:tc>
        <w:tc>
          <w:tcPr>
            <w:tcW w:type="dxa" w:w="3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/api/licencias/casos · /casos/:folio</w:t>
            </w:r>
          </w:p>
        </w:tc>
        <w:tc>
          <w:tcPr>
            <w:tcW w:type="dxa" w:w="4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Registrar una licencia y su estado</w:t>
            </w:r>
          </w:p>
        </w:tc>
      </w:tr>
      <w:tr>
        <w:trPr>
          <w:cantSplit/>
        </w:trPr>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POST</w:t>
            </w:r>
          </w:p>
        </w:tc>
        <w:tc>
          <w:tcPr>
            <w:tcW w:type="dxa" w:w="3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/api/licencias/aprobaciones</w:t>
            </w:r>
          </w:p>
        </w:tc>
        <w:tc>
          <w:tcPr>
            <w:tcW w:type="dxa" w:w="4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Registrar la aprobación del encargado antes del envío</w:t>
            </w:r>
          </w:p>
        </w:tc>
      </w:tr>
      <w:tr>
        <w:trPr>
          <w:cantSplit/>
        </w:trPr>
        <w:tc>
          <w:tcPr>
            <w:tcW w:type="dxa" w:w="1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GET</w:t>
            </w:r>
          </w:p>
        </w:tc>
        <w:tc>
          <w:tcPr>
            <w:tcW w:type="dxa" w:w="37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/api/licencias/tablero</w:t>
            </w:r>
          </w:p>
        </w:tc>
        <w:tc>
          <w:tcPr>
            <w:tcW w:type="dxa" w:w="4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Indicadores por SLEP y consolidado</w:t>
            </w:r>
          </w:p>
        </w:tc>
      </w:tr>
    </w:tbl>
    <w:p>
      <w:pPr>
        <w:spacing w:after="120" w:before="0" w:line="120"/>
      </w:pPr>
    </w:p>
    <w:p>
      <w:pPr>
        <w:spacing w:after="140" w:before="0" w:line="276"/>
        <w:jc w:val="left"/>
      </w:pPr>
      <w:r>
        <w:rPr>
          <w:rFonts w:ascii="Calibri" w:cs="Calibri" w:eastAsia="Calibri" w:hAnsi="Calibri"/>
          <w:color w:val="334155"/>
          <w:sz w:val="17"/>
          <w:szCs w:val="17"/>
        </w:rPr>
        <w:t xml:space="preserve">Estos servicios son </w:t>
      </w:r>
      <w:r>
        <w:rPr>
          <w:rFonts w:ascii="Calibri" w:cs="Calibri" w:eastAsia="Calibri" w:hAnsi="Calibri"/>
          <w:b/>
          <w:bCs/>
          <w:color w:val="0F172A"/>
          <w:sz w:val="17"/>
          <w:szCs w:val="17"/>
        </w:rPr>
        <w:t xml:space="preserve">internos de GDP-SLEP Studio</w:t>
      </w:r>
      <w:r>
        <w:rPr>
          <w:rFonts w:ascii="Calibri" w:cs="Calibri" w:eastAsia="Calibri" w:hAnsi="Calibri"/>
          <w:color w:val="334155"/>
          <w:sz w:val="17"/>
          <w:szCs w:val="17"/>
        </w:rPr>
        <w:t xml:space="preserve">, con el mismo inicio de sesión, permisos y alcance por SLEP del Validador (Informe 07).</w:t>
      </w:r>
    </w:p>
    <w:p>
      <w:pPr>
        <w:keepNext/>
        <w:pageBreakBefore/>
        <w:spacing w:after="60"/>
      </w:pPr>
      <w:r>
        <w:rPr>
          <w:rFonts w:ascii="Consolas" w:cs="Consolas" w:eastAsia="Consolas" w:hAnsi="Consolas"/>
          <w:b/>
          <w:bCs/>
          <w:color w:val="0D9488"/>
          <w:spacing w:val="30"/>
          <w:sz w:val="16"/>
          <w:szCs w:val="16"/>
        </w:rPr>
        <w:t xml:space="preserve">SECCIÓN 06</w:t>
      </w:r>
      <w:r>
        <w:rPr>
          <w:rFonts w:ascii="Consolas" w:cs="Consolas" w:eastAsia="Consolas" w:hAnsi="Consolas"/>
          <w:color w:val="94A3B8"/>
          <w:sz w:val="16"/>
          <w:szCs w:val="16"/>
        </w:rPr>
        <w:t xml:space="preserve">  /  diseño</w:t>
      </w:r>
    </w:p>
    <w:p>
      <w:pPr>
        <w:pStyle w:val="Heading1"/>
        <w:keepNext/>
        <w:pBdr>
          <w:bottom w:val="single" w:color="E2E8F0" w:sz="6" w:space="6"/>
        </w:pBdr>
        <w:spacing w:after="160"/>
      </w:pPr>
      <w:r>
        <w:rPr>
          <w:rFonts w:ascii="Calibri" w:cs="Calibri" w:eastAsia="Calibri" w:hAnsi="Calibri"/>
          <w:b/>
          <w:bCs/>
          <w:color w:val="0F172A"/>
          <w:sz w:val="34"/>
          <w:szCs w:val="34"/>
        </w:rPr>
        <w:t xml:space="preserve">Diseño del conector (FONASA y ERP)</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Un conector contra un servicio formal debe ser trazable, idempotente y resistente a interrupciones.</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Fijar las reglas de construcción que lo hacen confiable y auditable.</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Reglas de credenciales, idempotencia, manejo de errores, modo seguro y registro.</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6.1  </w:t>
      </w:r>
      <w:r>
        <w:rPr>
          <w:rFonts w:ascii="Calibri" w:cs="Calibri" w:eastAsia="Calibri" w:hAnsi="Calibri"/>
          <w:b/>
          <w:bCs/>
          <w:color w:val="0F172A"/>
          <w:sz w:val="25"/>
          <w:szCs w:val="25"/>
        </w:rPr>
        <w:t xml:space="preserve">Reglas de construcción</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00"/>
        <w:gridCol w:w="7240"/>
      </w:tblGrid>
      <w:tr>
        <w:trPr>
          <w:tblHeader/>
        </w:trPr>
        <w:tc>
          <w:tcPr>
            <w:tcW w:type="dxa" w:w="24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REGLA</w:t>
            </w:r>
          </w:p>
        </w:tc>
        <w:tc>
          <w:tcPr>
            <w:tcW w:type="dxa" w:w="72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IMPLEMENTACIÓN</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Credenciales de servicio</w:t>
            </w:r>
          </w:p>
        </w:tc>
        <w:tc>
          <w:tcPr>
            <w:tcW w:type="dxa" w:w="7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En el almacén de secretos; rotación periódica; nunca la ClaveÚnica de personas</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Contrato del servicio</w:t>
            </w:r>
          </w:p>
        </w:tc>
        <w:tc>
          <w:tcPr>
            <w:tcW w:type="dxa" w:w="7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El conector se construye contra la documentación oficial de FONASA; nada se asume</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Verificación del acuse</w:t>
            </w:r>
          </w:p>
        </w:tc>
        <w:tc>
          <w:tcPr>
            <w:tcW w:type="dxa" w:w="7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Tras cada envío, confirma el acuse oficial antes de marcar la licencia como enviada</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Idempotencia</w:t>
            </w:r>
          </w:p>
        </w:tc>
        <w:tc>
          <w:tcPr>
            <w:tcW w:type="dxa" w:w="7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Antes de enviar, verifica que el folio no fue enviado; evita duplicados</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Reintentos</w:t>
            </w:r>
          </w:p>
        </w:tc>
        <w:tc>
          <w:tcPr>
            <w:tcW w:type="dxa" w:w="7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Reintento controlado con espera creciente ante demoras o cortes del servicio</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Modo seguro</w:t>
            </w:r>
          </w:p>
        </w:tc>
        <w:tc>
          <w:tcPr>
            <w:tcW w:type="dxa" w:w="7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Si el servicio responde distinto a su contrato, se detiene, avisa y deja el caso en manual</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Datos parametrizados</w:t>
            </w:r>
          </w:p>
        </w:tc>
        <w:tc>
          <w:tcPr>
            <w:tcW w:type="dxa" w:w="7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SLEP, formatos y rutas vienen de la configuración</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Versionado</w:t>
            </w:r>
          </w:p>
        </w:tc>
        <w:tc>
          <w:tcPr>
            <w:tcW w:type="dxa" w:w="7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Cada versión del conector se guarda con fecha, cambios y pruebas</w:t>
            </w:r>
          </w:p>
        </w:tc>
      </w:tr>
    </w:tbl>
    <w:p>
      <w:pPr>
        <w:spacing w:after="120" w:before="0" w:line="120"/>
      </w:pPr>
    </w:p>
    <w:p>
      <w:pPr>
        <w:pStyle w:val="Heading2"/>
        <w:keepNext/>
        <w:spacing w:after="120" w:before="260"/>
      </w:pPr>
      <w:r>
        <w:rPr>
          <w:rFonts w:ascii="Consolas" w:cs="Consolas" w:eastAsia="Consolas" w:hAnsi="Consolas"/>
          <w:b/>
          <w:bCs/>
          <w:color w:val="0D9488"/>
          <w:sz w:val="22"/>
          <w:szCs w:val="22"/>
        </w:rPr>
        <w:t xml:space="preserve">6.2  </w:t>
      </w:r>
      <w:r>
        <w:rPr>
          <w:rFonts w:ascii="Calibri" w:cs="Calibri" w:eastAsia="Calibri" w:hAnsi="Calibri"/>
          <w:b/>
          <w:bCs/>
          <w:color w:val="0F172A"/>
          <w:sz w:val="25"/>
          <w:szCs w:val="25"/>
        </w:rPr>
        <w:t xml:space="preserve">Manejo de errores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900"/>
        <w:gridCol w:w="3400"/>
        <w:gridCol w:w="4340"/>
      </w:tblGrid>
      <w:tr>
        <w:trPr>
          <w:tblHeader/>
        </w:trPr>
        <w:tc>
          <w:tcPr>
            <w:tcW w:type="dxa" w:w="19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TIPO</w:t>
            </w:r>
          </w:p>
        </w:tc>
        <w:tc>
          <w:tcPr>
            <w:tcW w:type="dxa" w:w="34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EJEMPLO</w:t>
            </w:r>
          </w:p>
        </w:tc>
        <w:tc>
          <w:tcPr>
            <w:tcW w:type="dxa" w:w="43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RESPUESTA DEL CONECTOR</w:t>
            </w:r>
          </w:p>
        </w:tc>
      </w:tr>
      <w:tr>
        <w:trPr>
          <w:cantSplit/>
        </w:trPr>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Negocio</w:t>
            </w:r>
          </w:p>
        </w:tc>
        <w:tc>
          <w:tcPr>
            <w:tcW w:type="dxa" w:w="3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Trabajador sin remuneraciones en la planilla</w:t>
            </w:r>
          </w:p>
        </w:tc>
        <w:tc>
          <w:tcPr>
            <w:tcW w:type="dxa" w:w="4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Marca excepción, deja el caso en la bandeja manual y sigue</w:t>
            </w:r>
          </w:p>
        </w:tc>
      </w:tr>
      <w:tr>
        <w:trPr>
          <w:cantSplit/>
        </w:trPr>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Servicio</w:t>
            </w:r>
          </w:p>
        </w:tc>
        <w:tc>
          <w:tcPr>
            <w:tcW w:type="dxa" w:w="3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El servicio de FONASA no responde</w:t>
            </w:r>
          </w:p>
        </w:tc>
        <w:tc>
          <w:tcPr>
            <w:tcW w:type="dxa" w:w="4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Reintenta; si persiste, alerta si un caso se acerca al vencimiento</w:t>
            </w:r>
          </w:p>
        </w:tc>
      </w:tr>
      <w:tr>
        <w:trPr>
          <w:cantSplit/>
        </w:trPr>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Contrato</w:t>
            </w:r>
          </w:p>
        </w:tc>
        <w:tc>
          <w:tcPr>
            <w:tcW w:type="dxa" w:w="3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La respuesta no cumple el formato documentado</w:t>
            </w:r>
          </w:p>
        </w:tc>
        <w:tc>
          <w:tcPr>
            <w:tcW w:type="dxa" w:w="4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Modo seguro: se detiene y avisa</w:t>
            </w:r>
          </w:p>
        </w:tc>
      </w:tr>
      <w:tr>
        <w:trPr>
          <w:cantSplit/>
        </w:trPr>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Integridad</w:t>
            </w:r>
          </w:p>
        </w:tc>
        <w:tc>
          <w:tcPr>
            <w:tcW w:type="dxa" w:w="3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El acuse no confirma el envío</w:t>
            </w:r>
          </w:p>
        </w:tc>
        <w:tc>
          <w:tcPr>
            <w:tcW w:type="dxa" w:w="43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No marca como enviado; deja el caso para revisión</w:t>
            </w:r>
          </w:p>
        </w:tc>
      </w:tr>
    </w:tbl>
    <w:p>
      <w:pPr>
        <w:spacing w:after="120" w:before="0" w:line="120"/>
      </w:pPr>
    </w:p>
    <w:p>
      <w:pPr>
        <w:pStyle w:val="Heading2"/>
        <w:keepNext/>
        <w:spacing w:after="120" w:before="260"/>
      </w:pPr>
      <w:r>
        <w:rPr>
          <w:rFonts w:ascii="Consolas" w:cs="Consolas" w:eastAsia="Consolas" w:hAnsi="Consolas"/>
          <w:b/>
          <w:bCs/>
          <w:color w:val="0D9488"/>
          <w:sz w:val="22"/>
          <w:szCs w:val="22"/>
        </w:rPr>
        <w:t xml:space="preserve">6.3  </w:t>
      </w:r>
      <w:r>
        <w:rPr>
          <w:rFonts w:ascii="Calibri" w:cs="Calibri" w:eastAsia="Calibri" w:hAnsi="Calibri"/>
          <w:b/>
          <w:bCs/>
          <w:color w:val="0F172A"/>
          <w:sz w:val="25"/>
          <w:szCs w:val="25"/>
        </w:rPr>
        <w:t xml:space="preserve">Registro de ejecución</w:t>
      </w:r>
    </w:p>
    <w:p>
      <w:pPr>
        <w:spacing w:after="140" w:before="0" w:line="276"/>
        <w:jc w:val="left"/>
      </w:pPr>
      <w:r>
        <w:rPr>
          <w:rFonts w:ascii="Calibri" w:cs="Calibri" w:eastAsia="Calibri" w:hAnsi="Calibri"/>
          <w:color w:val="334155"/>
          <w:sz w:val="18"/>
          <w:szCs w:val="18"/>
        </w:rPr>
        <w:t xml:space="preserve">Cada consulta y cada envío quedan registrados con </w:t>
      </w:r>
      <w:r>
        <w:rPr>
          <w:rFonts w:ascii="Calibri" w:cs="Calibri" w:eastAsia="Calibri" w:hAnsi="Calibri"/>
          <w:b/>
          <w:bCs/>
          <w:color w:val="0F172A"/>
          <w:sz w:val="18"/>
          <w:szCs w:val="18"/>
        </w:rPr>
        <w:t xml:space="preserve">quién aprobó, cuándo, qué folio y con qué acuse</w:t>
      </w:r>
      <w:r>
        <w:rPr>
          <w:rFonts w:ascii="Calibri" w:cs="Calibri" w:eastAsia="Calibri" w:hAnsi="Calibri"/>
          <w:color w:val="334155"/>
          <w:sz w:val="18"/>
          <w:szCs w:val="18"/>
        </w:rPr>
        <w:t xml:space="preserve">. El registro </w:t>
      </w:r>
      <w:r>
        <w:rPr>
          <w:rFonts w:ascii="Calibri" w:cs="Calibri" w:eastAsia="Calibri" w:hAnsi="Calibri"/>
          <w:b/>
          <w:bCs/>
          <w:color w:val="0F172A"/>
          <w:sz w:val="18"/>
          <w:szCs w:val="18"/>
        </w:rPr>
        <w:t xml:space="preserve">no contiene</w:t>
      </w:r>
      <w:r>
        <w:rPr>
          <w:rFonts w:ascii="Calibri" w:cs="Calibri" w:eastAsia="Calibri" w:hAnsi="Calibri"/>
          <w:color w:val="334155"/>
          <w:sz w:val="18"/>
          <w:szCs w:val="18"/>
        </w:rPr>
        <w:t xml:space="preserve"> diagnóstico, montos de remuneraciones ni credenciales: solo identificadores de negocio, estados, acuses y tiempos.</w:t>
      </w:r>
    </w:p>
    <w:p>
      <w:pPr>
        <w:pStyle w:val="Heading2"/>
        <w:keepNext/>
        <w:spacing w:after="120" w:before="260"/>
      </w:pPr>
      <w:r>
        <w:rPr>
          <w:rFonts w:ascii="Consolas" w:cs="Consolas" w:eastAsia="Consolas" w:hAnsi="Consolas"/>
          <w:b/>
          <w:bCs/>
          <w:color w:val="0D9488"/>
          <w:sz w:val="22"/>
          <w:szCs w:val="22"/>
        </w:rPr>
        <w:t xml:space="preserve">6.4  </w:t>
      </w:r>
      <w:r>
        <w:rPr>
          <w:rFonts w:ascii="Calibri" w:cs="Calibri" w:eastAsia="Calibri" w:hAnsi="Calibri"/>
          <w:b/>
          <w:bCs/>
          <w:color w:val="0F172A"/>
          <w:sz w:val="25"/>
          <w:szCs w:val="25"/>
        </w:rPr>
        <w:t xml:space="preserve">Conector con el ERP del SLEP (Proexsi, piloto Barrancas)</w:t>
      </w:r>
    </w:p>
    <w:p>
      <w:pPr>
        <w:spacing w:after="140" w:before="0" w:line="276"/>
        <w:jc w:val="left"/>
      </w:pPr>
      <w:r>
        <w:rPr>
          <w:rFonts w:ascii="Calibri" w:cs="Calibri" w:eastAsia="Calibri" w:hAnsi="Calibri"/>
          <w:color w:val="334155"/>
          <w:sz w:val="18"/>
          <w:szCs w:val="18"/>
        </w:rPr>
        <w:t xml:space="preserve">El conector de FONASA resuelve un frente; el </w:t>
      </w:r>
      <w:r>
        <w:rPr>
          <w:rFonts w:ascii="Calibri" w:cs="Calibri" w:eastAsia="Calibri" w:hAnsi="Calibri"/>
          <w:b/>
          <w:bCs/>
          <w:color w:val="0F172A"/>
          <w:sz w:val="18"/>
          <w:szCs w:val="18"/>
        </w:rPr>
        <w:t xml:space="preserve">segundo frente es el ERP de remuneraciones del SLEP</w:t>
      </w:r>
      <w:r>
        <w:rPr>
          <w:rFonts w:ascii="Calibri" w:cs="Calibri" w:eastAsia="Calibri" w:hAnsi="Calibri"/>
          <w:color w:val="334155"/>
          <w:sz w:val="18"/>
          <w:szCs w:val="18"/>
        </w:rPr>
        <w:t xml:space="preserve">. En el piloto (Barrancas) es </w:t>
      </w:r>
      <w:r>
        <w:rPr>
          <w:rFonts w:ascii="Calibri" w:cs="Calibri" w:eastAsia="Calibri" w:hAnsi="Calibri"/>
          <w:b/>
          <w:bCs/>
          <w:color w:val="0F172A"/>
          <w:sz w:val="18"/>
          <w:szCs w:val="18"/>
        </w:rPr>
        <w:t xml:space="preserve">Proexsi</w:t>
      </w:r>
      <w:r>
        <w:rPr>
          <w:rFonts w:ascii="Calibri" w:cs="Calibri" w:eastAsia="Calibri" w:hAnsi="Calibri"/>
          <w:color w:val="334155"/>
          <w:sz w:val="18"/>
          <w:szCs w:val="18"/>
        </w:rPr>
        <w:t xml:space="preserve">. El conector del ERP es </w:t>
      </w:r>
      <w:r>
        <w:rPr>
          <w:rFonts w:ascii="Calibri" w:cs="Calibri" w:eastAsia="Calibri" w:hAnsi="Calibri"/>
          <w:b/>
          <w:bCs/>
          <w:color w:val="0F172A"/>
          <w:sz w:val="18"/>
          <w:szCs w:val="18"/>
        </w:rPr>
        <w:t xml:space="preserve">bidireccional</w:t>
      </w:r>
      <w:r>
        <w:rPr>
          <w:rFonts w:ascii="Calibri" w:cs="Calibri" w:eastAsia="Calibri" w:hAnsi="Calibri"/>
          <w:color w:val="334155"/>
          <w:sz w:val="18"/>
          <w:szCs w:val="18"/>
        </w:rPr>
        <w:t xml:space="preserve"> e </w:t>
      </w:r>
      <w:r>
        <w:rPr>
          <w:rFonts w:ascii="Calibri" w:cs="Calibri" w:eastAsia="Calibri" w:hAnsi="Calibri"/>
          <w:b/>
          <w:bCs/>
          <w:color w:val="0F172A"/>
          <w:sz w:val="18"/>
          <w:szCs w:val="18"/>
        </w:rPr>
        <w:t xml:space="preserve">idempotente</w:t>
      </w:r>
      <w:r>
        <w:rPr>
          <w:rFonts w:ascii="Calibri" w:cs="Calibri" w:eastAsia="Calibri" w:hAnsi="Calibri"/>
          <w:color w:val="334155"/>
          <w:sz w:val="18"/>
          <w:szCs w:val="18"/>
        </w:rPr>
        <w:t xml:space="preserve">, y se diseña tras un </w:t>
      </w:r>
      <w:r>
        <w:rPr>
          <w:rFonts w:ascii="Calibri" w:cs="Calibri" w:eastAsia="Calibri" w:hAnsi="Calibri"/>
          <w:b/>
          <w:bCs/>
          <w:color w:val="0F172A"/>
          <w:sz w:val="18"/>
          <w:szCs w:val="18"/>
        </w:rPr>
        <w:t xml:space="preserve">adaptador</w:t>
      </w:r>
      <w:r>
        <w:rPr>
          <w:rFonts w:ascii="Calibri" w:cs="Calibri" w:eastAsia="Calibri" w:hAnsi="Calibri"/>
          <w:color w:val="334155"/>
          <w:sz w:val="18"/>
          <w:szCs w:val="18"/>
        </w:rPr>
        <w:t xml:space="preserve"> (`ErpAdapter`) para que cambiar de ERP en otro SLEP no toque el resto del sistema. La capacidad técnica de Proexsi está </w:t>
      </w:r>
      <w:r>
        <w:rPr>
          <w:rFonts w:ascii="Calibri" w:cs="Calibri" w:eastAsia="Calibri" w:hAnsi="Calibri"/>
          <w:b/>
          <w:bCs/>
          <w:color w:val="0F172A"/>
          <w:sz w:val="18"/>
          <w:szCs w:val="18"/>
        </w:rPr>
        <w:t xml:space="preserve">por confirmar</w:t>
      </w:r>
      <w:r>
        <w:rPr>
          <w:rFonts w:ascii="Calibri" w:cs="Calibri" w:eastAsia="Calibri" w:hAnsi="Calibri"/>
          <w:color w:val="334155"/>
          <w:sz w:val="18"/>
          <w:szCs w:val="18"/>
        </w:rPr>
        <w:t xml:space="preserve">; el diseño contempla las tres vías posibles (API, archivo, carga asistida).</w:t>
      </w:r>
    </w:p>
    <w:p>
      <w:pPr>
        <w:pStyle w:val="Heading3"/>
        <w:keepNext/>
        <w:spacing w:after="80" w:before="180"/>
      </w:pPr>
      <w:r>
        <w:rPr>
          <w:rFonts w:ascii="Calibri" w:cs="Calibri" w:eastAsia="Calibri" w:hAnsi="Calibri"/>
          <w:b/>
          <w:bCs/>
          <w:color w:val="0F766E"/>
          <w:sz w:val="22"/>
          <w:szCs w:val="22"/>
        </w:rPr>
        <w:t xml:space="preserve">Las dos operaciones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850"/>
        <w:gridCol w:w="2650"/>
        <w:gridCol w:w="1900"/>
        <w:gridCol w:w="2240"/>
      </w:tblGrid>
      <w:tr>
        <w:trPr>
          <w:tblHeader/>
        </w:trPr>
        <w:tc>
          <w:tcPr>
            <w:tcW w:type="dxa" w:w="285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OPERACIÓN</w:t>
            </w:r>
          </w:p>
        </w:tc>
        <w:tc>
          <w:tcPr>
            <w:tcW w:type="dxa" w:w="265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ENTRADA</w:t>
            </w:r>
          </w:p>
        </w:tc>
        <w:tc>
          <w:tcPr>
            <w:tcW w:type="dxa" w:w="19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SALIDA</w:t>
            </w:r>
          </w:p>
        </w:tc>
        <w:tc>
          <w:tcPr>
            <w:tcW w:type="dxa" w:w="22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NOTA DE DISEÑO</w:t>
            </w:r>
          </w:p>
        </w:tc>
      </w:tr>
      <w:tr>
        <w:trPr>
          <w:cantSplit/>
        </w:trPr>
        <w:tc>
          <w:tcPr>
            <w:tcW w:type="dxa" w:w="28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4"/>
                <w:szCs w:val="14"/>
              </w:rPr>
              <w:t xml:space="preserve">leerHaberes(rut, períodos)</w:t>
            </w:r>
          </w:p>
        </w:tc>
        <w:tc>
          <w:tcPr>
            <w:tcW w:type="dxa" w:w="26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RUT del trabajador y períodos que pide la zona C</w:t>
            </w:r>
          </w:p>
        </w:tc>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Haberes estructurados por período</w:t>
            </w:r>
          </w:p>
        </w:tc>
        <w:tc>
          <w:tcPr>
            <w:tcW w:type="dxa" w:w="2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Solo lectura; se cachea el mínimo y se minimiza el dato</w:t>
            </w:r>
          </w:p>
        </w:tc>
      </w:tr>
      <w:tr>
        <w:trPr>
          <w:cantSplit/>
        </w:trPr>
        <w:tc>
          <w:tcPr>
            <w:tcW w:type="dxa" w:w="28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4"/>
                <w:szCs w:val="14"/>
              </w:rPr>
              <w:t xml:space="preserve">escribirLicencia(folio, datos)</w:t>
            </w:r>
          </w:p>
        </w:tc>
        <w:tc>
          <w:tcPr>
            <w:tcW w:type="dxa" w:w="26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Folio, días de reposo, resolución y subsidio</w:t>
            </w:r>
          </w:p>
        </w:tc>
        <w:tc>
          <w:tcPr>
            <w:tcW w:type="dxa" w:w="1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Acuse del ERP</w:t>
            </w:r>
          </w:p>
        </w:tc>
        <w:tc>
          <w:tcPr>
            <w:tcW w:type="dxa" w:w="22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Idempotente por folio: reintentar no duplica el registro</w:t>
            </w:r>
          </w:p>
        </w:tc>
      </w:tr>
    </w:tbl>
    <w:p>
      <w:pPr>
        <w:spacing w:after="120" w:before="0" w:line="120"/>
      </w:pPr>
    </w:p>
    <w:p>
      <w:pPr>
        <w:pStyle w:val="Heading3"/>
        <w:keepNext/>
        <w:spacing w:after="80" w:before="180"/>
      </w:pPr>
      <w:r>
        <w:rPr>
          <w:rFonts w:ascii="Calibri" w:cs="Calibri" w:eastAsia="Calibri" w:hAnsi="Calibri"/>
          <w:b/>
          <w:bCs/>
          <w:color w:val="0F766E"/>
          <w:sz w:val="22"/>
          <w:szCs w:val="22"/>
        </w:rPr>
        <w:t xml:space="preserve">Correspondencia de datos (zona C ↔ ERP)</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400"/>
        <w:gridCol w:w="3100"/>
        <w:gridCol w:w="3140"/>
      </w:tblGrid>
      <w:tr>
        <w:trPr>
          <w:tblHeader/>
        </w:trPr>
        <w:tc>
          <w:tcPr>
            <w:tcW w:type="dxa" w:w="34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DATO DE LA ZONA C (FONASA)</w:t>
            </w:r>
          </w:p>
        </w:tc>
        <w:tc>
          <w:tcPr>
            <w:tcW w:type="dxa" w:w="31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ORIGEN EN EL ERP</w:t>
            </w:r>
          </w:p>
        </w:tc>
        <w:tc>
          <w:tcPr>
            <w:tcW w:type="dxa" w:w="31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TRANSFORMACIÓN</w:t>
            </w:r>
          </w:p>
        </w:tc>
      </w:tr>
      <w:tr>
        <w:trPr>
          <w:cantSplit/>
        </w:trPr>
        <w:tc>
          <w:tcPr>
            <w:tcW w:type="dxa" w:w="3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4"/>
                <w:szCs w:val="14"/>
              </w:rPr>
              <w:t xml:space="preserve">Remuneraciones imponibles por período</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Haberes imponibles del período</w:t>
            </w:r>
          </w:p>
        </w:tc>
        <w:tc>
          <w:tcPr>
            <w:tcW w:type="dxa" w:w="3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Aplicar topes imponibles; cuadrar por período</w:t>
            </w:r>
          </w:p>
        </w:tc>
      </w:tr>
      <w:tr>
        <w:trPr>
          <w:cantSplit/>
        </w:trPr>
        <w:tc>
          <w:tcPr>
            <w:tcW w:type="dxa" w:w="3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4"/>
                <w:szCs w:val="14"/>
              </w:rPr>
              <w:t xml:space="preserve">Días trabajados / no trabajados</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Asistencia y novedades del período</w:t>
            </w:r>
          </w:p>
        </w:tc>
        <w:tc>
          <w:tcPr>
            <w:tcW w:type="dxa" w:w="3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Cruce con el calendario hábil</w:t>
            </w:r>
          </w:p>
        </w:tc>
      </w:tr>
      <w:tr>
        <w:trPr>
          <w:cantSplit/>
        </w:trPr>
        <w:tc>
          <w:tcPr>
            <w:tcW w:type="dxa" w:w="3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4"/>
                <w:szCs w:val="14"/>
              </w:rPr>
              <w:t xml:space="preserve">Régimen previsional y de salud</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Ficha del trabajador</w:t>
            </w:r>
          </w:p>
        </w:tc>
        <w:tc>
          <w:tcPr>
            <w:tcW w:type="dxa" w:w="3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Mapeo de códigos ERP → códigos FONASA</w:t>
            </w:r>
          </w:p>
        </w:tc>
      </w:tr>
      <w:tr>
        <w:trPr>
          <w:cantSplit/>
        </w:trPr>
        <w:tc>
          <w:tcPr>
            <w:tcW w:type="dxa" w:w="3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4"/>
                <w:szCs w:val="14"/>
              </w:rPr>
              <w:t xml:space="preserve">Licencias anteriores</w:t>
            </w:r>
          </w:p>
        </w:tc>
        <w:tc>
          <w:tcPr>
            <w:tcW w:type="dxa" w:w="3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Historial del trabajador</w:t>
            </w:r>
          </w:p>
        </w:tc>
        <w:tc>
          <w:tcPr>
            <w:tcW w:type="dxa" w:w="31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4"/>
                <w:szCs w:val="14"/>
              </w:rPr>
              <w:t xml:space="preserve">Filtrar por ventana de tiempo que pide FONASA</w:t>
            </w:r>
          </w:p>
        </w:tc>
      </w:tr>
    </w:tbl>
    <w:p>
      <w:pPr>
        <w:spacing w:after="120" w:before="0" w:line="120"/>
      </w:pPr>
    </w:p>
    <w:p>
      <w:pPr>
        <w:pStyle w:val="Heading3"/>
        <w:keepNext/>
        <w:spacing w:after="80" w:before="180"/>
      </w:pPr>
      <w:r>
        <w:rPr>
          <w:rFonts w:ascii="Calibri" w:cs="Calibri" w:eastAsia="Calibri" w:hAnsi="Calibri"/>
          <w:b/>
          <w:bCs/>
          <w:color w:val="0F766E"/>
          <w:sz w:val="22"/>
          <w:szCs w:val="22"/>
        </w:rPr>
        <w:t xml:space="preserve">Vías de conexión y recomendación para este camino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50"/>
        <w:gridCol w:w="420"/>
        <w:gridCol w:w="2550"/>
        <w:gridCol w:w="420"/>
        <w:gridCol w:w="3200"/>
      </w:tblGrid>
      <w:tr>
        <w:trPr>
          <w:cantSplit/>
        </w:trPr>
        <w:tc>
          <w:tcPr>
            <w:tcW w:type="dxa" w:w="3050"/>
            <w:tcBorders>
              <w:top w:val="single" w:color="0D9488" w:sz="6"/>
              <w:left w:val="single" w:color="0D9488" w:sz="6"/>
              <w:bottom w:val="single" w:color="0D9488" w:sz="6"/>
              <w:right w:val="single" w:color="0D9488" w:sz="6"/>
            </w:tcBorders>
            <w:shd w:fill="F0FDF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PREFERIDA</w:t>
            </w:r>
          </w:p>
          <w:p>
            <w:pPr>
              <w:spacing w:after="20" w:line="240"/>
              <w:jc w:val="left"/>
            </w:pPr>
            <w:r>
              <w:rPr>
                <w:b/>
                <w:bCs/>
                <w:color w:val="0F172A"/>
                <w:sz w:val="17"/>
                <w:szCs w:val="17"/>
              </w:rPr>
              <w:t xml:space="preserve">1 · API del ERP</w:t>
            </w:r>
          </w:p>
          <w:p>
            <w:pPr>
              <w:spacing w:after="0" w:line="230"/>
              <w:jc w:val="left"/>
            </w:pPr>
            <w:r>
              <w:rPr>
                <w:color w:val="64748B"/>
                <w:sz w:val="14"/>
                <w:szCs w:val="14"/>
              </w:rPr>
              <w:t xml:space="preserve">Sistema a sistema; la mejor</w:t>
            </w:r>
          </w:p>
        </w:tc>
        <w:tc>
          <w:tcPr>
            <w:tcW w:type="dxa" w:w="42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255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ALTERNATIVA</w:t>
            </w:r>
          </w:p>
          <w:p>
            <w:pPr>
              <w:spacing w:after="20" w:line="240"/>
              <w:jc w:val="left"/>
            </w:pPr>
            <w:r>
              <w:rPr>
                <w:b/>
                <w:bCs/>
                <w:color w:val="0F172A"/>
                <w:sz w:val="17"/>
                <w:szCs w:val="17"/>
              </w:rPr>
              <w:t xml:space="preserve">2 · Archivo acordado</w:t>
            </w:r>
          </w:p>
          <w:p>
            <w:pPr>
              <w:spacing w:after="0" w:line="230"/>
              <w:jc w:val="left"/>
            </w:pPr>
            <w:r>
              <w:rPr>
                <w:color w:val="64748B"/>
                <w:sz w:val="14"/>
                <w:szCs w:val="14"/>
              </w:rPr>
              <w:t xml:space="preserve">Exportar/importar planilla</w:t>
            </w:r>
          </w:p>
        </w:tc>
        <w:tc>
          <w:tcPr>
            <w:tcW w:type="dxa" w:w="42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320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ÚLTIMO RECURSO</w:t>
            </w:r>
          </w:p>
          <w:p>
            <w:pPr>
              <w:spacing w:after="20" w:line="240"/>
              <w:jc w:val="left"/>
            </w:pPr>
            <w:r>
              <w:rPr>
                <w:b/>
                <w:bCs/>
                <w:color w:val="0F172A"/>
                <w:sz w:val="17"/>
                <w:szCs w:val="17"/>
              </w:rPr>
              <w:t xml:space="preserve">3 · Carga asistida (robot)</w:t>
            </w:r>
          </w:p>
          <w:p>
            <w:pPr>
              <w:spacing w:after="0" w:line="230"/>
              <w:jc w:val="left"/>
            </w:pPr>
            <w:r>
              <w:rPr>
                <w:color w:val="64748B"/>
                <w:sz w:val="14"/>
                <w:szCs w:val="14"/>
              </w:rPr>
              <w:t xml:space="preserve">Pantallas del ERP; respaldo</w:t>
            </w:r>
          </w:p>
        </w:tc>
      </w:tr>
    </w:tbl>
    <w:p>
      <w:pPr>
        <w:spacing w:after="200" w:before="80"/>
      </w:pPr>
      <w:r>
        <w:rPr>
          <w:rFonts w:ascii="Consolas" w:cs="Consolas" w:eastAsia="Consolas" w:hAnsi="Consolas"/>
          <w:b/>
          <w:bCs/>
          <w:color w:val="0D9488"/>
          <w:sz w:val="15"/>
          <w:szCs w:val="15"/>
        </w:rPr>
        <w:t xml:space="preserve">FIG. 2  </w:t>
      </w:r>
      <w:r>
        <w:rPr>
          <w:rFonts w:ascii="Calibri" w:cs="Calibri" w:eastAsia="Calibri" w:hAnsi="Calibri"/>
          <w:color w:val="64748B"/>
          <w:sz w:val="16"/>
          <w:szCs w:val="16"/>
        </w:rPr>
        <w:t xml:space="preserve">Se desciende de vía solo si la anterior no está disponible, nunca saltándose un control.</w:t>
      </w:r>
    </w:p>
    <w:p>
      <w:pPr>
        <w:spacing w:after="140" w:before="0" w:line="276"/>
        <w:jc w:val="left"/>
      </w:pPr>
      <w:r>
        <w:rPr>
          <w:rFonts w:ascii="Calibri" w:cs="Calibri" w:eastAsia="Calibri" w:hAnsi="Calibri"/>
          <w:color w:val="334155"/>
          <w:sz w:val="18"/>
          <w:szCs w:val="18"/>
        </w:rPr>
        <w:t xml:space="preserve">En el camino </w:t>
      </w:r>
      <w:r>
        <w:rPr>
          <w:rFonts w:ascii="Calibri" w:cs="Calibri" w:eastAsia="Calibri" w:hAnsi="Calibri"/>
          <w:b/>
          <w:bCs/>
          <w:color w:val="0F172A"/>
          <w:sz w:val="18"/>
          <w:szCs w:val="18"/>
        </w:rPr>
        <w:t xml:space="preserve">servicios web</w:t>
      </w:r>
      <w:r>
        <w:rPr>
          <w:rFonts w:ascii="Calibri" w:cs="Calibri" w:eastAsia="Calibri" w:hAnsi="Calibri"/>
          <w:color w:val="334155"/>
          <w:sz w:val="18"/>
          <w:szCs w:val="18"/>
        </w:rPr>
        <w:t xml:space="preserve">, la vía preferida del ERP es coherente con la de FONASA: se privilegia el canal estructurado —servicio web o archivo del ERP— por sobre el robot.</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0D9488" w:sz="24"/>
              <w:bottom w:val="none" w:color="FFFFFF" w:sz="0"/>
              <w:right w:val="none" w:color="FFFFFF" w:sz="0"/>
            </w:tcBorders>
            <w:shd w:fill="F0FDFA" w:color="auto" w:val="clear"/>
            <w:tcMar>
              <w:top w:type="dxa" w:w="110"/>
              <w:left w:type="dxa" w:w="220"/>
              <w:bottom w:type="dxa" w:w="110"/>
              <w:right w:type="dxa" w:w="110"/>
            </w:tcMar>
            <w:vAlign w:val="top"/>
          </w:tcPr>
          <w:p>
            <w:pPr>
              <w:spacing w:after="60"/>
            </w:pPr>
            <w:r>
              <w:rPr>
                <w:rFonts w:ascii="Consolas" w:cs="Consolas" w:eastAsia="Consolas" w:hAnsi="Consolas"/>
                <w:b/>
                <w:bCs/>
                <w:color w:val="0D9488"/>
                <w:spacing w:val="20"/>
                <w:sz w:val="15"/>
                <w:szCs w:val="15"/>
              </w:rPr>
              <w:t xml:space="preserve">PILOTO Y GENERALIZACIÓN</w:t>
            </w:r>
          </w:p>
          <w:p>
            <w:pPr>
              <w:spacing w:after="50" w:line="260"/>
            </w:pPr>
            <w:r>
              <w:rPr>
                <w:color w:val="334155"/>
                <w:sz w:val="19"/>
                <w:szCs w:val="19"/>
              </w:rPr>
              <w:t xml:space="preserve">Todo esto se construye y se prueba </w:t>
            </w:r>
            <w:r>
              <w:rPr>
                <w:b/>
                <w:bCs/>
                <w:color w:val="0F172A"/>
                <w:sz w:val="19"/>
                <w:szCs w:val="19"/>
              </w:rPr>
              <w:t xml:space="preserve">con Proexsi en Barrancas</w:t>
            </w:r>
            <w:r>
              <w:rPr>
                <w:color w:val="334155"/>
                <w:sz w:val="19"/>
                <w:szCs w:val="19"/>
              </w:rPr>
              <w:t xml:space="preserve">. Para llevarlo a otro SLEP basta </w:t>
            </w:r>
            <w:r>
              <w:rPr>
                <w:b/>
                <w:bCs/>
                <w:color w:val="0F172A"/>
                <w:sz w:val="19"/>
                <w:szCs w:val="19"/>
              </w:rPr>
              <w:t xml:space="preserve">implementar el `ErpAdapter`</w:t>
            </w:r>
            <w:r>
              <w:rPr>
                <w:color w:val="334155"/>
                <w:sz w:val="19"/>
                <w:szCs w:val="19"/>
              </w:rPr>
              <w:t xml:space="preserve"> de su ERP (mismas dos operaciones, mismo mapeo), sin tocar el conector de FONASA ni el orquestador. Las dudas abiertas con el proveedor están en la sección "Qué hay que verificar".</w:t>
            </w:r>
          </w:p>
        </w:tc>
      </w:tr>
    </w:tbl>
    <w:p>
      <w:pPr>
        <w:spacing w:after="140" w:before="0" w:line="120"/>
      </w:pPr>
    </w:p>
    <w:p>
      <w:pPr>
        <w:keepNext/>
        <w:pageBreakBefore/>
        <w:spacing w:after="60"/>
      </w:pPr>
      <w:r>
        <w:rPr>
          <w:rFonts w:ascii="Consolas" w:cs="Consolas" w:eastAsia="Consolas" w:hAnsi="Consolas"/>
          <w:b/>
          <w:bCs/>
          <w:color w:val="0D9488"/>
          <w:spacing w:val="30"/>
          <w:sz w:val="16"/>
          <w:szCs w:val="16"/>
        </w:rPr>
        <w:t xml:space="preserve">SECCIÓN 07</w:t>
      </w:r>
      <w:r>
        <w:rPr>
          <w:rFonts w:ascii="Consolas" w:cs="Consolas" w:eastAsia="Consolas" w:hAnsi="Consolas"/>
          <w:color w:val="94A3B8"/>
          <w:sz w:val="16"/>
          <w:szCs w:val="16"/>
        </w:rPr>
        <w:t xml:space="preserve">  /  propuestas</w:t>
      </w:r>
    </w:p>
    <w:p>
      <w:pPr>
        <w:pStyle w:val="Heading1"/>
        <w:keepNext/>
        <w:pBdr>
          <w:bottom w:val="single" w:color="E2E8F0" w:sz="6" w:space="6"/>
        </w:pBdr>
        <w:spacing w:after="160"/>
      </w:pPr>
      <w:r>
        <w:rPr>
          <w:rFonts w:ascii="Calibri" w:cs="Calibri" w:eastAsia="Calibri" w:hAnsi="Calibri"/>
          <w:b/>
          <w:bCs/>
          <w:color w:val="0F172A"/>
          <w:sz w:val="34"/>
          <w:szCs w:val="34"/>
        </w:rPr>
        <w:t xml:space="preserve">Tres propuestas del camino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La integración con el servicio oficial es la misma en las tres; cambian la capacidad de la IA local y el respaldo.</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Ofrecer tres niveles —costo cero, óptima y avanzada— con el mismo conector, las mismas reglas y las mismas fechas.</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Las secciones 03 a 06 —y los controles del Informe 08.3.1— son comunes. Los costos están en el Informe 08.3.3.</w:t>
            </w:r>
          </w:p>
        </w:tc>
      </w:tr>
    </w:tbl>
    <w:p>
      <w:pPr>
        <w:spacing w:after="140" w:before="0" w:line="120"/>
      </w:pP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060"/>
        <w:gridCol w:w="230"/>
        <w:gridCol w:w="3060"/>
        <w:gridCol w:w="230"/>
        <w:gridCol w:w="3060"/>
      </w:tblGrid>
      <w:tr>
        <w:trPr>
          <w:cantSplit/>
        </w:trPr>
        <w:tc>
          <w:tcPr>
            <w:tcW w:type="dxa" w:w="3060"/>
            <w:tcBorders>
              <w:top w:val="single" w:color="0D9488" w:sz="12"/>
              <w:left w:val="single" w:color="0D9488" w:sz="12"/>
              <w:bottom w:val="single" w:color="0D9488" w:sz="12"/>
              <w:right w:val="single" w:color="0D9488" w:sz="12"/>
            </w:tcBorders>
            <w:shd w:fill="F0FDFA"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NIVEL 1</w:t>
            </w:r>
          </w:p>
          <w:p>
            <w:pPr>
              <w:spacing w:after="20" w:line="240"/>
              <w:jc w:val="left"/>
            </w:pPr>
            <w:r>
              <w:rPr>
                <w:b/>
                <w:bCs/>
                <w:color w:val="0F172A"/>
                <w:sz w:val="17"/>
                <w:szCs w:val="17"/>
              </w:rPr>
              <w:t xml:space="preserve">WS1 · Costo cero</w:t>
            </w:r>
          </w:p>
          <w:p>
            <w:pPr>
              <w:spacing w:after="0" w:line="230"/>
              <w:jc w:val="left"/>
            </w:pPr>
            <w:r>
              <w:rPr>
                <w:color w:val="64748B"/>
                <w:sz w:val="14"/>
                <w:szCs w:val="14"/>
              </w:rPr>
              <w:t xml:space="preserve">Conector al </w:t>
            </w:r>
            <w:r>
              <w:rPr>
                <w:b/>
                <w:bCs/>
                <w:color w:val="64748B"/>
                <w:sz w:val="14"/>
                <w:szCs w:val="14"/>
              </w:rPr>
              <w:t xml:space="preserve">servicio oficial de FONASA</w:t>
            </w:r>
            <w:r>
              <w:rPr>
                <w:color w:val="64748B"/>
                <w:sz w:val="14"/>
                <w:szCs w:val="14"/>
              </w:rPr>
              <w:t xml:space="preserve"> + IA local (</w:t>
            </w:r>
            <w:r>
              <w:rPr>
                <w:b/>
                <w:bCs/>
                <w:color w:val="64748B"/>
                <w:sz w:val="14"/>
                <w:szCs w:val="14"/>
              </w:rPr>
              <w:t xml:space="preserve">LAYA + Qwen3</w:t>
            </w:r>
            <w:r>
              <w:rPr>
                <w:color w:val="64748B"/>
                <w:sz w:val="14"/>
                <w:szCs w:val="14"/>
              </w:rPr>
              <w:t xml:space="preserve">) en la </w:t>
            </w:r>
            <w:r>
              <w:rPr>
                <w:b/>
                <w:bCs/>
                <w:color w:val="64748B"/>
                <w:sz w:val="14"/>
                <w:szCs w:val="14"/>
              </w:rPr>
              <w:t xml:space="preserve">CPU</w:t>
            </w:r>
            <w:r>
              <w:rPr>
                <w:color w:val="64748B"/>
                <w:sz w:val="14"/>
                <w:szCs w:val="14"/>
              </w:rPr>
              <w:t xml:space="preserve"> del servidor existente</w:t>
            </w:r>
          </w:p>
        </w:tc>
        <w:tc>
          <w:tcPr>
            <w:tcW w:type="dxa" w:w="23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306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NIVEL 2</w:t>
            </w:r>
          </w:p>
          <w:p>
            <w:pPr>
              <w:spacing w:after="20" w:line="240"/>
              <w:jc w:val="left"/>
            </w:pPr>
            <w:r>
              <w:rPr>
                <w:b/>
                <w:bCs/>
                <w:color w:val="0F172A"/>
                <w:sz w:val="17"/>
                <w:szCs w:val="17"/>
              </w:rPr>
              <w:t xml:space="preserve">WS2 · Óptima</w:t>
            </w:r>
          </w:p>
          <w:p>
            <w:pPr>
              <w:spacing w:after="0" w:line="230"/>
              <w:jc w:val="left"/>
            </w:pPr>
            <w:r>
              <w:rPr>
                <w:color w:val="64748B"/>
                <w:sz w:val="14"/>
                <w:szCs w:val="14"/>
              </w:rPr>
              <w:t xml:space="preserve">Conector + </w:t>
            </w:r>
            <w:r>
              <w:rPr>
                <w:b/>
                <w:bCs/>
                <w:color w:val="64748B"/>
                <w:sz w:val="14"/>
                <w:szCs w:val="14"/>
              </w:rPr>
              <w:t xml:space="preserve">IA local en GPU de 16 GB</w:t>
            </w:r>
            <w:r>
              <w:rPr>
                <w:color w:val="64748B"/>
                <w:sz w:val="14"/>
                <w:szCs w:val="14"/>
              </w:rPr>
              <w:t xml:space="preserve"> (respuestas en segundos) + monitoreo</w:t>
            </w:r>
          </w:p>
        </w:tc>
        <w:tc>
          <w:tcPr>
            <w:tcW w:type="dxa" w:w="230"/>
            <w:tcBorders>
              <w:top w:val="none" w:color="FFFFFF" w:sz="0"/>
              <w:left w:val="none" w:color="FFFFFF" w:sz="0"/>
              <w:bottom w:val="none" w:color="FFFFFF" w:sz="0"/>
              <w:right w:val="none" w:color="FFFFFF" w:sz="0"/>
            </w:tcBorders>
            <w:tcMar>
              <w:top w:type="dxa" w:w="80"/>
              <w:left w:type="dxa" w:w="20"/>
              <w:bottom w:type="dxa" w:w="80"/>
              <w:right w:type="dxa" w:w="20"/>
            </w:tcMar>
            <w:vAlign w:val="center"/>
          </w:tcPr>
          <w:p>
            <w:pPr>
              <w:jc w:val="center"/>
            </w:pPr>
            <w:r>
              <w:rPr>
                <w:rFonts w:ascii="Calibri" w:cs="Calibri" w:eastAsia="Calibri" w:hAnsi="Calibri"/>
                <w:b/>
                <w:bCs/>
                <w:color w:val="0D9488"/>
                <w:sz w:val="26"/>
                <w:szCs w:val="26"/>
              </w:rPr>
              <w:t xml:space="preserve">→</w:t>
            </w:r>
          </w:p>
        </w:tc>
        <w:tc>
          <w:tcPr>
            <w:tcW w:type="dxa" w:w="3060"/>
            <w:tcBorders>
              <w:top w:val="single" w:color="CBD5E1" w:sz="6"/>
              <w:left w:val="single" w:color="CBD5E1" w:sz="6"/>
              <w:bottom w:val="single" w:color="CBD5E1" w:sz="6"/>
              <w:right w:val="single" w:color="CBD5E1" w:sz="6"/>
            </w:tcBorders>
            <w:shd w:fill="F8FAFC" w:color="auto" w:val="clear"/>
            <w:tcMar>
              <w:top w:type="dxa" w:w="90"/>
              <w:left w:type="dxa" w:w="110"/>
              <w:bottom w:type="dxa" w:w="90"/>
              <w:right w:type="dxa" w:w="110"/>
            </w:tcMar>
            <w:vAlign w:val="center"/>
          </w:tcPr>
          <w:p>
            <w:pPr>
              <w:spacing w:after="30"/>
              <w:jc w:val="left"/>
            </w:pPr>
            <w:r>
              <w:rPr>
                <w:rFonts w:ascii="Consolas" w:cs="Consolas" w:eastAsia="Consolas" w:hAnsi="Consolas"/>
                <w:b/>
                <w:bCs/>
                <w:color w:val="0D9488"/>
                <w:sz w:val="13"/>
                <w:szCs w:val="13"/>
              </w:rPr>
              <w:t xml:space="preserve">NIVEL 3</w:t>
            </w:r>
          </w:p>
          <w:p>
            <w:pPr>
              <w:spacing w:after="20" w:line="240"/>
              <w:jc w:val="left"/>
            </w:pPr>
            <w:r>
              <w:rPr>
                <w:b/>
                <w:bCs/>
                <w:color w:val="0F172A"/>
                <w:sz w:val="17"/>
                <w:szCs w:val="17"/>
              </w:rPr>
              <w:t xml:space="preserve">WS3 · Avanzada</w:t>
            </w:r>
          </w:p>
          <w:p>
            <w:pPr>
              <w:spacing w:after="0" w:line="230"/>
              <w:jc w:val="left"/>
            </w:pPr>
            <w:r>
              <w:rPr>
                <w:color w:val="64748B"/>
                <w:sz w:val="14"/>
                <w:szCs w:val="14"/>
              </w:rPr>
              <w:t xml:space="preserve">Conector + </w:t>
            </w:r>
            <w:r>
              <w:rPr>
                <w:b/>
                <w:bCs/>
                <w:color w:val="64748B"/>
                <w:sz w:val="14"/>
                <w:szCs w:val="14"/>
              </w:rPr>
              <w:t xml:space="preserve">IA local en GPU de 32 GB</w:t>
            </w:r>
            <w:r>
              <w:rPr>
                <w:color w:val="64748B"/>
                <w:sz w:val="14"/>
                <w:szCs w:val="14"/>
              </w:rPr>
              <w:t xml:space="preserve"> + </w:t>
            </w:r>
            <w:r>
              <w:rPr>
                <w:b/>
                <w:bCs/>
                <w:color w:val="64748B"/>
                <w:sz w:val="14"/>
                <w:szCs w:val="14"/>
              </w:rPr>
              <w:t xml:space="preserve">alta disponibilidad</w:t>
            </w:r>
            <w:r>
              <w:rPr>
                <w:color w:val="64748B"/>
                <w:sz w:val="14"/>
                <w:szCs w:val="14"/>
              </w:rPr>
              <w:t xml:space="preserve"> + respaldo en Chile + prueba de penetración</w:t>
            </w:r>
          </w:p>
        </w:tc>
      </w:tr>
    </w:tbl>
    <w:p>
      <w:pPr>
        <w:spacing w:after="140" w:before="0" w:line="276"/>
        <w:jc w:val="left"/>
      </w:pPr>
      <w:r>
        <w:rPr>
          <w:rFonts w:ascii="Calibri" w:cs="Calibri" w:eastAsia="Calibri" w:hAnsi="Calibri"/>
          <w:b/>
          <w:bCs/>
          <w:color w:val="0F172A"/>
          <w:sz w:val="19"/>
          <w:szCs w:val="19"/>
        </w:rPr>
        <w:t xml:space="preserve">IA en la nube.</w:t>
      </w:r>
      <w:r>
        <w:rPr>
          <w:rFonts w:ascii="Calibri" w:cs="Calibri" w:eastAsia="Calibri" w:hAnsi="Calibri"/>
          <w:color w:val="334155"/>
          <w:sz w:val="19"/>
          <w:szCs w:val="19"/>
        </w:rPr>
        <w:t xml:space="preserve"> En WS2 y WS3 se suma Claude, la IA que ya usa la institución, solo para tareas sin datos personales: normativa, redacción y apoyo de código. WS3 agrega la API de Claude detrás de una pasarela que bloquea datos personales (sección 02). Los datos de licencias los procesa siempre la IA local.</w:t>
      </w:r>
    </w:p>
    <w:p>
      <w:pPr>
        <w:spacing w:after="200" w:before="80"/>
      </w:pPr>
      <w:r>
        <w:rPr>
          <w:rFonts w:ascii="Consolas" w:cs="Consolas" w:eastAsia="Consolas" w:hAnsi="Consolas"/>
          <w:b/>
          <w:bCs/>
          <w:color w:val="0D9488"/>
          <w:sz w:val="15"/>
          <w:szCs w:val="15"/>
        </w:rPr>
        <w:t xml:space="preserve">FIG. 3  </w:t>
      </w:r>
      <w:r>
        <w:rPr>
          <w:rFonts w:ascii="Calibri" w:cs="Calibri" w:eastAsia="Calibri" w:hAnsi="Calibri"/>
          <w:color w:val="64748B"/>
          <w:sz w:val="16"/>
          <w:szCs w:val="16"/>
        </w:rPr>
        <w:t xml:space="preserve">Tres niveles de propuesta. La integración con el servicio de FONASA es idéntica.</w:t>
      </w:r>
    </w:p>
    <w:p>
      <w:pPr>
        <w:pStyle w:val="Heading2"/>
        <w:keepNext/>
        <w:spacing w:after="120" w:before="260"/>
      </w:pPr>
      <w:r>
        <w:rPr>
          <w:rFonts w:ascii="Consolas" w:cs="Consolas" w:eastAsia="Consolas" w:hAnsi="Consolas"/>
          <w:b/>
          <w:bCs/>
          <w:color w:val="0D9488"/>
          <w:sz w:val="22"/>
          <w:szCs w:val="22"/>
        </w:rPr>
        <w:t xml:space="preserve">7.1  </w:t>
      </w:r>
      <w:r>
        <w:rPr>
          <w:rFonts w:ascii="Calibri" w:cs="Calibri" w:eastAsia="Calibri" w:hAnsi="Calibri"/>
          <w:b/>
          <w:bCs/>
          <w:color w:val="0F172A"/>
          <w:sz w:val="25"/>
          <w:szCs w:val="25"/>
        </w:rPr>
        <w:t xml:space="preserve">Qué se mantiene y qué cambia</w:t>
      </w:r>
    </w:p>
    <w:p>
      <w:pPr>
        <w:spacing w:after="140" w:before="0" w:line="276"/>
        <w:jc w:val="left"/>
      </w:pPr>
      <w:r>
        <w:rPr>
          <w:rFonts w:ascii="Calibri" w:cs="Calibri" w:eastAsia="Calibri" w:hAnsi="Calibri"/>
          <w:b/>
          <w:bCs/>
          <w:color w:val="0F172A"/>
          <w:sz w:val="18"/>
          <w:szCs w:val="18"/>
        </w:rPr>
        <w:t xml:space="preserve">Se mantiene en las tres:</w:t>
      </w:r>
      <w:r>
        <w:rPr>
          <w:rFonts w:ascii="Calibri" w:cs="Calibri" w:eastAsia="Calibri" w:hAnsi="Calibri"/>
          <w:color w:val="334155"/>
          <w:sz w:val="18"/>
          <w:szCs w:val="18"/>
        </w:rPr>
        <w:t xml:space="preserve"> canal oficial de FONASA, operación (sección 03), paso a paso (sección 04), reglas del conector (sección 06), controles (sección 03 del Informe 08.3.1), </w:t>
      </w:r>
      <w:r>
        <w:rPr>
          <w:rFonts w:ascii="Calibri" w:cs="Calibri" w:eastAsia="Calibri" w:hAnsi="Calibri"/>
          <w:b/>
          <w:bCs/>
          <w:color w:val="0F172A"/>
          <w:sz w:val="18"/>
          <w:szCs w:val="18"/>
        </w:rPr>
        <w:t xml:space="preserve">IA local (LAYA) compartida</w:t>
      </w:r>
      <w:r>
        <w:rPr>
          <w:rFonts w:ascii="Calibri" w:cs="Calibri" w:eastAsia="Calibri" w:hAnsi="Calibri"/>
          <w:color w:val="334155"/>
          <w:sz w:val="18"/>
          <w:szCs w:val="18"/>
        </w:rPr>
        <w:t xml:space="preserve"> e integración con el módulo Licencias. </w:t>
      </w:r>
      <w:r>
        <w:rPr>
          <w:rFonts w:ascii="Calibri" w:cs="Calibri" w:eastAsia="Calibri" w:hAnsi="Calibri"/>
          <w:b/>
          <w:bCs/>
          <w:color w:val="0F172A"/>
          <w:sz w:val="18"/>
          <w:szCs w:val="18"/>
        </w:rPr>
        <w:t xml:space="preserve">Cambian</w:t>
      </w:r>
      <w:r>
        <w:rPr>
          <w:rFonts w:ascii="Calibri" w:cs="Calibri" w:eastAsia="Calibri" w:hAnsi="Calibri"/>
          <w:color w:val="334155"/>
          <w:sz w:val="18"/>
          <w:szCs w:val="18"/>
        </w:rPr>
        <w:t xml:space="preserve"> la capacidad de la IA, la disponibilidad y el soporte.</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400"/>
        <w:gridCol w:w="2350"/>
        <w:gridCol w:w="2450"/>
        <w:gridCol w:w="2440"/>
      </w:tblGrid>
      <w:tr>
        <w:trPr>
          <w:tblHeader/>
        </w:trPr>
        <w:tc>
          <w:tcPr>
            <w:tcW w:type="dxa" w:w="24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ASPECTO</w:t>
            </w:r>
          </w:p>
        </w:tc>
        <w:tc>
          <w:tcPr>
            <w:tcW w:type="dxa" w:w="235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WS1 · COSTO CERO</w:t>
            </w:r>
          </w:p>
        </w:tc>
        <w:tc>
          <w:tcPr>
            <w:tcW w:type="dxa" w:w="245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WS2 · ÓPTIMA</w:t>
            </w:r>
          </w:p>
        </w:tc>
        <w:tc>
          <w:tcPr>
            <w:tcW w:type="dxa" w:w="24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WS3 · AVANZADA</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Modelo de IA local</w:t>
            </w:r>
          </w:p>
        </w:tc>
        <w:tc>
          <w:tcPr>
            <w:tcW w:type="dxa" w:w="23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Qwen3 4B–8B en CPU (15–30 s por caso ambiguo)</w:t>
            </w:r>
          </w:p>
        </w:tc>
        <w:tc>
          <w:tcPr>
            <w:tcW w:type="dxa" w:w="24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Qwen3 8B–14B en GPU 16 GB (1–3 s)</w:t>
            </w:r>
          </w:p>
        </w:tc>
        <w:tc>
          <w:tcPr>
            <w:tcW w:type="dxa" w:w="2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Qwen3 14B–32B en GPU 32 GB (varios usuarios)</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Disponibilidad</w:t>
            </w:r>
          </w:p>
        </w:tc>
        <w:tc>
          <w:tcPr>
            <w:tcW w:type="dxa" w:w="23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Un servidor; si cae, se vuelve a manual</w:t>
            </w:r>
          </w:p>
        </w:tc>
        <w:tc>
          <w:tcPr>
            <w:tcW w:type="dxa" w:w="24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Un servidor + equipo de IA con UPS</w:t>
            </w:r>
          </w:p>
        </w:tc>
        <w:tc>
          <w:tcPr>
            <w:tcW w:type="dxa" w:w="2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Dos servidores, base replicada y respaldo en Azure Chile</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Monitoreo</w:t>
            </w:r>
          </w:p>
        </w:tc>
        <w:tc>
          <w:tcPr>
            <w:tcW w:type="dxa" w:w="23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Registros + disponibilidad</w:t>
            </w:r>
          </w:p>
        </w:tc>
        <w:tc>
          <w:tcPr>
            <w:tcW w:type="dxa" w:w="24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 métricas de la IA y del conector</w:t>
            </w:r>
          </w:p>
        </w:tc>
        <w:tc>
          <w:tcPr>
            <w:tcW w:type="dxa" w:w="2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 eventos de seguridad y alertas</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Seguridad</w:t>
            </w:r>
          </w:p>
        </w:tc>
        <w:tc>
          <w:tcPr>
            <w:tcW w:type="dxa" w:w="23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Secretos cifrados; buenas prácticas</w:t>
            </w:r>
          </w:p>
        </w:tc>
        <w:tc>
          <w:tcPr>
            <w:tcW w:type="dxa" w:w="24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Almacén de secretos</w:t>
            </w:r>
          </w:p>
        </w:tc>
        <w:tc>
          <w:tcPr>
            <w:tcW w:type="dxa" w:w="2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 prueba de penetración externa</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Tiempo del encargado por licencia</w:t>
            </w:r>
          </w:p>
        </w:tc>
        <w:tc>
          <w:tcPr>
            <w:tcW w:type="dxa" w:w="23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 3 min</w:t>
            </w:r>
          </w:p>
        </w:tc>
        <w:tc>
          <w:tcPr>
            <w:tcW w:type="dxa" w:w="24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 3 min</w:t>
            </w:r>
          </w:p>
        </w:tc>
        <w:tc>
          <w:tcPr>
            <w:tcW w:type="dxa" w:w="2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 3 min</w:t>
            </w:r>
          </w:p>
        </w:tc>
      </w:tr>
      <w:tr>
        <w:trPr>
          <w:cantSplit/>
        </w:trPr>
        <w:tc>
          <w:tcPr>
            <w:tcW w:type="dxa" w:w="24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Habilitación</w:t>
            </w:r>
          </w:p>
        </w:tc>
        <w:tc>
          <w:tcPr>
            <w:tcW w:type="dxa" w:w="23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Servicio otorgado por FONASA</w:t>
            </w:r>
          </w:p>
        </w:tc>
        <w:tc>
          <w:tcPr>
            <w:tcW w:type="dxa" w:w="245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Lo anterior + compra del equipo</w:t>
            </w:r>
          </w:p>
        </w:tc>
        <w:tc>
          <w:tcPr>
            <w:tcW w:type="dxa" w:w="24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Lo anterior + compra mayor (Informe 08.3.1)</w:t>
            </w:r>
          </w:p>
        </w:tc>
      </w:tr>
    </w:tbl>
    <w:p>
      <w:pPr>
        <w:spacing w:after="120" w:before="0" w:line="120"/>
      </w:pPr>
    </w:p>
    <w:p>
      <w:pPr>
        <w:spacing w:after="140" w:before="0" w:line="276"/>
        <w:jc w:val="left"/>
      </w:pPr>
      <w:r>
        <w:rPr>
          <w:rFonts w:ascii="Calibri" w:cs="Calibri" w:eastAsia="Calibri" w:hAnsi="Calibri"/>
          <w:color w:val="334155"/>
          <w:sz w:val="17"/>
          <w:szCs w:val="17"/>
        </w:rPr>
        <w:t xml:space="preserve">En las tres, la IA local es </w:t>
      </w:r>
      <w:r>
        <w:rPr>
          <w:rFonts w:ascii="Calibri" w:cs="Calibri" w:eastAsia="Calibri" w:hAnsi="Calibri"/>
          <w:b/>
          <w:bCs/>
          <w:color w:val="0F172A"/>
          <w:sz w:val="17"/>
          <w:szCs w:val="17"/>
        </w:rPr>
        <w:t xml:space="preserve">open source</w:t>
      </w:r>
      <w:r>
        <w:rPr>
          <w:rFonts w:ascii="Calibri" w:cs="Calibri" w:eastAsia="Calibri" w:hAnsi="Calibri"/>
          <w:color w:val="334155"/>
          <w:sz w:val="17"/>
          <w:szCs w:val="17"/>
        </w:rPr>
        <w:t xml:space="preserve"> y gratuita; lo que cambia es el equipo donde corre. La propuesta avanzada comparte la estación de IA con el Informe 12 (IA local del portal).</w:t>
      </w:r>
    </w:p>
    <w:p>
      <w:pPr>
        <w:keepNext/>
        <w:pageBreakBefore/>
        <w:spacing w:after="60"/>
      </w:pPr>
      <w:r>
        <w:rPr>
          <w:rFonts w:ascii="Consolas" w:cs="Consolas" w:eastAsia="Consolas" w:hAnsi="Consolas"/>
          <w:b/>
          <w:bCs/>
          <w:color w:val="0D9488"/>
          <w:spacing w:val="30"/>
          <w:sz w:val="16"/>
          <w:szCs w:val="16"/>
        </w:rPr>
        <w:t xml:space="preserve">SECCIÓN 08</w:t>
      </w:r>
      <w:r>
        <w:rPr>
          <w:rFonts w:ascii="Consolas" w:cs="Consolas" w:eastAsia="Consolas" w:hAnsi="Consolas"/>
          <w:color w:val="94A3B8"/>
          <w:sz w:val="16"/>
          <w:szCs w:val="16"/>
        </w:rPr>
        <w:t xml:space="preserve">  /  pruebas</w:t>
      </w:r>
    </w:p>
    <w:p>
      <w:pPr>
        <w:pStyle w:val="Heading1"/>
        <w:keepNext/>
        <w:pBdr>
          <w:bottom w:val="single" w:color="E2E8F0" w:sz="6" w:space="6"/>
        </w:pBdr>
        <w:spacing w:after="160"/>
      </w:pPr>
      <w:r>
        <w:rPr>
          <w:rFonts w:ascii="Calibri" w:cs="Calibri" w:eastAsia="Calibri" w:hAnsi="Calibri"/>
          <w:b/>
          <w:bCs/>
          <w:color w:val="0F172A"/>
          <w:sz w:val="34"/>
          <w:szCs w:val="34"/>
        </w:rPr>
        <w:t xml:space="preserve">Pruebas y puesta en marcha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Integrar con un servicio oficial exige probar contra su ambiente de certificación antes de datos reales.</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Definir cómo se prueba y cuándo se acepta el piloto.</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Cuatro etapas, casos mínimos y criterios de aceptación. Iguales para WS1, WS2 y WS3.</w:t>
            </w:r>
          </w:p>
        </w:tc>
      </w:tr>
    </w:tbl>
    <w:p>
      <w:pPr>
        <w:spacing w:after="140" w:before="0" w:line="120"/>
      </w:pPr>
    </w:p>
    <w:p>
      <w:pPr>
        <w:pStyle w:val="Heading2"/>
        <w:keepNext/>
        <w:spacing w:after="120" w:before="260"/>
      </w:pPr>
      <w:r>
        <w:rPr>
          <w:rFonts w:ascii="Consolas" w:cs="Consolas" w:eastAsia="Consolas" w:hAnsi="Consolas"/>
          <w:b/>
          <w:bCs/>
          <w:color w:val="0D9488"/>
          <w:sz w:val="22"/>
          <w:szCs w:val="22"/>
        </w:rPr>
        <w:t xml:space="preserve">8.1  </w:t>
      </w:r>
      <w:r>
        <w:rPr>
          <w:rFonts w:ascii="Calibri" w:cs="Calibri" w:eastAsia="Calibri" w:hAnsi="Calibri"/>
          <w:b/>
          <w:bCs/>
          <w:color w:val="0F172A"/>
          <w:sz w:val="25"/>
          <w:szCs w:val="25"/>
        </w:rPr>
        <w:t xml:space="preserve">Etapas de prueba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100"/>
        <w:gridCol w:w="2900"/>
        <w:gridCol w:w="2900"/>
        <w:gridCol w:w="1740"/>
      </w:tblGrid>
      <w:tr>
        <w:trPr>
          <w:tblHeader/>
        </w:trPr>
        <w:tc>
          <w:tcPr>
            <w:tcW w:type="dxa" w:w="21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ETAPA</w:t>
            </w:r>
          </w:p>
        </w:tc>
        <w:tc>
          <w:tcPr>
            <w:tcW w:type="dxa" w:w="29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DATOS</w:t>
            </w:r>
          </w:p>
        </w:tc>
        <w:tc>
          <w:tcPr>
            <w:tcW w:type="dxa" w:w="29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QUÉ SE VERIFICA</w:t>
            </w:r>
          </w:p>
        </w:tc>
        <w:tc>
          <w:tcPr>
            <w:tcW w:type="dxa" w:w="17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CUÁNDO</w:t>
            </w:r>
          </w:p>
        </w:tc>
      </w:tr>
      <w:tr>
        <w:trPr>
          <w:cantSplit/>
        </w:trPr>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1 · Desarrollo</w:t>
            </w:r>
          </w:p>
        </w:tc>
        <w:tc>
          <w:tcPr>
            <w:tcW w:type="dxa" w:w="2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Simulación del servicio con respuestas de ejemplo</w:t>
            </w:r>
          </w:p>
        </w:tc>
        <w:tc>
          <w:tcPr>
            <w:tcW w:type="dxa" w:w="2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Conector, motor, IA y bandeja</w:t>
            </w:r>
          </w:p>
        </w:tc>
        <w:tc>
          <w:tcPr>
            <w:tcW w:type="dxa" w:w="1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Al otorgarse el servicio</w:t>
            </w:r>
          </w:p>
        </w:tc>
      </w:tr>
      <w:tr>
        <w:trPr>
          <w:cantSplit/>
        </w:trPr>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2 · Certificación</w:t>
            </w:r>
          </w:p>
        </w:tc>
        <w:tc>
          <w:tcPr>
            <w:tcW w:type="dxa" w:w="2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Ambiente de certificación de FONASA</w:t>
            </w:r>
          </w:p>
        </w:tc>
        <w:tc>
          <w:tcPr>
            <w:tcW w:type="dxa" w:w="2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Operaciones reales de consulta, envío y acuse</w:t>
            </w:r>
          </w:p>
        </w:tc>
        <w:tc>
          <w:tcPr>
            <w:tcW w:type="dxa" w:w="1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Según plazo de FONASA</w:t>
            </w:r>
          </w:p>
        </w:tc>
      </w:tr>
      <w:tr>
        <w:trPr>
          <w:cantSplit/>
        </w:trPr>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3 · Real supervisada</w:t>
            </w:r>
          </w:p>
        </w:tc>
        <w:tc>
          <w:tcPr>
            <w:tcW w:type="dxa" w:w="2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Licencias reales del SLEP piloto</w:t>
            </w:r>
          </w:p>
        </w:tc>
        <w:tc>
          <w:tcPr>
            <w:tcW w:type="dxa" w:w="2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Envío aprobado de punta a punta con acuse oficial</w:t>
            </w:r>
          </w:p>
        </w:tc>
        <w:tc>
          <w:tcPr>
            <w:tcW w:type="dxa" w:w="1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Tras la certificación</w:t>
            </w:r>
          </w:p>
        </w:tc>
      </w:tr>
      <w:tr>
        <w:trPr>
          <w:cantSplit/>
        </w:trPr>
        <w:tc>
          <w:tcPr>
            <w:tcW w:type="dxa" w:w="21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5"/>
                <w:szCs w:val="15"/>
              </w:rPr>
              <w:t xml:space="preserve">4 · Paralelo</w:t>
            </w:r>
          </w:p>
        </w:tc>
        <w:tc>
          <w:tcPr>
            <w:tcW w:type="dxa" w:w="2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Mismas licencias a mano y por el sistema</w:t>
            </w:r>
          </w:p>
        </w:tc>
        <w:tc>
          <w:tcPr>
            <w:tcW w:type="dxa" w:w="29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Igualdad del resultado y tiempos</w:t>
            </w:r>
          </w:p>
        </w:tc>
        <w:tc>
          <w:tcPr>
            <w:tcW w:type="dxa" w:w="1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Antes del cierre del piloto</w:t>
            </w:r>
          </w:p>
        </w:tc>
      </w:tr>
    </w:tbl>
    <w:p>
      <w:pPr>
        <w:spacing w:after="120" w:before="0" w:line="120"/>
      </w:pPr>
    </w:p>
    <w:p>
      <w:pPr>
        <w:pStyle w:val="Heading2"/>
        <w:keepNext/>
        <w:spacing w:after="120" w:before="260"/>
      </w:pPr>
      <w:r>
        <w:rPr>
          <w:rFonts w:ascii="Consolas" w:cs="Consolas" w:eastAsia="Consolas" w:hAnsi="Consolas"/>
          <w:b/>
          <w:bCs/>
          <w:color w:val="0D9488"/>
          <w:sz w:val="22"/>
          <w:szCs w:val="22"/>
        </w:rPr>
        <w:t xml:space="preserve">8.2  </w:t>
      </w:r>
      <w:r>
        <w:rPr>
          <w:rFonts w:ascii="Calibri" w:cs="Calibri" w:eastAsia="Calibri" w:hAnsi="Calibri"/>
          <w:b/>
          <w:bCs/>
          <w:color w:val="0F172A"/>
          <w:sz w:val="25"/>
          <w:szCs w:val="25"/>
        </w:rPr>
        <w:t xml:space="preserve">Casos de prueba mínimos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00"/>
        <w:gridCol w:w="4300"/>
        <w:gridCol w:w="4740"/>
      </w:tblGrid>
      <w:tr>
        <w:trPr>
          <w:tblHeader/>
        </w:trPr>
        <w:tc>
          <w:tcPr>
            <w:tcW w:type="dxa" w:w="6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w:t>
            </w:r>
          </w:p>
        </w:tc>
        <w:tc>
          <w:tcPr>
            <w:tcW w:type="dxa" w:w="43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CASO</w:t>
            </w:r>
          </w:p>
        </w:tc>
        <w:tc>
          <w:tcPr>
            <w:tcW w:type="dxa" w:w="47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RESULTADO ESPERADO</w:t>
            </w:r>
          </w:p>
        </w:tc>
      </w:tr>
      <w:tr>
        <w:trPr>
          <w:cantSplit/>
        </w:trPr>
        <w:tc>
          <w:tcPr>
            <w:tcW w:type="dxa" w:w="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P1</w:t>
            </w:r>
          </w:p>
        </w:tc>
        <w:tc>
          <w:tcPr>
            <w:tcW w:type="dxa" w:w="4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Licencia normal con remuneraciones completas</w:t>
            </w:r>
          </w:p>
        </w:tc>
        <w:tc>
          <w:tcPr>
            <w:tcW w:type="dxa" w:w="4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Zona C preparada, aprobada, enviada y con acuse oficial</w:t>
            </w:r>
          </w:p>
        </w:tc>
      </w:tr>
      <w:tr>
        <w:trPr>
          <w:cantSplit/>
        </w:trPr>
        <w:tc>
          <w:tcPr>
            <w:tcW w:type="dxa" w:w="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P2</w:t>
            </w:r>
          </w:p>
        </w:tc>
        <w:tc>
          <w:tcPr>
            <w:tcW w:type="dxa" w:w="4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Respuesta que incluye campos de zona A</w:t>
            </w:r>
          </w:p>
        </w:tc>
        <w:tc>
          <w:tcPr>
            <w:tcW w:type="dxa" w:w="4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Campos descartados; nada clínico en la base ni en los registros</w:t>
            </w:r>
          </w:p>
        </w:tc>
      </w:tr>
      <w:tr>
        <w:trPr>
          <w:cantSplit/>
        </w:trPr>
        <w:tc>
          <w:tcPr>
            <w:tcW w:type="dxa" w:w="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P3</w:t>
            </w:r>
          </w:p>
        </w:tc>
        <w:tc>
          <w:tcPr>
            <w:tcW w:type="dxa" w:w="4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El servicio no responde</w:t>
            </w:r>
          </w:p>
        </w:tc>
        <w:tc>
          <w:tcPr>
            <w:tcW w:type="dxa" w:w="4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Reintentos; alerta si un caso se acerca al vencimiento</w:t>
            </w:r>
          </w:p>
        </w:tc>
      </w:tr>
      <w:tr>
        <w:trPr>
          <w:cantSplit/>
        </w:trPr>
        <w:tc>
          <w:tcPr>
            <w:tcW w:type="dxa" w:w="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P4</w:t>
            </w:r>
          </w:p>
        </w:tc>
        <w:tc>
          <w:tcPr>
            <w:tcW w:type="dxa" w:w="4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Doble envío del mismo folio</w:t>
            </w:r>
          </w:p>
        </w:tc>
        <w:tc>
          <w:tcPr>
            <w:tcW w:type="dxa" w:w="4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El segundo se cancela (idempotencia)</w:t>
            </w:r>
          </w:p>
        </w:tc>
      </w:tr>
      <w:tr>
        <w:trPr>
          <w:cantSplit/>
        </w:trPr>
        <w:tc>
          <w:tcPr>
            <w:tcW w:type="dxa" w:w="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P5</w:t>
            </w:r>
          </w:p>
        </w:tc>
        <w:tc>
          <w:tcPr>
            <w:tcW w:type="dxa" w:w="4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La respuesta no cumple el contrato del servicio</w:t>
            </w:r>
          </w:p>
        </w:tc>
        <w:tc>
          <w:tcPr>
            <w:tcW w:type="dxa" w:w="4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Modo seguro: se detiene y avisa</w:t>
            </w:r>
          </w:p>
        </w:tc>
      </w:tr>
      <w:tr>
        <w:trPr>
          <w:cantSplit/>
        </w:trPr>
        <w:tc>
          <w:tcPr>
            <w:tcW w:type="dxa" w:w="6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color w:val="334155"/>
                <w:sz w:val="15"/>
                <w:szCs w:val="15"/>
              </w:rPr>
              <w:t xml:space="preserve">P6</w:t>
            </w:r>
          </w:p>
        </w:tc>
        <w:tc>
          <w:tcPr>
            <w:tcW w:type="dxa" w:w="43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Datos enviados al modelo de IA</w:t>
            </w:r>
          </w:p>
        </w:tc>
        <w:tc>
          <w:tcPr>
            <w:tcW w:type="dxa" w:w="47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5"/>
                <w:szCs w:val="15"/>
              </w:rPr>
              <w:t xml:space="preserve">Solo seudónimos y campos permitidos</w:t>
            </w:r>
          </w:p>
        </w:tc>
      </w:tr>
    </w:tbl>
    <w:p>
      <w:pPr>
        <w:spacing w:after="120" w:before="0" w:line="120"/>
      </w:pPr>
    </w:p>
    <w:p>
      <w:pPr>
        <w:pStyle w:val="Heading2"/>
        <w:keepNext/>
        <w:spacing w:after="120" w:before="260"/>
      </w:pPr>
      <w:r>
        <w:rPr>
          <w:rFonts w:ascii="Consolas" w:cs="Consolas" w:eastAsia="Consolas" w:hAnsi="Consolas"/>
          <w:b/>
          <w:bCs/>
          <w:color w:val="0D9488"/>
          <w:sz w:val="22"/>
          <w:szCs w:val="22"/>
        </w:rPr>
        <w:t xml:space="preserve">8.3  </w:t>
      </w:r>
      <w:r>
        <w:rPr>
          <w:rFonts w:ascii="Calibri" w:cs="Calibri" w:eastAsia="Calibri" w:hAnsi="Calibri"/>
          <w:b/>
          <w:bCs/>
          <w:color w:val="0F172A"/>
          <w:sz w:val="25"/>
          <w:szCs w:val="25"/>
        </w:rPr>
        <w:t xml:space="preserve">Criterios de aceptación</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000"/>
        <w:gridCol w:w="3640"/>
      </w:tblGrid>
      <w:tr>
        <w:trPr>
          <w:tblHeader/>
        </w:trPr>
        <w:tc>
          <w:tcPr>
            <w:tcW w:type="dxa" w:w="60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CRITERIO</w:t>
            </w:r>
          </w:p>
        </w:tc>
        <w:tc>
          <w:tcPr>
            <w:tcW w:type="dxa" w:w="36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META</w:t>
            </w:r>
          </w:p>
        </w:tc>
      </w:tr>
      <w:tr>
        <w:trPr>
          <w:cantSplit/>
        </w:trPr>
        <w:tc>
          <w:tcPr>
            <w:tcW w:type="dxa" w:w="6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Licencias tramitadas dentro de 3 días hábiles en el período paralelo</w:t>
            </w:r>
          </w:p>
        </w:tc>
        <w:tc>
          <w:tcPr>
            <w:tcW w:type="dxa" w:w="3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100%</w:t>
            </w:r>
          </w:p>
        </w:tc>
      </w:tr>
      <w:tr>
        <w:trPr>
          <w:cantSplit/>
        </w:trPr>
        <w:tc>
          <w:tcPr>
            <w:tcW w:type="dxa" w:w="6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Diferencias con la zona C manual · datos clínicos en base, registros o modelo</w:t>
            </w:r>
          </w:p>
        </w:tc>
        <w:tc>
          <w:tcPr>
            <w:tcW w:type="dxa" w:w="3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0 · ninguno</w:t>
            </w:r>
          </w:p>
        </w:tc>
      </w:tr>
      <w:tr>
        <w:trPr>
          <w:cantSplit/>
        </w:trPr>
        <w:tc>
          <w:tcPr>
            <w:tcW w:type="dxa" w:w="6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Envíos sin aprobación humana</w:t>
            </w:r>
          </w:p>
        </w:tc>
        <w:tc>
          <w:tcPr>
            <w:tcW w:type="dxa" w:w="3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Ninguno</w:t>
            </w:r>
          </w:p>
        </w:tc>
      </w:tr>
      <w:tr>
        <w:trPr>
          <w:cantSplit/>
        </w:trPr>
        <w:tc>
          <w:tcPr>
            <w:tcW w:type="dxa" w:w="6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Tiempo del encargado por licencia</w:t>
            </w:r>
          </w:p>
        </w:tc>
        <w:tc>
          <w:tcPr>
            <w:tcW w:type="dxa" w:w="36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 3 minutos</w:t>
            </w:r>
          </w:p>
        </w:tc>
      </w:tr>
    </w:tbl>
    <w:p>
      <w:pPr>
        <w:spacing w:after="120" w:before="0" w:line="120"/>
      </w:pPr>
    </w:p>
    <w:p>
      <w:pPr>
        <w:keepNext/>
        <w:pageBreakBefore/>
        <w:spacing w:after="60"/>
      </w:pPr>
      <w:r>
        <w:rPr>
          <w:rFonts w:ascii="Consolas" w:cs="Consolas" w:eastAsia="Consolas" w:hAnsi="Consolas"/>
          <w:b/>
          <w:bCs/>
          <w:color w:val="0D9488"/>
          <w:spacing w:val="30"/>
          <w:sz w:val="16"/>
          <w:szCs w:val="16"/>
        </w:rPr>
        <w:t xml:space="preserve">SECCIÓN 09</w:t>
      </w:r>
      <w:r>
        <w:rPr>
          <w:rFonts w:ascii="Consolas" w:cs="Consolas" w:eastAsia="Consolas" w:hAnsi="Consolas"/>
          <w:color w:val="94A3B8"/>
          <w:sz w:val="16"/>
          <w:szCs w:val="16"/>
        </w:rPr>
        <w:t xml:space="preserve">  /  planificación</w:t>
      </w:r>
    </w:p>
    <w:p>
      <w:pPr>
        <w:pStyle w:val="Heading1"/>
        <w:keepNext/>
        <w:pBdr>
          <w:bottom w:val="single" w:color="E2E8F0" w:sz="6" w:space="6"/>
        </w:pBdr>
        <w:spacing w:after="160"/>
      </w:pPr>
      <w:r>
        <w:rPr>
          <w:rFonts w:ascii="Calibri" w:cs="Calibri" w:eastAsia="Calibri" w:hAnsi="Calibri"/>
          <w:b/>
          <w:bCs/>
          <w:color w:val="0F172A"/>
          <w:sz w:val="34"/>
          <w:szCs w:val="34"/>
        </w:rPr>
        <w:t xml:space="preserve">Carta Gantt técnica</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La carta técnica detalla las tareas sin moverse de las fechas de la carta general del Informe 08.</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Planificar el camino servicios web del 1 de octubre al 27 de noviembre, para cualquiera de las tres propuestas.</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Mismas cinco fases, mismas semanas y mismos hitos del Informe 08. La construcción depende del otorgamiento.</w:t>
            </w:r>
          </w:p>
        </w:tc>
      </w:tr>
    </w:tbl>
    <w:p>
      <w:pPr>
        <w:spacing w:after="140" w:before="0" w:line="120"/>
      </w:pP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400"/>
        <w:gridCol w:w="582"/>
        <w:gridCol w:w="582"/>
        <w:gridCol w:w="582"/>
        <w:gridCol w:w="582"/>
        <w:gridCol w:w="582"/>
        <w:gridCol w:w="582"/>
        <w:gridCol w:w="582"/>
        <w:gridCol w:w="582"/>
        <w:gridCol w:w="584"/>
      </w:tblGrid>
      <w:tr>
        <w:trPr>
          <w:tblHeader/>
        </w:trPr>
        <w:tc>
          <w:tcPr>
            <w:tcW w:type="dxa" w:w="4400"/>
            <w:tcBorders>
              <w:top w:val="single" w:color="E2E8F0" w:sz="4"/>
              <w:left w:val="single" w:color="E2E8F0" w:sz="4"/>
              <w:bottom w:val="single" w:color="E2E8F0" w:sz="4"/>
              <w:right w:val="single" w:color="E2E8F0" w:sz="4"/>
            </w:tcBorders>
            <w:shd w:fill="0F172A" w:color="auto" w:val="clear"/>
            <w:tcMar>
              <w:top w:type="dxa" w:w="60"/>
              <w:left w:type="dxa" w:w="110"/>
              <w:bottom w:type="dxa" w:w="60"/>
              <w:right w:type="dxa" w:w="110"/>
            </w:tcMar>
            <w:vAlign w:val="top"/>
          </w:tcPr>
          <w:p>
            <w:pPr>
              <w:spacing w:after="40" w:line="252"/>
              <w:jc w:val="left"/>
            </w:pPr>
            <w:r>
              <w:rPr>
                <w:rFonts w:ascii="Consolas" w:cs="Consolas" w:eastAsia="Consolas" w:hAnsi="Consolas"/>
                <w:b/>
                <w:bCs/>
                <w:color w:val="FFFFFF"/>
                <w:sz w:val="14"/>
                <w:szCs w:val="14"/>
              </w:rPr>
              <w:t xml:space="preserve">ACTIVIDAD</w:t>
            </w:r>
          </w:p>
        </w:tc>
        <w:tc>
          <w:tcPr>
            <w:tcW w:type="dxa" w:w="582"/>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S1</w:t>
            </w:r>
          </w:p>
          <w:p>
            <w:pPr>
              <w:jc w:val="center"/>
            </w:pPr>
            <w:r>
              <w:rPr>
                <w:rFonts w:ascii="Consolas" w:cs="Consolas" w:eastAsia="Consolas" w:hAnsi="Consolas"/>
                <w:color w:val="94A3B8"/>
                <w:sz w:val="12"/>
                <w:szCs w:val="12"/>
              </w:rPr>
              <w:t xml:space="preserve">1–2 oct</w:t>
            </w:r>
          </w:p>
        </w:tc>
        <w:tc>
          <w:tcPr>
            <w:tcW w:type="dxa" w:w="582"/>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S2</w:t>
            </w:r>
          </w:p>
          <w:p>
            <w:pPr>
              <w:jc w:val="center"/>
            </w:pPr>
            <w:r>
              <w:rPr>
                <w:rFonts w:ascii="Consolas" w:cs="Consolas" w:eastAsia="Consolas" w:hAnsi="Consolas"/>
                <w:color w:val="94A3B8"/>
                <w:sz w:val="12"/>
                <w:szCs w:val="12"/>
              </w:rPr>
              <w:t xml:space="preserve">5–9 oct</w:t>
            </w:r>
          </w:p>
        </w:tc>
        <w:tc>
          <w:tcPr>
            <w:tcW w:type="dxa" w:w="582"/>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S3</w:t>
            </w:r>
          </w:p>
          <w:p>
            <w:pPr>
              <w:jc w:val="center"/>
            </w:pPr>
            <w:r>
              <w:rPr>
                <w:rFonts w:ascii="Consolas" w:cs="Consolas" w:eastAsia="Consolas" w:hAnsi="Consolas"/>
                <w:color w:val="94A3B8"/>
                <w:sz w:val="12"/>
                <w:szCs w:val="12"/>
              </w:rPr>
              <w:t xml:space="preserve">12–16</w:t>
            </w:r>
          </w:p>
        </w:tc>
        <w:tc>
          <w:tcPr>
            <w:tcW w:type="dxa" w:w="582"/>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S4</w:t>
            </w:r>
          </w:p>
          <w:p>
            <w:pPr>
              <w:jc w:val="center"/>
            </w:pPr>
            <w:r>
              <w:rPr>
                <w:rFonts w:ascii="Consolas" w:cs="Consolas" w:eastAsia="Consolas" w:hAnsi="Consolas"/>
                <w:color w:val="94A3B8"/>
                <w:sz w:val="12"/>
                <w:szCs w:val="12"/>
              </w:rPr>
              <w:t xml:space="preserve">19–23</w:t>
            </w:r>
          </w:p>
        </w:tc>
        <w:tc>
          <w:tcPr>
            <w:tcW w:type="dxa" w:w="582"/>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S5</w:t>
            </w:r>
          </w:p>
          <w:p>
            <w:pPr>
              <w:jc w:val="center"/>
            </w:pPr>
            <w:r>
              <w:rPr>
                <w:rFonts w:ascii="Consolas" w:cs="Consolas" w:eastAsia="Consolas" w:hAnsi="Consolas"/>
                <w:color w:val="94A3B8"/>
                <w:sz w:val="12"/>
                <w:szCs w:val="12"/>
              </w:rPr>
              <w:t xml:space="preserve">26–30</w:t>
            </w:r>
          </w:p>
        </w:tc>
        <w:tc>
          <w:tcPr>
            <w:tcW w:type="dxa" w:w="582"/>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S6</w:t>
            </w:r>
          </w:p>
          <w:p>
            <w:pPr>
              <w:jc w:val="center"/>
            </w:pPr>
            <w:r>
              <w:rPr>
                <w:rFonts w:ascii="Consolas" w:cs="Consolas" w:eastAsia="Consolas" w:hAnsi="Consolas"/>
                <w:color w:val="94A3B8"/>
                <w:sz w:val="12"/>
                <w:szCs w:val="12"/>
              </w:rPr>
              <w:t xml:space="preserve">2–6 nov</w:t>
            </w:r>
          </w:p>
        </w:tc>
        <w:tc>
          <w:tcPr>
            <w:tcW w:type="dxa" w:w="582"/>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S7</w:t>
            </w:r>
          </w:p>
          <w:p>
            <w:pPr>
              <w:jc w:val="center"/>
            </w:pPr>
            <w:r>
              <w:rPr>
                <w:rFonts w:ascii="Consolas" w:cs="Consolas" w:eastAsia="Consolas" w:hAnsi="Consolas"/>
                <w:color w:val="94A3B8"/>
                <w:sz w:val="12"/>
                <w:szCs w:val="12"/>
              </w:rPr>
              <w:t xml:space="preserve">9–13</w:t>
            </w:r>
          </w:p>
        </w:tc>
        <w:tc>
          <w:tcPr>
            <w:tcW w:type="dxa" w:w="582"/>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S8</w:t>
            </w:r>
          </w:p>
          <w:p>
            <w:pPr>
              <w:jc w:val="center"/>
            </w:pPr>
            <w:r>
              <w:rPr>
                <w:rFonts w:ascii="Consolas" w:cs="Consolas" w:eastAsia="Consolas" w:hAnsi="Consolas"/>
                <w:color w:val="94A3B8"/>
                <w:sz w:val="12"/>
                <w:szCs w:val="12"/>
              </w:rPr>
              <w:t xml:space="preserve">16–20</w:t>
            </w:r>
          </w:p>
        </w:tc>
        <w:tc>
          <w:tcPr>
            <w:tcW w:type="dxa" w:w="584"/>
            <w:tcBorders>
              <w:top w:val="single" w:color="E2E8F0" w:sz="4"/>
              <w:left w:val="single" w:color="E2E8F0" w:sz="4"/>
              <w:bottom w:val="single" w:color="E2E8F0" w:sz="4"/>
              <w:right w:val="single" w:color="E2E8F0" w:sz="4"/>
            </w:tcBorders>
            <w:shd w:fill="0F172A" w:color="auto" w:val="clear"/>
            <w:tcMar>
              <w:top w:type="dxa" w:w="50"/>
              <w:left w:type="dxa" w:w="20"/>
              <w:bottom w:type="dxa" w:w="50"/>
              <w:right w:type="dxa" w:w="20"/>
            </w:tcMar>
            <w:vAlign w:val="top"/>
          </w:tcPr>
          <w:p>
            <w:pPr>
              <w:jc w:val="center"/>
            </w:pPr>
            <w:r>
              <w:rPr>
                <w:rFonts w:ascii="Consolas" w:cs="Consolas" w:eastAsia="Consolas" w:hAnsi="Consolas"/>
                <w:b/>
                <w:bCs/>
                <w:color w:val="FFFFFF"/>
                <w:sz w:val="14"/>
                <w:szCs w:val="14"/>
              </w:rPr>
              <w:t xml:space="preserve">S9</w:t>
            </w:r>
          </w:p>
          <w:p>
            <w:pPr>
              <w:jc w:val="center"/>
            </w:pPr>
            <w:r>
              <w:rPr>
                <w:rFonts w:ascii="Consolas" w:cs="Consolas" w:eastAsia="Consolas" w:hAnsi="Consolas"/>
                <w:color w:val="94A3B8"/>
                <w:sz w:val="12"/>
                <w:szCs w:val="12"/>
              </w:rPr>
              <w:t xml:space="preserve">23–27</w:t>
            </w:r>
          </w:p>
        </w:tc>
      </w:tr>
      <w:tr>
        <w:trPr>
          <w:cantSplit/>
        </w:trPr>
        <w:tc>
          <w:tcPr>
            <w:tcW w:type="dxa" w:w="4400"/>
            <w:tcBorders>
              <w:top w:val="single" w:color="E2E8F0" w:sz="4"/>
              <w:left w:val="single" w:color="E2E8F0" w:sz="4"/>
              <w:bottom w:val="single" w:color="E2E8F0" w:sz="4"/>
              <w:right w:val="single" w:color="E2E8F0" w:sz="4"/>
            </w:tcBorders>
            <w:shd w:fill="F8FAFC" w:color="auto" w:val="clear"/>
            <w:tcMar>
              <w:top w:type="dxa" w:w="45"/>
              <w:left w:type="dxa" w:w="110"/>
              <w:bottom w:type="dxa" w:w="45"/>
              <w:right w:type="dxa" w:w="110"/>
            </w:tcMar>
            <w:vAlign w:val="top"/>
          </w:tcPr>
          <w:p>
            <w:pPr>
              <w:spacing w:after="0" w:line="230"/>
            </w:pPr>
            <w:r>
              <w:rPr>
                <w:b/>
                <w:bCs/>
                <w:color w:val="0F172A"/>
                <w:sz w:val="16"/>
                <w:szCs w:val="16"/>
              </w:rPr>
              <w:t xml:space="preserve">Solicitud y acuerdo con FONASA</w:t>
            </w:r>
          </w:p>
        </w:tc>
        <w:tc>
          <w:tcPr>
            <w:tcW w:type="dxa" w:w="582"/>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4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Solicitud por la Red de Interoperabilidad (decisivo)</w:t>
            </w:r>
          </w:p>
        </w:tc>
        <w:tc>
          <w:tcPr>
            <w:tcW w:type="dxa" w:w="582"/>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w:t>
            </w:r>
          </w:p>
        </w:tc>
        <w:tc>
          <w:tcPr>
            <w:tcW w:type="dxa" w:w="582"/>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4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Acuerdo formal y credenciales de servicio</w:t>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4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Evaluación de impacto en protección de datos</w:t>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400"/>
            <w:tcBorders>
              <w:top w:val="single" w:color="E2E8F0" w:sz="4"/>
              <w:left w:val="single" w:color="E2E8F0" w:sz="4"/>
              <w:bottom w:val="single" w:color="E2E8F0" w:sz="4"/>
              <w:right w:val="single" w:color="E2E8F0" w:sz="4"/>
            </w:tcBorders>
            <w:shd w:fill="F8FAFC" w:color="auto" w:val="clear"/>
            <w:tcMar>
              <w:top w:type="dxa" w:w="45"/>
              <w:left w:type="dxa" w:w="110"/>
              <w:bottom w:type="dxa" w:w="45"/>
              <w:right w:type="dxa" w:w="110"/>
            </w:tcMar>
            <w:vAlign w:val="top"/>
          </w:tcPr>
          <w:p>
            <w:pPr>
              <w:spacing w:after="0" w:line="230"/>
            </w:pPr>
            <w:r>
              <w:rPr>
                <w:b/>
                <w:bCs/>
                <w:color w:val="0F172A"/>
                <w:sz w:val="16"/>
                <w:szCs w:val="16"/>
              </w:rPr>
              <w:t xml:space="preserve">Diagnóstico y diseño</w:t>
            </w:r>
          </w:p>
        </w:tc>
        <w:tc>
          <w:tcPr>
            <w:tcW w:type="dxa" w:w="582"/>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4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Levantamiento, arquitectura y modelo de datos</w:t>
            </w:r>
          </w:p>
        </w:tc>
        <w:tc>
          <w:tcPr>
            <w:tcW w:type="dxa" w:w="582"/>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w:t>
            </w:r>
          </w:p>
        </w:tc>
        <w:tc>
          <w:tcPr>
            <w:tcW w:type="dxa" w:w="582"/>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4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Informes 08.3.1, 08.3.2 y 08.3.3 (marco legal, tres propuestas y costos)</w:t>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w:t>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4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Anexo comparativo: elección de camino y propuesta</w:t>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w:t>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400"/>
            <w:tcBorders>
              <w:top w:val="single" w:color="E2E8F0" w:sz="4"/>
              <w:left w:val="single" w:color="E2E8F0" w:sz="4"/>
              <w:bottom w:val="single" w:color="E2E8F0" w:sz="4"/>
              <w:right w:val="single" w:color="E2E8F0" w:sz="4"/>
            </w:tcBorders>
            <w:shd w:fill="F8FAFC" w:color="auto" w:val="clear"/>
            <w:tcMar>
              <w:top w:type="dxa" w:w="45"/>
              <w:left w:type="dxa" w:w="110"/>
              <w:bottom w:type="dxa" w:w="45"/>
              <w:right w:type="dxa" w:w="110"/>
            </w:tcMar>
            <w:vAlign w:val="top"/>
          </w:tcPr>
          <w:p>
            <w:pPr>
              <w:spacing w:after="0" w:line="230"/>
            </w:pPr>
            <w:r>
              <w:rPr>
                <w:b/>
                <w:bCs/>
                <w:color w:val="0F172A"/>
                <w:sz w:val="16"/>
                <w:szCs w:val="16"/>
              </w:rPr>
              <w:t xml:space="preserve">Construcción (al otorgarse el servicio)</w:t>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4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Conector al servicio, motor de plazos y acuse</w:t>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shd w:fill="B45309"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shd w:fill="B45309"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4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LAYA, servidor del modelo y reglas de clasificación</w:t>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shd w:fill="B45309"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shd w:fill="B45309"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4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Módulo Licencias: bandeja, aprobación y tablero</w:t>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shd w:fill="B45309"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2"/>
            <w:tcBorders>
              <w:top w:val="single" w:color="E2E8F0" w:sz="4"/>
              <w:left w:val="single" w:color="E2E8F0" w:sz="4"/>
              <w:bottom w:val="single" w:color="E2E8F0" w:sz="4"/>
              <w:right w:val="single" w:color="E2E8F0" w:sz="4"/>
            </w:tcBorders>
            <w:shd w:fill="B45309"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4"/>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r>
      <w:tr>
        <w:trPr>
          <w:cantSplit/>
        </w:trPr>
        <w:tc>
          <w:tcPr>
            <w:tcW w:type="dxa" w:w="4400"/>
            <w:tcBorders>
              <w:top w:val="single" w:color="E2E8F0" w:sz="4"/>
              <w:left w:val="single" w:color="E2E8F0" w:sz="4"/>
              <w:bottom w:val="single" w:color="E2E8F0" w:sz="4"/>
              <w:right w:val="single" w:color="E2E8F0" w:sz="4"/>
            </w:tcBorders>
            <w:shd w:fill="F8FAFC" w:color="auto" w:val="clear"/>
            <w:tcMar>
              <w:top w:type="dxa" w:w="45"/>
              <w:left w:type="dxa" w:w="110"/>
              <w:bottom w:type="dxa" w:w="45"/>
              <w:right w:type="dxa" w:w="110"/>
            </w:tcMar>
            <w:vAlign w:val="top"/>
          </w:tcPr>
          <w:p>
            <w:pPr>
              <w:spacing w:after="0" w:line="230"/>
            </w:pPr>
            <w:r>
              <w:rPr>
                <w:b/>
                <w:bCs/>
                <w:color w:val="0F172A"/>
                <w:sz w:val="16"/>
                <w:szCs w:val="16"/>
              </w:rPr>
              <w:t xml:space="preserve">Pruebas y cierre</w:t>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4"/>
            <w:tcBorders>
              <w:top w:val="single" w:color="E2E8F0" w:sz="4"/>
              <w:left w:val="single" w:color="E2E8F0" w:sz="4"/>
              <w:bottom w:val="single" w:color="E2E8F0" w:sz="4"/>
              <w:right w:val="single" w:color="E2E8F0" w:sz="4"/>
            </w:tcBorders>
            <w:shd w:fill="0F172A"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r>
      <w:tr>
        <w:trPr>
          <w:cantSplit/>
        </w:trPr>
        <w:tc>
          <w:tcPr>
            <w:tcW w:type="dxa" w:w="44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Certificación, real supervisada y paralelo</w:t>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c>
          <w:tcPr>
            <w:tcW w:type="dxa" w:w="584"/>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
            </w:r>
          </w:p>
        </w:tc>
      </w:tr>
      <w:tr>
        <w:trPr>
          <w:cantSplit/>
        </w:trPr>
        <w:tc>
          <w:tcPr>
            <w:tcW w:type="dxa" w:w="4400"/>
            <w:tcBorders>
              <w:top w:val="single" w:color="E2E8F0" w:sz="4"/>
              <w:left w:val="single" w:color="E2E8F0" w:sz="4"/>
              <w:bottom w:val="single" w:color="E2E8F0" w:sz="4"/>
              <w:right w:val="single" w:color="E2E8F0" w:sz="4"/>
            </w:tcBorders>
            <w:tcMar>
              <w:top w:type="dxa" w:w="45"/>
              <w:left w:type="dxa" w:w="110"/>
              <w:bottom w:type="dxa" w:w="45"/>
              <w:right w:type="dxa" w:w="110"/>
            </w:tcMar>
            <w:vAlign w:val="top"/>
          </w:tcPr>
          <w:p>
            <w:pPr>
              <w:spacing w:after="0" w:line="230"/>
            </w:pPr>
            <w:r>
              <w:rPr>
                <w:b w:val="false"/>
                <w:bCs w:val="false"/>
                <w:color w:val="334155"/>
                <w:sz w:val="15"/>
                <w:szCs w:val="15"/>
              </w:rPr>
              <w:t xml:space="preserve">Cierre del piloto e informe de resultados</w:t>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shd w:fill="FEF2F2" w:color="auto" w:val="clear"/>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2"/>
            <w:tcBorders>
              <w:top w:val="single" w:color="E2E8F0" w:sz="4"/>
              <w:left w:val="single" w:color="E2E8F0" w:sz="4"/>
              <w:bottom w:val="single" w:color="E2E8F0" w:sz="4"/>
              <w:right w:val="single" w:color="E2E8F0" w:sz="4"/>
            </w:tcBorders>
            <w:tcMar>
              <w:top w:type="dxa" w:w="45"/>
              <w:left w:type="dxa" w:w="10"/>
              <w:bottom w:type="dxa" w:w="45"/>
              <w:right w:type="dxa" w:w="10"/>
            </w:tcMar>
            <w:vAlign w:val="center"/>
          </w:tcPr>
          <w:p>
            <w:pPr>
              <w:jc w:val="center"/>
            </w:pPr>
            <w:r>
              <w:rPr>
                <w:rFonts w:ascii="Calibri" w:cs="Calibri" w:eastAsia="Calibri" w:hAnsi="Calibri"/>
                <w:b/>
                <w:bCs/>
                <w:color w:val="B45309"/>
                <w:sz w:val="14"/>
                <w:szCs w:val="14"/>
              </w:rPr>
              <w:t xml:space="preserve"/>
            </w:r>
          </w:p>
        </w:tc>
        <w:tc>
          <w:tcPr>
            <w:tcW w:type="dxa" w:w="584"/>
            <w:tcBorders>
              <w:top w:val="single" w:color="E2E8F0" w:sz="4"/>
              <w:left w:val="single" w:color="E2E8F0" w:sz="4"/>
              <w:bottom w:val="single" w:color="E2E8F0" w:sz="4"/>
              <w:right w:val="single" w:color="E2E8F0" w:sz="4"/>
            </w:tcBorders>
            <w:shd w:fill="0D9488" w:color="auto" w:val="clear"/>
            <w:tcMar>
              <w:top w:type="dxa" w:w="45"/>
              <w:left w:type="dxa" w:w="10"/>
              <w:bottom w:type="dxa" w:w="45"/>
              <w:right w:type="dxa" w:w="10"/>
            </w:tcMar>
            <w:vAlign w:val="center"/>
          </w:tcPr>
          <w:p>
            <w:pPr>
              <w:jc w:val="center"/>
            </w:pPr>
            <w:r>
              <w:rPr>
                <w:rFonts w:ascii="Calibri" w:cs="Calibri" w:eastAsia="Calibri" w:hAnsi="Calibri"/>
                <w:b/>
                <w:bCs/>
                <w:color w:val="FFFFFF"/>
                <w:sz w:val="14"/>
                <w:szCs w:val="14"/>
              </w:rPr>
              <w:t xml:space="preserve">◆</w:t>
            </w:r>
          </w:p>
        </w:tc>
      </w:tr>
    </w:tbl>
    <w:p>
      <w:pPr>
        <w:spacing w:after="40" w:before="60"/>
      </w:pPr>
      <w:r>
        <w:rPr>
          <w:color w:val="64748B"/>
          <w:sz w:val="15"/>
          <w:szCs w:val="15"/>
        </w:rPr>
        <w:t xml:space="preserve">◆ Hitos: solicitud (1-oct) · fin del diagnóstico (14-oct) · Informes 08.3.x (23-oct) · elección (30-oct) · cierre (27-nov). En ámbar, la construcción: empieza al otorgarse el servicio; si no llega en el período, el camino queda listo para incorporarse después. S3 incluye el feriado del 12 de octubre.</w:t>
      </w:r>
    </w:p>
    <w:p>
      <w:pPr>
        <w:spacing w:after="200" w:before="80"/>
      </w:pPr>
      <w:r>
        <w:rPr>
          <w:rFonts w:ascii="Consolas" w:cs="Consolas" w:eastAsia="Consolas" w:hAnsi="Consolas"/>
          <w:b/>
          <w:bCs/>
          <w:color w:val="0D9488"/>
          <w:sz w:val="15"/>
          <w:szCs w:val="15"/>
        </w:rPr>
        <w:t xml:space="preserve">FIG. 4  </w:t>
      </w:r>
      <w:r>
        <w:rPr>
          <w:rFonts w:ascii="Calibri" w:cs="Calibri" w:eastAsia="Calibri" w:hAnsi="Calibri"/>
          <w:color w:val="64748B"/>
          <w:sz w:val="16"/>
          <w:szCs w:val="16"/>
        </w:rPr>
        <w:t xml:space="preserve">Carta Gantt técnica del camino servicios web, alineada con la carta general del Informe 08.</w:t>
      </w:r>
    </w:p>
    <w:p>
      <w:pPr>
        <w:spacing w:after="140" w:before="0" w:line="276"/>
        <w:jc w:val="left"/>
      </w:pPr>
      <w:r>
        <w:rPr>
          <w:rFonts w:ascii="Calibri" w:cs="Calibri" w:eastAsia="Calibri" w:hAnsi="Calibri"/>
          <w:color w:val="334155"/>
          <w:sz w:val="18"/>
          <w:szCs w:val="18"/>
        </w:rPr>
        <w:t xml:space="preserve">A diferencia de los otros caminos, aquí la construcción depende de un </w:t>
      </w:r>
      <w:r>
        <w:rPr>
          <w:rFonts w:ascii="Calibri" w:cs="Calibri" w:eastAsia="Calibri" w:hAnsi="Calibri"/>
          <w:b/>
          <w:bCs/>
          <w:color w:val="0F172A"/>
          <w:sz w:val="18"/>
          <w:szCs w:val="18"/>
        </w:rPr>
        <w:t xml:space="preserve">trámite externo</w:t>
      </w:r>
      <w:r>
        <w:rPr>
          <w:rFonts w:ascii="Calibri" w:cs="Calibri" w:eastAsia="Calibri" w:hAnsi="Calibri"/>
          <w:color w:val="334155"/>
          <w:sz w:val="18"/>
          <w:szCs w:val="18"/>
        </w:rPr>
        <w:t xml:space="preserve"> cuyo plazo la DEP no controla. Por eso la solicitud se ingresa el primer día y el diseño se adelanta, para construir rápido apenas el servicio se otorgue.</w:t>
      </w:r>
    </w:p>
    <w:p>
      <w:pPr>
        <w:keepNext/>
        <w:pageBreakBefore/>
        <w:spacing w:after="60"/>
      </w:pPr>
      <w:r>
        <w:rPr>
          <w:rFonts w:ascii="Consolas" w:cs="Consolas" w:eastAsia="Consolas" w:hAnsi="Consolas"/>
          <w:b/>
          <w:bCs/>
          <w:color w:val="0D9488"/>
          <w:spacing w:val="30"/>
          <w:sz w:val="16"/>
          <w:szCs w:val="16"/>
        </w:rPr>
        <w:t xml:space="preserve">SECCIÓN 10</w:t>
      </w:r>
      <w:r>
        <w:rPr>
          <w:rFonts w:ascii="Consolas" w:cs="Consolas" w:eastAsia="Consolas" w:hAnsi="Consolas"/>
          <w:color w:val="94A3B8"/>
          <w:sz w:val="16"/>
          <w:szCs w:val="16"/>
        </w:rPr>
        <w:t xml:space="preserve">  /  cierre</w:t>
      </w:r>
    </w:p>
    <w:p>
      <w:pPr>
        <w:pStyle w:val="Heading1"/>
        <w:keepNext/>
        <w:pBdr>
          <w:bottom w:val="single" w:color="E2E8F0" w:sz="6" w:space="6"/>
        </w:pBdr>
        <w:spacing w:after="160"/>
      </w:pPr>
      <w:r>
        <w:rPr>
          <w:rFonts w:ascii="Calibri" w:cs="Calibri" w:eastAsia="Calibri" w:hAnsi="Calibri"/>
          <w:b/>
          <w:bCs/>
          <w:color w:val="0F172A"/>
          <w:sz w:val="34"/>
          <w:szCs w:val="34"/>
        </w:rPr>
        <w:t xml:space="preserve">Conclusiones</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213"/>
        <w:gridCol w:w="3213"/>
        <w:gridCol w:w="3214"/>
      </w:tblGrid>
      <w:tr>
        <w:trPr>
          <w:cantSplit/>
        </w:trPr>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POR QUÉ</w:t>
            </w:r>
          </w:p>
          <w:p>
            <w:pPr>
              <w:spacing w:after="20" w:line="250"/>
            </w:pPr>
            <w:r>
              <w:rPr>
                <w:color w:val="334155"/>
                <w:sz w:val="17"/>
                <w:szCs w:val="17"/>
              </w:rPr>
              <w:t xml:space="preserve">Un informe técnico debe decir con qué condiciones se puede empezar.</w:t>
            </w:r>
          </w:p>
        </w:tc>
        <w:tc>
          <w:tcPr>
            <w:tcW w:type="dxa" w:w="3213"/>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PARA QUÉ</w:t>
            </w:r>
          </w:p>
          <w:p>
            <w:pPr>
              <w:spacing w:after="20" w:line="250"/>
            </w:pPr>
            <w:r>
              <w:rPr>
                <w:color w:val="334155"/>
                <w:sz w:val="17"/>
                <w:szCs w:val="17"/>
              </w:rPr>
              <w:t xml:space="preserve">Resumir el camino, sus propuestas y sus condiciones de inicio.</w:t>
            </w:r>
          </w:p>
        </w:tc>
        <w:tc>
          <w:tcPr>
            <w:tcW w:type="dxa" w:w="3214"/>
            <w:tcBorders>
              <w:top w:val="single" w:color="0D9488" w:sz="12"/>
              <w:left w:val="single" w:color="CBD5E1" w:sz="4"/>
              <w:bottom w:val="single" w:color="CBD5E1" w:sz="4"/>
              <w:right w:val="single" w:color="CBD5E1" w:sz="4"/>
            </w:tcBorders>
            <w:shd w:fill="F8FAFC" w:color="auto" w:val="clear"/>
            <w:tcMar>
              <w:top w:type="dxa" w:w="100"/>
              <w:left w:type="dxa" w:w="110"/>
              <w:bottom w:type="dxa" w:w="100"/>
              <w:right w:type="dxa" w:w="110"/>
            </w:tcMar>
            <w:vAlign w:val="top"/>
          </w:tcPr>
          <w:p>
            <w:pPr>
              <w:spacing w:after="60"/>
            </w:pPr>
            <w:r>
              <w:rPr>
                <w:rFonts w:ascii="Consolas" w:cs="Consolas" w:eastAsia="Consolas" w:hAnsi="Consolas"/>
                <w:b/>
                <w:bCs/>
                <w:color w:val="0D9488"/>
                <w:spacing w:val="20"/>
                <w:sz w:val="15"/>
                <w:szCs w:val="15"/>
              </w:rPr>
              <w:t xml:space="preserve">CÓMO</w:t>
            </w:r>
          </w:p>
          <w:p>
            <w:pPr>
              <w:spacing w:after="20" w:line="250"/>
            </w:pPr>
            <w:r>
              <w:rPr>
                <w:color w:val="334155"/>
                <w:sz w:val="17"/>
                <w:szCs w:val="17"/>
              </w:rPr>
              <w:t xml:space="preserve">Síntesis y recomendación por propuesta; los requisitos previos están en el Informe 08.3.1.</w:t>
            </w:r>
          </w:p>
        </w:tc>
      </w:tr>
    </w:tbl>
    <w:p>
      <w:pPr>
        <w:spacing w:after="140" w:before="0" w:line="120"/>
      </w:pPr>
    </w:p>
    <w:p>
      <w:pPr>
        <w:spacing w:after="140" w:before="0" w:line="276"/>
        <w:jc w:val="left"/>
      </w:pPr>
      <w:r>
        <w:rPr>
          <w:rFonts w:ascii="Calibri" w:cs="Calibri" w:eastAsia="Calibri" w:hAnsi="Calibri"/>
          <w:color w:val="334155"/>
          <w:sz w:val="20"/>
          <w:szCs w:val="20"/>
        </w:rPr>
        <w:t xml:space="preserve">El camino de servicios web es el más estable y el más barato de la Fase 2 —y, como muestra el Informe 08.3.1, el más sólido legalmente—</w:t>
      </w:r>
      <w:r>
        <w:rPr>
          <w:rFonts w:ascii="Calibri" w:cs="Calibri" w:eastAsia="Calibri" w:hAnsi="Calibri"/>
          <w:b/>
          <w:bCs/>
          <w:color w:val="0F172A"/>
          <w:sz w:val="20"/>
          <w:szCs w:val="20"/>
        </w:rPr>
        <w:t xml:space="preserve"/>
      </w:r>
      <w:r>
        <w:rPr>
          <w:rFonts w:ascii="Calibri" w:cs="Calibri" w:eastAsia="Calibri" w:hAnsi="Calibri"/>
          <w:color w:val="334155"/>
          <w:sz w:val="20"/>
          <w:szCs w:val="20"/>
        </w:rPr>
        <w:t xml:space="preserve">: usa el canal oficial del Estado, sin cobro entre organismos, con acuerdo formal y acuses oficiales. Es la </w:t>
      </w:r>
      <w:r>
        <w:rPr>
          <w:rFonts w:ascii="Calibri" w:cs="Calibri" w:eastAsia="Calibri" w:hAnsi="Calibri"/>
          <w:b/>
          <w:bCs/>
          <w:color w:val="0F172A"/>
          <w:sz w:val="20"/>
          <w:szCs w:val="20"/>
        </w:rPr>
        <w:t xml:space="preserve">arquitectura objetivo de largo plazo</w:t>
      </w:r>
      <w:r>
        <w:rPr>
          <w:rFonts w:ascii="Calibri" w:cs="Calibri" w:eastAsia="Calibri" w:hAnsi="Calibri"/>
          <w:color w:val="334155"/>
          <w:sz w:val="20"/>
          <w:szCs w:val="20"/>
        </w:rPr>
        <w:t xml:space="preserve">. Su única condición es de </w:t>
      </w:r>
      <w:r>
        <w:rPr>
          <w:rFonts w:ascii="Calibri" w:cs="Calibri" w:eastAsia="Calibri" w:hAnsi="Calibri"/>
          <w:b/>
          <w:bCs/>
          <w:color w:val="0F172A"/>
          <w:sz w:val="20"/>
          <w:szCs w:val="20"/>
        </w:rPr>
        <w:t xml:space="preserve">plazo</w:t>
      </w:r>
      <w:r>
        <w:rPr>
          <w:rFonts w:ascii="Calibri" w:cs="Calibri" w:eastAsia="Calibri" w:hAnsi="Calibri"/>
          <w:color w:val="334155"/>
          <w:sz w:val="20"/>
          <w:szCs w:val="20"/>
        </w:rPr>
        <w:t xml:space="preserve">: depende de que FONASA otorgue el servicio, lo que puede exceder el piloto.</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5000"/>
        <w:gridCol w:w="2840"/>
      </w:tblGrid>
      <w:tr>
        <w:trPr>
          <w:tblHeader/>
        </w:trPr>
        <w:tc>
          <w:tcPr>
            <w:tcW w:type="dxa" w:w="18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PROPUESTA</w:t>
            </w:r>
          </w:p>
        </w:tc>
        <w:tc>
          <w:tcPr>
            <w:tcW w:type="dxa" w:w="500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CUÁNDO CONVIENE</w:t>
            </w:r>
          </w:p>
        </w:tc>
        <w:tc>
          <w:tcPr>
            <w:tcW w:type="dxa" w:w="2840"/>
            <w:tcBorders>
              <w:top w:val="none" w:color="FFFFFF" w:sz="0"/>
              <w:left w:val="none" w:color="FFFFFF" w:sz="0"/>
              <w:bottom w:val="none" w:color="FFFFFF" w:sz="0"/>
              <w:right w:val="none" w:color="FFFFFF" w:sz="0"/>
            </w:tcBorders>
            <w:shd w:fill="0F172A" w:color="auto" w:val="clear"/>
            <w:tcMar>
              <w:top w:type="dxa" w:w="70"/>
              <w:left w:type="dxa" w:w="110"/>
              <w:bottom w:type="dxa" w:w="70"/>
              <w:right w:type="dxa" w:w="110"/>
            </w:tcMar>
            <w:vAlign w:val="top"/>
          </w:tcPr>
          <w:p>
            <w:pPr>
              <w:spacing w:after="40" w:line="252"/>
              <w:jc w:val="left"/>
            </w:pPr>
            <w:r>
              <w:rPr>
                <w:rFonts w:ascii="Consolas" w:cs="Consolas" w:eastAsia="Consolas" w:hAnsi="Consolas"/>
                <w:b/>
                <w:bCs/>
                <w:color w:val="FFFFFF"/>
                <w:sz w:val="15"/>
                <w:szCs w:val="15"/>
              </w:rPr>
              <w:t xml:space="preserve">RECOMENDACIÓN</w:t>
            </w:r>
          </w:p>
        </w:tc>
      </w:tr>
      <w:tr>
        <w:trPr>
          <w:cantSplit/>
        </w:trPr>
        <w:tc>
          <w:tcPr>
            <w:tcW w:type="dxa" w:w="1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WS1 · Costo cero</w:t>
            </w:r>
          </w:p>
        </w:tc>
        <w:tc>
          <w:tcPr>
            <w:tcW w:type="dxa" w:w="5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FONASA otorga el servicio; se busca el menor costo con un canal oficial</w:t>
            </w:r>
          </w:p>
        </w:tc>
        <w:tc>
          <w:tcPr>
            <w:tcW w:type="dxa" w:w="2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6"/>
                <w:szCs w:val="16"/>
              </w:rPr>
              <w:t xml:space="preserve">● Recomendada, al otorgarse el servicio</w:t>
            </w:r>
          </w:p>
        </w:tc>
      </w:tr>
      <w:tr>
        <w:trPr>
          <w:cantSplit/>
        </w:trPr>
        <w:tc>
          <w:tcPr>
            <w:tcW w:type="dxa" w:w="1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WS2 · Óptima</w:t>
            </w:r>
          </w:p>
        </w:tc>
        <w:tc>
          <w:tcPr>
            <w:tcW w:type="dxa" w:w="5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Se escala a 36 SLEP y se quiere respuesta rápida de la IA</w:t>
            </w:r>
          </w:p>
        </w:tc>
        <w:tc>
          <w:tcPr>
            <w:tcW w:type="dxa" w:w="2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15803D"/>
                <w:sz w:val="16"/>
                <w:szCs w:val="16"/>
              </w:rPr>
              <w:t xml:space="preserve">● Recomendada para escalar</w:t>
            </w:r>
          </w:p>
        </w:tc>
      </w:tr>
      <w:tr>
        <w:trPr>
          <w:cantSplit/>
        </w:trPr>
        <w:tc>
          <w:tcPr>
            <w:tcW w:type="dxa" w:w="18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0F172A"/>
                <w:sz w:val="16"/>
                <w:szCs w:val="16"/>
              </w:rPr>
              <w:t xml:space="preserve">WS3 · Avanzada</w:t>
            </w:r>
          </w:p>
        </w:tc>
        <w:tc>
          <w:tcPr>
            <w:tcW w:type="dxa" w:w="500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val="false"/>
                <w:bCs w:val="false"/>
                <w:color w:val="334155"/>
                <w:sz w:val="16"/>
                <w:szCs w:val="16"/>
              </w:rPr>
              <w:t xml:space="preserve">La automatización es crítica y se comparte la IA con el portal (Informe 12)</w:t>
            </w:r>
          </w:p>
        </w:tc>
        <w:tc>
          <w:tcPr>
            <w:tcW w:type="dxa" w:w="2840"/>
            <w:tcBorders>
              <w:top w:val="none" w:color="FFFFFF" w:sz="0"/>
              <w:left w:val="none" w:color="FFFFFF" w:sz="0"/>
              <w:bottom w:val="single" w:color="E2E8F0" w:sz="4"/>
              <w:right w:val="none" w:color="FFFFFF" w:sz="0"/>
            </w:tcBorders>
            <w:tcMar>
              <w:top w:type="dxa" w:w="80"/>
              <w:left w:type="dxa" w:w="110"/>
              <w:bottom w:type="dxa" w:w="80"/>
              <w:right w:type="dxa" w:w="110"/>
            </w:tcMar>
            <w:vAlign w:val="top"/>
          </w:tcPr>
          <w:p>
            <w:pPr>
              <w:spacing w:after="40" w:line="252"/>
              <w:jc w:val="left"/>
            </w:pPr>
            <w:r>
              <w:rPr>
                <w:rFonts w:ascii="Calibri" w:cs="Calibri" w:eastAsia="Calibri" w:hAnsi="Calibri"/>
                <w:b/>
                <w:bCs/>
                <w:color w:val="B45309"/>
                <w:sz w:val="16"/>
                <w:szCs w:val="16"/>
              </w:rPr>
              <w:t xml:space="preserve">● Con el portal (2027)</w:t>
            </w:r>
          </w:p>
        </w:tc>
      </w:tr>
    </w:tbl>
    <w:p>
      <w:pPr>
        <w:spacing w:after="120" w:before="0" w:line="120"/>
      </w:pPr>
    </w:p>
    <w:p>
      <w:pPr>
        <w:spacing w:after="140" w:before="0" w:line="276"/>
        <w:jc w:val="left"/>
      </w:pPr>
      <w:r>
        <w:rPr>
          <w:rFonts w:ascii="Calibri" w:cs="Calibri" w:eastAsia="Calibri" w:hAnsi="Calibri"/>
          <w:color w:val="334155"/>
          <w:sz w:val="19"/>
          <w:szCs w:val="19"/>
        </w:rPr>
        <w:t xml:space="preserve">La recomendación es </w:t>
      </w:r>
      <w:r>
        <w:rPr>
          <w:rFonts w:ascii="Calibri" w:cs="Calibri" w:eastAsia="Calibri" w:hAnsi="Calibri"/>
          <w:b/>
          <w:bCs/>
          <w:color w:val="0F172A"/>
          <w:sz w:val="19"/>
          <w:szCs w:val="19"/>
        </w:rPr>
        <w:t xml:space="preserve">ingresar la solicitud a FONASA el primer día</w:t>
      </w:r>
      <w:r>
        <w:rPr>
          <w:rFonts w:ascii="Calibri" w:cs="Calibri" w:eastAsia="Calibri" w:hAnsi="Calibri"/>
          <w:color w:val="334155"/>
          <w:sz w:val="19"/>
          <w:szCs w:val="19"/>
        </w:rPr>
        <w:t xml:space="preserve"> y adelantar el diseño, para construir rápido apenas el servicio se otorgue. Si el plazo excede el piloto, este parte por otro camino y migra a servicios web cuando esté disponible. Es, además, la </w:t>
      </w:r>
      <w:r>
        <w:rPr>
          <w:rFonts w:ascii="Calibri" w:cs="Calibri" w:eastAsia="Calibri" w:hAnsi="Calibri"/>
          <w:b/>
          <w:bCs/>
          <w:color w:val="0F172A"/>
          <w:sz w:val="19"/>
          <w:szCs w:val="19"/>
        </w:rPr>
        <w:t xml:space="preserve">base preferida del camino mixto</w:t>
      </w:r>
      <w:r>
        <w:rPr>
          <w:rFonts w:ascii="Calibri" w:cs="Calibri" w:eastAsia="Calibri" w:hAnsi="Calibri"/>
          <w:color w:val="334155"/>
          <w:sz w:val="19"/>
          <w:szCs w:val="19"/>
        </w:rPr>
        <w:t xml:space="preserve"> (Informe 08.4).</w:t>
      </w:r>
    </w:p>
    <w:tbl>
      <w:tblPr>
        <w:tblW w:type="dxa" w:w="964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640"/>
      </w:tblGrid>
      <w:tr>
        <w:trPr>
          <w:cantSplit/>
        </w:trPr>
        <w:tc>
          <w:tcPr>
            <w:tcW w:type="dxa" w:w="9640"/>
            <w:tcBorders>
              <w:top w:val="none" w:color="FFFFFF" w:sz="0"/>
              <w:left w:val="single" w:color="0D9488" w:sz="24"/>
              <w:bottom w:val="none" w:color="FFFFFF" w:sz="0"/>
              <w:right w:val="none" w:color="FFFFFF" w:sz="0"/>
            </w:tcBorders>
            <w:shd w:fill="F0FDFA" w:color="auto" w:val="clear"/>
            <w:tcMar>
              <w:top w:type="dxa" w:w="110"/>
              <w:left w:type="dxa" w:w="220"/>
              <w:bottom w:type="dxa" w:w="110"/>
              <w:right w:type="dxa" w:w="110"/>
            </w:tcMar>
            <w:vAlign w:val="top"/>
          </w:tcPr>
          <w:p>
            <w:pPr>
              <w:spacing w:after="60"/>
            </w:pPr>
            <w:r>
              <w:rPr>
                <w:rFonts w:ascii="Consolas" w:cs="Consolas" w:eastAsia="Consolas" w:hAnsi="Consolas"/>
                <w:b/>
                <w:bCs/>
                <w:color w:val="0D9488"/>
                <w:spacing w:val="20"/>
                <w:sz w:val="15"/>
                <w:szCs w:val="15"/>
              </w:rPr>
              <w:t xml:space="preserve">RECOMENDACIÓN</w:t>
            </w:r>
          </w:p>
          <w:p>
            <w:pPr>
              <w:spacing w:after="50" w:line="260"/>
            </w:pPr>
            <w:r>
              <w:rPr>
                <w:color w:val="334155"/>
                <w:sz w:val="19"/>
                <w:szCs w:val="19"/>
              </w:rPr>
              <w:t xml:space="preserve">Ingresar la solicitud a FONASA de inmediato y adelantar el diseño. Cuando el servicio se otorgue, construir con </w:t>
            </w:r>
            <w:r>
              <w:rPr>
                <w:b/>
                <w:bCs/>
                <w:color w:val="0F172A"/>
                <w:sz w:val="19"/>
                <w:szCs w:val="19"/>
              </w:rPr>
              <w:t xml:space="preserve">WS1 (costo cero)</w:t>
            </w:r>
            <w:r>
              <w:rPr>
                <w:color w:val="334155"/>
                <w:sz w:val="19"/>
                <w:szCs w:val="19"/>
              </w:rPr>
              <w:t xml:space="preserve">, la propuesta más barata y sólida de la Fase 2, conectada al módulo Licencias de GDP-SLEP Studio.</w:t>
            </w:r>
          </w:p>
        </w:tc>
      </w:tr>
    </w:tbl>
    <w:p>
      <w:pPr>
        <w:spacing w:after="140" w:before="0" w:line="120"/>
      </w:pPr>
    </w:p>
    <w:sectPr>
      <w:headerReference w:type="default" r:id="rId7"/>
      <w:headerReference w:type="first" r:id="rId8"/>
      <w:footerReference w:type="default" r:id="rId9"/>
      <w:footerReference w:type="first" r:id="rId10"/>
      <w:pgSz w:w="12240" w:h="15840" w:orient="portrait"/>
      <w:pgMar w:top="1250" w:right="1300" w:bottom="1150" w:left="1300" w:header="60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40"/>
      </w:tabs>
    </w:pPr>
    <w:r>
      <w:rPr>
        <w:rFonts w:ascii="Calibri" w:cs="Calibri" w:eastAsia="Calibri" w:hAnsi="Calibri"/>
        <w:color w:val="94A3B8"/>
        <w:sz w:val="14"/>
        <w:szCs w:val="14"/>
      </w:rPr>
      <w:t xml:space="preserve">DEP · Subdepartamento GDP-SLEP · Uso interno</w:t>
    </w:r>
    <w:r>
      <w:rPr>
        <w:rFonts w:ascii="Consolas" w:cs="Consolas" w:eastAsia="Consolas" w:hAnsi="Consolas"/>
        <w:color w:val="94A3B8"/>
        <w:sz w:val="14"/>
        <w:szCs w:val="14"/>
      </w:rPr>
      <w:t xml:space="preserve">	pág. </w:t>
    </w:r>
    <w:r>
      <w:rPr>
        <w:rFonts w:ascii="Consolas" w:cs="Consolas" w:eastAsia="Consolas" w:hAnsi="Consolas"/>
        <w:b/>
        <w:bCs/>
        <w:color w:val="0F172A"/>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6"/>
      </w:pBdr>
      <w:tabs>
        <w:tab w:val="right" w:pos="9640"/>
      </w:tabs>
    </w:pPr>
    <w:r>
      <w:rPr>
        <w:rFonts w:ascii="Consolas" w:cs="Consolas" w:eastAsia="Consolas" w:hAnsi="Consolas"/>
        <w:b/>
        <w:bCs/>
        <w:color w:val="0D9488"/>
        <w:spacing w:val="20"/>
        <w:sz w:val="14"/>
        <w:szCs w:val="14"/>
      </w:rPr>
      <w:t xml:space="preserve">GDP - SLEP STUDIO</w:t>
    </w:r>
    <w:r>
      <w:rPr>
        <w:rFonts w:ascii="Consolas" w:cs="Consolas" w:eastAsia="Consolas" w:hAnsi="Consolas"/>
        <w:color w:val="94A3B8"/>
        <w:spacing w:val="10"/>
        <w:sz w:val="14"/>
        <w:szCs w:val="14"/>
      </w:rPr>
      <w:t xml:space="preserve">	INFORME 08.3.2  ·  CAMINO SERVICIOS WEB · TÉCNICO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0D9488"/>
      </w:rPr>
    </w:lvl>
  </w:abstractNum>
  <w:abstractNum w:abstractNumId="3" w15:restartNumberingAfterBreak="0">
    <w:multiLevelType w:val="hybridMultilevel"/>
    <w:lvl w:ilvl="0" w15:tentative="1">
      <w:start w:val="1"/>
      <w:numFmt w:val="decimal"/>
      <w:lvlText w:val="%1."/>
      <w:lvlJc w:val="left"/>
      <w:pPr>
        <w:ind w:left="440" w:hanging="300"/>
      </w:pPr>
      <w:rPr>
        <w:b/>
        <w:bCs/>
        <w:color w:val="0D9488"/>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outlineLvl w:val="0"/>
    </w:pPr>
    <w:rPr>
      <w:rFonts w:ascii="Calibri" w:cs="Calibri" w:eastAsia="Calibri" w:hAnsi="Calibri"/>
      <w:b/>
      <w:bCs/>
      <w:color w:val="0F172A"/>
      <w:sz w:val="34"/>
      <w:szCs w:val="34"/>
    </w:rPr>
  </w:style>
  <w:style w:type="paragraph" w:styleId="Heading2">
    <w:name w:val="Heading 2"/>
    <w:basedOn w:val="Normal"/>
    <w:next w:val="Normal"/>
    <w:qFormat/>
    <w:pPr>
      <w:outlineLvl w:val="1"/>
    </w:pPr>
    <w:rPr>
      <w:rFonts w:ascii="Calibri" w:cs="Calibri" w:eastAsia="Calibri" w:hAnsi="Calibri"/>
      <w:b/>
      <w:bCs/>
      <w:color w:val="0F172A"/>
      <w:sz w:val="25"/>
      <w:szCs w:val="25"/>
    </w:rPr>
  </w:style>
  <w:style w:type="paragraph" w:styleId="Heading3">
    <w:name w:val="Heading 3"/>
    <w:basedOn w:val="Normal"/>
    <w:next w:val="Normal"/>
    <w:qFormat/>
    <w:pPr>
      <w:outlineLvl w:val="2"/>
    </w:pPr>
    <w:rPr>
      <w:rFonts w:ascii="Calibri" w:cs="Calibri" w:eastAsia="Calibri" w:hAnsi="Calibri"/>
      <w:b/>
      <w:bCs/>
      <w:color w:val="0F76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08.3.2 — Camino servicios web · técnico</dc:title>
  <dc:subject>GDP-SLEP Studio</dc:subject>
  <dc:creator>César Torres</dc:creator>
  <cp:lastModifiedBy>Un-named</cp:lastModifiedBy>
  <cp:revision>1</cp:revision>
  <dcterms:created xsi:type="dcterms:W3CDTF">2026-10-06T00:05:06.933Z</dcterms:created>
  <dcterms:modified xsi:type="dcterms:W3CDTF">2026-10-06T00:05:06.933Z</dcterms:modified>
</cp:coreProperties>
</file>

<file path=docProps/custom.xml><?xml version="1.0" encoding="utf-8"?>
<Properties xmlns="http://schemas.openxmlformats.org/officeDocument/2006/custom-properties" xmlns:vt="http://schemas.openxmlformats.org/officeDocument/2006/docPropsVTypes"/>
</file>