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900"/>
      </w:pPr>
      <w:r>
        <w:rPr>
          <w:rFonts w:ascii="Consolas" w:cs="Consolas" w:eastAsia="Consolas" w:hAnsi="Consolas"/>
          <w:color w:val="0D9488"/>
          <w:sz w:val="18"/>
          <w:szCs w:val="18"/>
        </w:rPr>
        <w:t xml:space="preserve">&gt; gdp-slep-studio / licencias / camino-servicios-web / costos</w:t>
      </w:r>
    </w:p>
    <w:p>
      <w:pPr>
        <w:spacing w:after="240"/>
      </w:pPr>
      <w:r>
        <w:rPr>
          <w:rFonts w:ascii="Consolas" w:cs="Consolas" w:eastAsia="Consolas" w:hAnsi="Consolas"/>
          <w:b/>
          <w:bCs/>
          <w:color w:val="64748B"/>
          <w:spacing w:val="40"/>
          <w:sz w:val="18"/>
          <w:szCs w:val="18"/>
        </w:rPr>
        <w:t xml:space="preserve">INFORME 08.3.3  ·  SERIE DE INFORMES GDP-SLEP STUDIO</w:t>
      </w:r>
    </w:p>
    <w:p>
      <w:pPr>
        <w:spacing w:after="0"/>
      </w:pPr>
      <w:r>
        <w:rPr>
          <w:rFonts w:ascii="Calibri" w:cs="Calibri" w:eastAsia="Calibri" w:hAnsi="Calibri"/>
          <w:b/>
          <w:bCs/>
          <w:color w:val="0F172A"/>
          <w:sz w:val="80"/>
          <w:szCs w:val="80"/>
        </w:rPr>
        <w:t xml:space="preserve">Camino servicios web</w:t>
      </w:r>
    </w:p>
    <w:p>
      <w:pPr>
        <w:spacing w:after="220"/>
      </w:pPr>
      <w:r>
        <w:rPr>
          <w:rFonts w:ascii="Calibri" w:cs="Calibri" w:eastAsia="Calibri" w:hAnsi="Calibri"/>
          <w:b/>
          <w:bCs/>
          <w:color w:val="0F172A"/>
          <w:sz w:val="80"/>
          <w:szCs w:val="80"/>
        </w:rPr>
        <w:t xml:space="preserve">· costos</w:t>
      </w:r>
    </w:p>
    <w:p>
      <w:pPr>
        <w:pBdr>
          <w:bottom w:val="single" w:color="0D9488" w:sz="24" w:space="1"/>
        </w:pBdr>
        <w:spacing w:after="300"/>
        <w:ind w:right="8340"/>
      </w:pPr>
    </w:p>
    <w:p>
      <w:pPr>
        <w:spacing w:after="120"/>
      </w:pPr>
      <w:r>
        <w:rPr>
          <w:rFonts w:ascii="Calibri" w:cs="Calibri" w:eastAsia="Calibri" w:hAnsi="Calibri"/>
          <w:color w:val="0D9488"/>
          <w:sz w:val="28"/>
          <w:szCs w:val="28"/>
        </w:rPr>
        <w:t xml:space="preserve">Costos detallados de las tres propuestas: WS1 · Costo cero · WS2 · Óptima · WS3 · Avanzada</w:t>
      </w:r>
    </w:p>
    <w:p>
      <w:pPr>
        <w:spacing w:after="1000" w:line="290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Bases de cálculo, stack tecnológico con el costo de cada tecnología, comparativo de las tres propuestas con su costo del primer año y recomendación económica.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600"/>
        <w:gridCol w:w="704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pacing w:val="20"/>
                <w:sz w:val="15"/>
                <w:szCs w:val="15"/>
              </w:rPr>
              <w:t xml:space="preserve">ORGANIZACIÓN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11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0F172A"/>
                <w:sz w:val="19"/>
                <w:szCs w:val="19"/>
              </w:rPr>
              <w:t xml:space="preserve">Dirección de Educación Pública (DEP)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pacing w:val="20"/>
                <w:sz w:val="15"/>
                <w:szCs w:val="15"/>
              </w:rPr>
              <w:t xml:space="preserve">UNIDAD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11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0F172A"/>
                <w:sz w:val="19"/>
                <w:szCs w:val="19"/>
              </w:rPr>
              <w:t xml:space="preserve">Subdepartamento de Gestión y Desarrollo de Personas para los SLEP (GDP-SLEP)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pacing w:val="20"/>
                <w:sz w:val="15"/>
                <w:szCs w:val="15"/>
              </w:rPr>
              <w:t xml:space="preserve">PROYECTO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11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0F172A"/>
                <w:sz w:val="19"/>
                <w:szCs w:val="19"/>
              </w:rPr>
              <w:t xml:space="preserve">GDP-SLEP Studio · Aplicación 2: Automatización de licencias médicas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pacing w:val="20"/>
                <w:sz w:val="15"/>
                <w:szCs w:val="15"/>
              </w:rPr>
              <w:t xml:space="preserve">TIPO DE INFORME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11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0F172A"/>
                <w:sz w:val="19"/>
                <w:szCs w:val="19"/>
              </w:rPr>
              <w:t xml:space="preserve">Informe de costos · Camino servicios web (FONASA)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pacing w:val="20"/>
                <w:sz w:val="15"/>
                <w:szCs w:val="15"/>
              </w:rPr>
              <w:t xml:space="preserve">ELABORADO POR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11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0F172A"/>
                <w:sz w:val="19"/>
                <w:szCs w:val="19"/>
              </w:rPr>
              <w:t xml:space="preserve">César Torres · Desarrollador (honorarios)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pacing w:val="20"/>
                <w:sz w:val="15"/>
                <w:szCs w:val="15"/>
              </w:rPr>
              <w:t xml:space="preserve">DIRIGIDO A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11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0F172A"/>
                <w:sz w:val="19"/>
                <w:szCs w:val="19"/>
              </w:rPr>
              <w:t xml:space="preserve">Claudia Manzano · Jefatura directa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pacing w:val="20"/>
                <w:sz w:val="15"/>
                <w:szCs w:val="15"/>
              </w:rPr>
              <w:t xml:space="preserve">PERÍODO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11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0F172A"/>
                <w:sz w:val="19"/>
                <w:szCs w:val="19"/>
              </w:rPr>
              <w:t xml:space="preserve">Piloto oct–nov 2026 · primer año de operación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pacing w:val="20"/>
                <w:sz w:val="15"/>
                <w:szCs w:val="15"/>
              </w:rPr>
              <w:t xml:space="preserve">FECHA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11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0F172A"/>
                <w:sz w:val="19"/>
                <w:szCs w:val="19"/>
              </w:rPr>
              <w:t xml:space="preserve">23 de octubre de 2026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pacing w:val="20"/>
                <w:sz w:val="15"/>
                <w:szCs w:val="15"/>
              </w:rPr>
              <w:t xml:space="preserve">VERSIÓN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11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0F172A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pacing w:val="20"/>
                <w:sz w:val="15"/>
                <w:szCs w:val="15"/>
              </w:rPr>
              <w:t xml:space="preserve">CLASIFICACIÓN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11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0F172A"/>
                <w:sz w:val="19"/>
                <w:szCs w:val="19"/>
              </w:rPr>
              <w:t xml:space="preserve">Uso interno</w:t>
            </w:r>
          </w:p>
        </w:tc>
      </w:tr>
    </w:tbl>
    <w:p>
      <w:pPr>
        <w:spacing w:after="500"/>
      </w:pPr>
    </w:p>
    <w:p>
      <w:r>
        <w:rPr>
          <w:rFonts w:ascii="Calibri" w:cs="Calibri" w:eastAsia="Calibri" w:hAnsi="Calibri"/>
          <w:i/>
          <w:iCs/>
          <w:color w:val="94A3B8"/>
          <w:sz w:val="16"/>
          <w:szCs w:val="16"/>
        </w:rPr>
        <w:t xml:space="preserve">Acompaña al Informe 08.3.2, que describe técnicamente las tres propuestas, y al 08.3.1, que las analiza en lo legal.</w:t>
      </w:r>
    </w:p>
    <w:p>
      <w:pPr>
        <w:keepNext/>
        <w:pageBreakBefore/>
        <w:spacing w:after="60"/>
      </w:pPr>
      <w:r>
        <w:rPr>
          <w:rFonts w:ascii="Consolas" w:cs="Consolas" w:eastAsia="Consolas" w:hAnsi="Consolas"/>
          <w:b/>
          <w:bCs/>
          <w:color w:val="0D9488"/>
          <w:spacing w:val="30"/>
          <w:sz w:val="16"/>
          <w:szCs w:val="16"/>
        </w:rPr>
        <w:t xml:space="preserve">DOCUMENTO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/  ficha</w:t>
      </w:r>
    </w:p>
    <w:p>
      <w:pPr>
        <w:pStyle w:val="Heading1"/>
        <w:keepNext/>
        <w:pBdr>
          <w:bottom w:val="single" w:color="E2E8F0" w:sz="6" w:space="6"/>
        </w:pBdr>
        <w:spacing w:after="1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Ficha del documento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300"/>
        <w:gridCol w:w="7340"/>
      </w:tblGrid>
      <w:tr>
        <w:trPr>
          <w:tblHeader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CAMPO</w:t>
            </w:r>
          </w:p>
        </w:tc>
        <w:tc>
          <w:tcPr>
            <w:tcW w:type="dxa" w:w="7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Título</w:t>
            </w:r>
          </w:p>
        </w:tc>
        <w:tc>
          <w:tcPr>
            <w:tcW w:type="dxa" w:w="7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Informe 08.3.3 — Camino servicios web · costos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Serie</w:t>
            </w:r>
          </w:p>
        </w:tc>
        <w:tc>
          <w:tcPr>
            <w:tcW w:type="dxa" w:w="7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Acompaña a los Informes 08.3.1 (marco legal) y 08.3.2 (técnico). Los montos de este informe no aparecen en el Informe 08 (factibilidad general)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Objeto</w:t>
            </w:r>
          </w:p>
        </w:tc>
        <w:tc>
          <w:tcPr>
            <w:tcW w:type="dxa" w:w="7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Cuantificar, con el mayor detalle posible, el costo de las tres propuestas del camino servicios web (FONASA) para el piloto, su puesta en marcha en los 36 SLEP y su primer año de operación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Propuestas</w:t>
            </w:r>
          </w:p>
        </w:tc>
        <w:tc>
          <w:tcPr>
            <w:tcW w:type="dxa" w:w="7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WS1 · Costo cero: Servicio web oficial de FONASA (Red de Interoperabilidad) + IA local en CPU · WS2 · Óptima: Servicio web de FONASA + IA local en GPU básica + monitoreo · WS3 · Avanzada: Servicio web de FONASA + IA local avanzada (GPU 32 GB) + alta disponibilidad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Horizonte</w:t>
            </w:r>
          </w:p>
        </w:tc>
        <w:tc>
          <w:tcPr>
            <w:tcW w:type="dxa" w:w="7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Primer año: piloto (octubre–noviembre de 2026) + puesta en marcha en los 36 SLEP + 12 meses de operación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Elaborado por</w:t>
            </w:r>
          </w:p>
        </w:tc>
        <w:tc>
          <w:tcPr>
            <w:tcW w:type="dxa" w:w="7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César Torres, Desarrollador a honorarios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Dirigido a</w:t>
            </w:r>
          </w:p>
        </w:tc>
        <w:tc>
          <w:tcPr>
            <w:tcW w:type="dxa" w:w="7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Claudia Manzano, Jefatura directa · Subdepartamento GDP-SLEP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Informes relacionados</w:t>
            </w:r>
          </w:p>
        </w:tc>
        <w:tc>
          <w:tcPr>
            <w:tcW w:type="dxa" w:w="7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Informe 08 (factibilidad) · Informe 08.3.1 (marco legal) · Informe 08.3.2 (técnico) · Informes de costos 08.1.3 (RPA), 08.2.3 (API del PIEE) y 08.4.3 (mixto)</w:t>
            </w:r>
          </w:p>
        </w:tc>
      </w:tr>
    </w:tbl>
    <w:p>
      <w:pPr>
        <w:spacing w:after="120" w:before="0" w:line="120"/>
      </w:pPr>
    </w:p>
    <w:p>
      <w:pPr>
        <w:pStyle w:val="Heading3"/>
        <w:keepNext/>
        <w:spacing w:after="80" w:before="180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Cómo leer este informe</w:t>
      </w:r>
    </w:p>
    <w:p>
      <w:pPr>
        <w:spacing w:after="140" w:before="0" w:line="276"/>
        <w:jc w:val="left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La sección 01 resume y compara las tres propuestas; la 02 presenta el </w:t>
      </w:r>
      <w:r>
        <w:rPr>
          <w:rFonts w:ascii="Calibri" w:cs="Calibri" w:eastAsia="Calibri" w:hAnsi="Calibri"/>
          <w:b/>
          <w:bCs/>
          <w:color w:val="0F172A"/>
          <w:sz w:val="19"/>
          <w:szCs w:val="19"/>
        </w:rPr>
        <w:t xml:space="preserve">stack tecnológico con el precio de cada tecnología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 y el total del primer año; la 03 fija las bases de cálculo y los precios de referencia; la 04 pone las tres propuestas </w:t>
      </w:r>
      <w:r>
        <w:rPr>
          <w:rFonts w:ascii="Calibri" w:cs="Calibri" w:eastAsia="Calibri" w:hAnsi="Calibri"/>
          <w:b/>
          <w:bCs/>
          <w:color w:val="0F172A"/>
          <w:sz w:val="19"/>
          <w:szCs w:val="19"/>
        </w:rPr>
        <w:t xml:space="preserve">lado a lado en una hoja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, y la 05 entrega la recomendación.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none" w:color="FFFFFF" w:sz="0"/>
              <w:left w:val="single" w:color="0F172A" w:sz="24"/>
              <w:bottom w:val="none" w:color="FFFFFF" w:sz="0"/>
              <w:right w:val="none" w:color="FFFFFF" w:sz="0"/>
            </w:tcBorders>
            <w:shd w:fill="F8FAFC" w:color="auto" w:val="clear"/>
            <w:tcMar>
              <w:top w:type="dxa" w:w="110"/>
              <w:left w:type="dxa" w:w="220"/>
              <w:bottom w:type="dxa" w:w="11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F172A"/>
                <w:spacing w:val="20"/>
                <w:sz w:val="15"/>
                <w:szCs w:val="15"/>
              </w:rPr>
              <w:t xml:space="preserve">QUÉ SE MIDE</w:t>
            </w:r>
          </w:p>
          <w:p>
            <w:pPr>
              <w:spacing w:after="50" w:line="260"/>
            </w:pPr>
            <w:r>
              <w:rPr>
                <w:color w:val="334155"/>
                <w:sz w:val="19"/>
                <w:szCs w:val="19"/>
              </w:rPr>
              <w:t xml:space="preserve">Los montos son </w:t>
            </w:r>
            <w:r>
              <w:rPr>
                <w:b/>
                <w:bCs/>
                <w:color w:val="0F172A"/>
                <w:sz w:val="19"/>
                <w:szCs w:val="19"/>
              </w:rPr>
              <w:t xml:space="preserve">lo que se paga a terceros</w:t>
            </w:r>
            <w:r>
              <w:rPr>
                <w:color w:val="334155"/>
                <w:sz w:val="19"/>
                <w:szCs w:val="19"/>
              </w:rPr>
              <w:t xml:space="preserve">: licencias, equipos y servicios. Las horas del equipo de la DEP no se valorizan. En las propuestas de </w:t>
            </w:r>
            <w:r>
              <w:rPr>
                <w:b/>
                <w:bCs/>
                <w:color w:val="0F172A"/>
                <w:sz w:val="19"/>
                <w:szCs w:val="19"/>
              </w:rPr>
              <w:t xml:space="preserve">costo cero</w:t>
            </w:r>
            <w:r>
              <w:rPr>
                <w:color w:val="334155"/>
                <w:sz w:val="19"/>
                <w:szCs w:val="19"/>
              </w:rPr>
              <w:t xml:space="preserve"> el monto es </w:t>
            </w:r>
            <w:r>
              <w:rPr>
                <w:b/>
                <w:bCs/>
                <w:color w:val="0F172A"/>
                <w:sz w:val="19"/>
                <w:szCs w:val="19"/>
              </w:rPr>
              <w:t xml:space="preserve">$0</w:t>
            </w:r>
            <w:r>
              <w:rPr>
                <w:color w:val="334155"/>
                <w:sz w:val="19"/>
                <w:szCs w:val="19"/>
              </w:rPr>
              <w:t xml:space="preserve">.</w:t>
            </w:r>
          </w:p>
        </w:tc>
      </w:tr>
    </w:tbl>
    <w:p>
      <w:pPr>
        <w:spacing w:after="140" w:before="0" w:line="120"/>
      </w:pPr>
    </w:p>
    <w:p>
      <w:pPr>
        <w:keepNext/>
        <w:pageBreakBefore/>
        <w:spacing w:after="60"/>
      </w:pPr>
      <w:r>
        <w:rPr>
          <w:rFonts w:ascii="Consolas" w:cs="Consolas" w:eastAsia="Consolas" w:hAnsi="Consolas"/>
          <w:b/>
          <w:bCs/>
          <w:color w:val="0D9488"/>
          <w:spacing w:val="30"/>
          <w:sz w:val="16"/>
          <w:szCs w:val="16"/>
        </w:rPr>
        <w:t xml:space="preserve">DOCUMENTO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/  índice</w:t>
      </w:r>
    </w:p>
    <w:p>
      <w:pPr>
        <w:pStyle w:val="Heading1"/>
        <w:keepNext/>
        <w:pBdr>
          <w:bottom w:val="single" w:color="E2E8F0" w:sz="6" w:space="6"/>
        </w:pBdr>
        <w:spacing w:after="1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Índice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0"/>
        <w:gridCol w:w="8740"/>
      </w:tblGrid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75"/>
              <w:left w:type="dxa" w:w="0"/>
              <w:bottom w:type="dxa" w:w="75"/>
              <w:right w:type="dxa" w:w="11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0D9488"/>
                <w:sz w:val="24"/>
                <w:szCs w:val="24"/>
              </w:rPr>
              <w:t xml:space="preserve">01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after="1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Resumen de costos</w:t>
            </w:r>
          </w:p>
          <w:p>
            <w:r>
              <w:rPr>
                <w:color w:val="64748B"/>
                <w:sz w:val="17"/>
                <w:szCs w:val="17"/>
              </w:rPr>
              <w:t xml:space="preserve">Las tres propuestas comparadas en una página.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75"/>
              <w:left w:type="dxa" w:w="0"/>
              <w:bottom w:type="dxa" w:w="75"/>
              <w:right w:type="dxa" w:w="11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0D9488"/>
                <w:sz w:val="24"/>
                <w:szCs w:val="24"/>
              </w:rPr>
              <w:t xml:space="preserve">02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after="1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Stack tecnológico con costos</w:t>
            </w:r>
          </w:p>
          <w:p>
            <w:r>
              <w:rPr>
                <w:color w:val="64748B"/>
                <w:sz w:val="17"/>
                <w:szCs w:val="17"/>
              </w:rPr>
              <w:t xml:space="preserve">Cada tecnología con su precio y el total del primer año.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75"/>
              <w:left w:type="dxa" w:w="0"/>
              <w:bottom w:type="dxa" w:w="75"/>
              <w:right w:type="dxa" w:w="11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0D9488"/>
                <w:sz w:val="24"/>
                <w:szCs w:val="24"/>
              </w:rPr>
              <w:t xml:space="preserve">03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after="1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Bases de cálculo</w:t>
            </w:r>
          </w:p>
          <w:p>
            <w:r>
              <w:rPr>
                <w:color w:val="64748B"/>
                <w:sz w:val="17"/>
                <w:szCs w:val="17"/>
              </w:rPr>
              <w:t xml:space="preserve">Indicadores, supuestos y exclusiones.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75"/>
              <w:left w:type="dxa" w:w="0"/>
              <w:bottom w:type="dxa" w:w="75"/>
              <w:right w:type="dxa" w:w="11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0D9488"/>
                <w:sz w:val="24"/>
                <w:szCs w:val="24"/>
              </w:rPr>
              <w:t xml:space="preserve">04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after="1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Comparativo de las tres propuestas</w:t>
            </w:r>
          </w:p>
          <w:p>
            <w:r>
              <w:rPr>
                <w:color w:val="64748B"/>
                <w:sz w:val="17"/>
                <w:szCs w:val="17"/>
              </w:rPr>
              <w:t xml:space="preserve">Las tres propuestas lado a lado, en una hoja.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75"/>
              <w:left w:type="dxa" w:w="0"/>
              <w:bottom w:type="dxa" w:w="75"/>
              <w:right w:type="dxa" w:w="11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0D9488"/>
                <w:sz w:val="24"/>
                <w:szCs w:val="24"/>
              </w:rPr>
              <w:t xml:space="preserve">05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after="1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Conclusión y recomendación económica</w:t>
            </w:r>
          </w:p>
          <w:p>
            <w:r>
              <w:rPr>
                <w:color w:val="64748B"/>
                <w:sz w:val="17"/>
                <w:szCs w:val="17"/>
              </w:rPr>
              <w:t xml:space="preserve">Qué propuesta conviene y cuándo.</w:t>
            </w:r>
          </w:p>
        </w:tc>
      </w:tr>
    </w:tbl>
    <w:p>
      <w:pPr>
        <w:keepNext/>
        <w:pageBreakBefore/>
        <w:spacing w:after="60"/>
      </w:pPr>
      <w:r>
        <w:rPr>
          <w:rFonts w:ascii="Consolas" w:cs="Consolas" w:eastAsia="Consolas" w:hAnsi="Consolas"/>
          <w:b/>
          <w:bCs/>
          <w:color w:val="0D9488"/>
          <w:spacing w:val="30"/>
          <w:sz w:val="16"/>
          <w:szCs w:val="16"/>
        </w:rPr>
        <w:t xml:space="preserve">SECCIÓN 01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/  resumen</w:t>
      </w:r>
    </w:p>
    <w:p>
      <w:pPr>
        <w:pStyle w:val="Heading1"/>
        <w:keepNext/>
        <w:pBdr>
          <w:bottom w:val="single" w:color="E2E8F0" w:sz="6" w:space="6"/>
        </w:pBdr>
        <w:spacing w:after="1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Resumen de costos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13"/>
        <w:gridCol w:w="3213"/>
        <w:gridCol w:w="3214"/>
      </w:tblGrid>
      <w:tr>
        <w:trPr>
          <w:cantSplit/>
        </w:trPr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POR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El camino servicios web usa el canal oficial de FONASA entre órganos del Estado, sin cobro por el servicio: su costo está en el equipo de la IA local.</w:t>
            </w:r>
          </w:p>
        </w:tc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PARA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Dar a la jefatura los montos completos de cada propuesta para elegir con información.</w:t>
            </w:r>
          </w:p>
        </w:tc>
        <w:tc>
          <w:tcPr>
            <w:tcW w:type="dxa" w:w="3214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CÓMO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Modelo de costos con precios de lista al 1-oct-2026 y horizonte de un año: piloto, puesta en marcha y 12 meses de operación.</w:t>
            </w:r>
          </w:p>
        </w:tc>
      </w:tr>
    </w:tbl>
    <w:p>
      <w:pPr>
        <w:spacing w:after="140" w:before="0" w:line="120"/>
      </w:pP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410"/>
        <w:gridCol w:w="2410"/>
        <w:gridCol w:w="2410"/>
        <w:gridCol w:w="2410"/>
      </w:tblGrid>
      <w:tr>
        <w:trPr>
          <w:cantSplit/>
        </w:trPr>
        <w:tc>
          <w:tcPr>
            <w:tcW w:type="dxa" w:w="2410"/>
            <w:tcBorders>
              <w:top w:val="single" w:color="0F172A" w:sz="8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8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40"/>
                <w:szCs w:val="40"/>
              </w:rPr>
              <w:t xml:space="preserve">$0</w:t>
            </w:r>
          </w:p>
          <w:p>
            <w:pPr>
              <w:spacing w:after="0" w:line="240"/>
            </w:pPr>
            <w:r>
              <w:rPr>
                <w:color w:val="64748B"/>
                <w:sz w:val="16"/>
                <w:szCs w:val="16"/>
              </w:rPr>
              <w:t xml:space="preserve">WS1 · Costo cero: costo del primer año</w:t>
            </w:r>
          </w:p>
        </w:tc>
        <w:tc>
          <w:tcPr>
            <w:tcW w:type="dxa" w:w="2410"/>
            <w:tcBorders>
              <w:top w:val="single" w:color="0F172A" w:sz="8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8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40"/>
                <w:szCs w:val="40"/>
              </w:rPr>
              <w:t xml:space="preserve">$3,9 MM</w:t>
            </w:r>
          </w:p>
          <w:p>
            <w:pPr>
              <w:spacing w:after="0" w:line="240"/>
            </w:pPr>
            <w:r>
              <w:rPr>
                <w:color w:val="64748B"/>
                <w:sz w:val="16"/>
                <w:szCs w:val="16"/>
              </w:rPr>
              <w:t xml:space="preserve">WS2 · Óptima: costo del primer año</w:t>
            </w:r>
          </w:p>
        </w:tc>
        <w:tc>
          <w:tcPr>
            <w:tcW w:type="dxa" w:w="2410"/>
            <w:tcBorders>
              <w:top w:val="single" w:color="0F172A" w:sz="8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8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40"/>
                <w:szCs w:val="40"/>
              </w:rPr>
              <w:t xml:space="preserve">$17,5 MM</w:t>
            </w:r>
          </w:p>
          <w:p>
            <w:pPr>
              <w:spacing w:after="0" w:line="240"/>
            </w:pPr>
            <w:r>
              <w:rPr>
                <w:color w:val="64748B"/>
                <w:sz w:val="16"/>
                <w:szCs w:val="16"/>
              </w:rPr>
              <w:t xml:space="preserve">WS3 · Avanzada: costo del primer año</w:t>
            </w:r>
          </w:p>
        </w:tc>
        <w:tc>
          <w:tcPr>
            <w:tcW w:type="dxa" w:w="2410"/>
            <w:tcBorders>
              <w:top w:val="single" w:color="0F172A" w:sz="8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8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40"/>
                <w:szCs w:val="40"/>
              </w:rPr>
              <w:t xml:space="preserve">$12 – $14</w:t>
            </w:r>
          </w:p>
          <w:p>
            <w:pPr>
              <w:spacing w:after="0" w:line="240"/>
            </w:pPr>
            <w:r>
              <w:rPr>
                <w:color w:val="64748B"/>
                <w:sz w:val="16"/>
                <w:szCs w:val="16"/>
              </w:rPr>
              <w:t xml:space="preserve">costo por licencia tramitada en WS2</w:t>
            </w:r>
          </w:p>
        </w:tc>
      </w:tr>
    </w:tbl>
    <w:p>
      <w:pPr>
        <w:spacing w:after="160" w:before="0" w:line="120"/>
      </w:pP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100"/>
        <w:gridCol w:w="2180"/>
        <w:gridCol w:w="2180"/>
        <w:gridCol w:w="2180"/>
      </w:tblGrid>
      <w:tr>
        <w:trPr>
          <w:tblHeader/>
        </w:trPr>
        <w:tc>
          <w:tcPr>
            <w:tcW w:type="dxa" w:w="3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CONCEPTO</w:t>
            </w:r>
          </w:p>
        </w:tc>
        <w:tc>
          <w:tcPr>
            <w:tcW w:type="dxa" w:w="2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WS1 · COSTO CERO</w:t>
            </w:r>
          </w:p>
        </w:tc>
        <w:tc>
          <w:tcPr>
            <w:tcW w:type="dxa" w:w="2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WS2 · ÓPTIMA</w:t>
            </w:r>
          </w:p>
        </w:tc>
        <w:tc>
          <w:tcPr>
            <w:tcW w:type="dxa" w:w="2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WS3 · AVANZADA</w:t>
            </w:r>
          </w:p>
        </w:tc>
      </w:tr>
      <w:tr>
        <w:trPr>
          <w:cantSplit/>
        </w:trPr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Piloto oct–nov 2026</w:t>
            </w:r>
          </w:p>
        </w:tc>
        <w:tc>
          <w:tcPr>
            <w:tcW w:type="dxa" w:w="218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$0</w:t>
            </w:r>
          </w:p>
        </w:tc>
        <w:tc>
          <w:tcPr>
            <w:tcW w:type="dxa" w:w="218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$0</w:t>
            </w:r>
          </w:p>
        </w:tc>
        <w:tc>
          <w:tcPr>
            <w:tcW w:type="dxa" w:w="218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$454.624</w:t>
            </w:r>
          </w:p>
        </w:tc>
      </w:tr>
      <w:tr>
        <w:trPr>
          <w:cantSplit/>
        </w:trPr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Puesta en marcha en 36 SLEP (una vez)</w:t>
            </w:r>
          </w:p>
        </w:tc>
        <w:tc>
          <w:tcPr>
            <w:tcW w:type="dxa" w:w="218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$0</w:t>
            </w:r>
          </w:p>
        </w:tc>
        <w:tc>
          <w:tcPr>
            <w:tcW w:type="dxa" w:w="218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$3,1 MM</w:t>
            </w:r>
          </w:p>
        </w:tc>
        <w:tc>
          <w:tcPr>
            <w:tcW w:type="dxa" w:w="218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$12,2 MM</w:t>
            </w:r>
          </w:p>
        </w:tc>
      </w:tr>
      <w:tr>
        <w:trPr>
          <w:cantSplit/>
        </w:trPr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Operación (12 meses)</w:t>
            </w:r>
          </w:p>
        </w:tc>
        <w:tc>
          <w:tcPr>
            <w:tcW w:type="dxa" w:w="218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$0</w:t>
            </w:r>
          </w:p>
        </w:tc>
        <w:tc>
          <w:tcPr>
            <w:tcW w:type="dxa" w:w="218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$0,7 MM</w:t>
            </w:r>
          </w:p>
        </w:tc>
        <w:tc>
          <w:tcPr>
            <w:tcW w:type="dxa" w:w="218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$4,8 MM</w:t>
            </w:r>
          </w:p>
        </w:tc>
      </w:tr>
      <w:tr>
        <w:trPr>
          <w:cantSplit/>
        </w:trPr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Costo total del primer año</w:t>
            </w:r>
          </w:p>
        </w:tc>
        <w:tc>
          <w:tcPr>
            <w:tcW w:type="dxa" w:w="218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766E"/>
                <w:sz w:val="15"/>
                <w:szCs w:val="15"/>
              </w:rPr>
              <w:t xml:space="preserve">$0</w:t>
            </w:r>
          </w:p>
        </w:tc>
        <w:tc>
          <w:tcPr>
            <w:tcW w:type="dxa" w:w="218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766E"/>
                <w:sz w:val="15"/>
                <w:szCs w:val="15"/>
              </w:rPr>
              <w:t xml:space="preserve">$3,9 MM</w:t>
            </w:r>
          </w:p>
        </w:tc>
        <w:tc>
          <w:tcPr>
            <w:tcW w:type="dxa" w:w="218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766E"/>
                <w:sz w:val="15"/>
                <w:szCs w:val="15"/>
              </w:rPr>
              <w:t xml:space="preserve">$17,5 MM</w:t>
            </w:r>
          </w:p>
        </w:tc>
      </w:tr>
      <w:tr>
        <w:trPr>
          <w:cantSplit/>
        </w:trPr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Costo por licencia tramitada (primer año)</w:t>
            </w:r>
          </w:p>
        </w:tc>
        <w:tc>
          <w:tcPr>
            <w:tcW w:type="dxa" w:w="218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$0</w:t>
            </w:r>
          </w:p>
        </w:tc>
        <w:tc>
          <w:tcPr>
            <w:tcW w:type="dxa" w:w="218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$12 – $14</w:t>
            </w:r>
          </w:p>
        </w:tc>
        <w:tc>
          <w:tcPr>
            <w:tcW w:type="dxa" w:w="218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$53 – $64</w:t>
            </w:r>
          </w:p>
        </w:tc>
      </w:tr>
    </w:tbl>
    <w:p>
      <w:pPr>
        <w:spacing w:after="120" w:before="0" w:line="120"/>
      </w:pPr>
    </w:p>
    <w:p>
      <w:pPr>
        <w:spacing w:after="140" w:before="0" w:line="276"/>
        <w:jc w:val="left"/>
      </w:pPr>
      <w:r>
        <w:rPr>
          <w:rFonts w:ascii="Calibri" w:cs="Calibri" w:eastAsia="Calibri" w:hAnsi="Calibri"/>
          <w:color w:val="334155"/>
          <w:sz w:val="17"/>
          <w:szCs w:val="17"/>
        </w:rPr>
        <w:t xml:space="preserve">El servicio de FONASA entre órganos del Estado no tiene cobro, y no hay robot ni intermediarios. WS1 no tiene costo. WS2 agrega la estación de IA básica, la capacitación y Claude para el equipo. WS3 sube por la estación avanzada, que el Informe 12 ya contempla.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none" w:color="FFFFFF" w:sz="0"/>
              <w:left w:val="single" w:color="0D9488" w:sz="24"/>
              <w:bottom w:val="none" w:color="FFFFFF" w:sz="0"/>
              <w:right w:val="none" w:color="FFFFFF" w:sz="0"/>
            </w:tcBorders>
            <w:shd w:fill="F0FDFA" w:color="auto" w:val="clear"/>
            <w:tcMar>
              <w:top w:type="dxa" w:w="110"/>
              <w:left w:type="dxa" w:w="220"/>
              <w:bottom w:type="dxa" w:w="11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CONCLUSIÓN ECONÓMICA</w:t>
            </w:r>
          </w:p>
          <w:p>
            <w:pPr>
              <w:spacing w:after="50" w:line="260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WS1</w:t>
            </w:r>
            <w:r>
              <w:rPr>
                <w:color w:val="334155"/>
                <w:sz w:val="19"/>
                <w:szCs w:val="19"/>
              </w:rPr>
              <w:t xml:space="preserve"> no tiene costo el primer año. </w:t>
            </w:r>
            <w:r>
              <w:rPr>
                <w:b/>
                <w:bCs/>
                <w:color w:val="0F172A"/>
                <w:sz w:val="19"/>
                <w:szCs w:val="19"/>
              </w:rPr>
              <w:t xml:space="preserve">WS2</w:t>
            </w:r>
            <w:r>
              <w:rPr>
                <w:color w:val="334155"/>
                <w:sz w:val="19"/>
                <w:szCs w:val="19"/>
              </w:rPr>
              <w:t xml:space="preserve"> cuesta $3,9 MM por la IA en GPU, la capacitación y Claude para el equipo. </w:t>
            </w:r>
            <w:r>
              <w:rPr>
                <w:b/>
                <w:bCs/>
                <w:color w:val="0F172A"/>
                <w:sz w:val="19"/>
                <w:szCs w:val="19"/>
              </w:rPr>
              <w:t xml:space="preserve">WS3</w:t>
            </w:r>
            <w:r>
              <w:rPr>
                <w:color w:val="334155"/>
                <w:sz w:val="19"/>
                <w:szCs w:val="19"/>
              </w:rPr>
              <w:t xml:space="preserve"> cuesta $17,5 MM por la IA avanzada, la alta disponibilidad y Claude (plan y API). El costo bajo se apoya en que el servicio de FONASA es gratuito entre organismos públicos.</w:t>
            </w:r>
          </w:p>
        </w:tc>
      </w:tr>
    </w:tbl>
    <w:p>
      <w:pPr>
        <w:spacing w:after="140" w:before="0" w:line="120"/>
      </w:pPr>
    </w:p>
    <w:p>
      <w:pPr>
        <w:keepNext/>
        <w:pageBreakBefore/>
        <w:spacing w:after="60"/>
      </w:pPr>
      <w:r>
        <w:rPr>
          <w:rFonts w:ascii="Consolas" w:cs="Consolas" w:eastAsia="Consolas" w:hAnsi="Consolas"/>
          <w:b/>
          <w:bCs/>
          <w:color w:val="0D9488"/>
          <w:spacing w:val="30"/>
          <w:sz w:val="16"/>
          <w:szCs w:val="16"/>
        </w:rPr>
        <w:t xml:space="preserve">SECCIÓN 02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/  stack · costos</w:t>
      </w:r>
    </w:p>
    <w:p>
      <w:pPr>
        <w:pStyle w:val="Heading1"/>
        <w:keepNext/>
        <w:pBdr>
          <w:bottom w:val="single" w:color="E2E8F0" w:sz="6" w:space="6"/>
        </w:pBdr>
        <w:spacing w:after="1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Stack tecnológico con costos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13"/>
        <w:gridCol w:w="3213"/>
        <w:gridCol w:w="3214"/>
      </w:tblGrid>
      <w:tr>
        <w:trPr>
          <w:cantSplit/>
        </w:trPr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POR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El Informe 08.3.2 detalla qué tecnología usa cada propuesta; aquí cada una lleva su precio.</w:t>
            </w:r>
          </w:p>
        </w:tc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PARA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Ver en una sola tabla todo lo que hay que pagar o aportar en cada propuesta, tecnología por tecnología.</w:t>
            </w:r>
          </w:p>
        </w:tc>
        <w:tc>
          <w:tcPr>
            <w:tcW w:type="dxa" w:w="3214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CÓMO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La misma tabla de la sección 02 del Informe 08.3.2: en cada celda, precio, plan, cálculo, periodicidad y fuente. El total del final es el costo del primer año y coincide con las secciones 01 y 04.</w:t>
            </w:r>
          </w:p>
        </w:tc>
      </w:tr>
    </w:tbl>
    <w:p>
      <w:pPr>
        <w:spacing w:after="140" w:before="0" w:line="120"/>
      </w:pPr>
    </w:p>
    <w:p>
      <w:pPr>
        <w:keepNext/>
        <w:spacing w:after="120"/>
      </w:pPr>
      <w:r>
        <w:rPr>
          <w:rFonts w:ascii="Consolas" w:cs="Consolas" w:eastAsia="Consolas" w:hAnsi="Consolas"/>
          <w:b/>
          <w:bCs/>
          <w:color w:val="0D9488"/>
          <w:sz w:val="14"/>
          <w:szCs w:val="14"/>
        </w:rPr>
        <w:t xml:space="preserve">CÓMO LEER  </w:t>
      </w:r>
      <w:r>
        <w:rPr>
          <w:rFonts w:ascii="Calibri" w:cs="Calibri" w:eastAsia="Calibri" w:hAnsi="Calibri"/>
          <w:color w:val="15803D"/>
          <w:sz w:val="16"/>
          <w:szCs w:val="16"/>
        </w:rPr>
        <w:t xml:space="preserve">■ </w:t>
      </w:r>
      <w:r>
        <w:rPr>
          <w:rFonts w:ascii="Calibri" w:cs="Calibri" w:eastAsia="Calibri" w:hAnsi="Calibri"/>
          <w:b/>
          <w:bCs/>
          <w:color w:val="0F172A"/>
          <w:sz w:val="15"/>
          <w:szCs w:val="15"/>
        </w:rPr>
        <w:t xml:space="preserve">Costo cero    </w:t>
      </w:r>
      <w:r>
        <w:rPr>
          <w:rFonts w:ascii="Calibri" w:cs="Calibri" w:eastAsia="Calibri" w:hAnsi="Calibri"/>
          <w:color w:val="0D9488"/>
          <w:sz w:val="16"/>
          <w:szCs w:val="16"/>
        </w:rPr>
        <w:t xml:space="preserve">■ </w:t>
      </w:r>
      <w:r>
        <w:rPr>
          <w:rFonts w:ascii="Calibri" w:cs="Calibri" w:eastAsia="Calibri" w:hAnsi="Calibri"/>
          <w:b/>
          <w:bCs/>
          <w:color w:val="0F172A"/>
          <w:sz w:val="15"/>
          <w:szCs w:val="15"/>
        </w:rPr>
        <w:t xml:space="preserve">Óptima    </w:t>
      </w:r>
      <w:r>
        <w:rPr>
          <w:rFonts w:ascii="Calibri" w:cs="Calibri" w:eastAsia="Calibri" w:hAnsi="Calibri"/>
          <w:color w:val="B45309"/>
          <w:sz w:val="16"/>
          <w:szCs w:val="16"/>
        </w:rPr>
        <w:t xml:space="preserve">■ </w:t>
      </w:r>
      <w:r>
        <w:rPr>
          <w:rFonts w:ascii="Calibri" w:cs="Calibri" w:eastAsia="Calibri" w:hAnsi="Calibri"/>
          <w:b/>
          <w:bCs/>
          <w:color w:val="0F172A"/>
          <w:sz w:val="15"/>
          <w:szCs w:val="15"/>
        </w:rPr>
        <w:t xml:space="preserve">Avanzada</w:t>
      </w:r>
      <w:r>
        <w:rPr>
          <w:rFonts w:ascii="Calibri" w:cs="Calibri" w:eastAsia="Calibri" w:hAnsi="Calibri"/>
          <w:color w:val="64748B"/>
          <w:sz w:val="15"/>
          <w:szCs w:val="15"/>
        </w:rPr>
        <w:t xml:space="preserve">   ·   En cada celda: la tecnología y, debajo, su precio, plan, cálculo, periodicidad y fuente.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760"/>
        <w:gridCol w:w="2626"/>
        <w:gridCol w:w="2626"/>
        <w:gridCol w:w="2628"/>
      </w:tblGrid>
      <w:tr>
        <w:trPr>
          <w:cantSplit/>
          <w:tblHeader/>
        </w:trPr>
        <w:tc>
          <w:tcPr>
            <w:tcW w:type="dxa" w:w="1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CAPA</w:t>
            </w:r>
          </w:p>
        </w:tc>
        <w:tc>
          <w:tcPr>
            <w:tcW w:type="dxa" w:w="2626"/>
            <w:tcBorders>
              <w:top w:val="none" w:color="FFFFFF" w:sz="0"/>
              <w:left w:val="single" w:color="FFFFFF" w:sz="18"/>
              <w:bottom w:val="none" w:color="FFFFFF" w:sz="0"/>
              <w:right w:val="none" w:color="FFFFFF" w:sz="0"/>
            </w:tcBorders>
            <w:shd w:fill="15803D" w:color="auto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1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pacing w:val="20"/>
                <w:sz w:val="14"/>
                <w:szCs w:val="14"/>
              </w:rPr>
              <w:t xml:space="preserve">WS1</w:t>
            </w:r>
          </w:p>
          <w:p>
            <w:r>
              <w:rPr>
                <w:rFonts w:ascii="Consolas" w:cs="Consolas" w:eastAsia="Consolas" w:hAnsi="Consolas"/>
                <w:b/>
                <w:bCs/>
                <w:color w:val="FFFFFF"/>
                <w:spacing w:val="10"/>
                <w:sz w:val="16"/>
                <w:szCs w:val="16"/>
              </w:rPr>
              <w:t xml:space="preserve">COSTO CERO</w:t>
            </w:r>
          </w:p>
        </w:tc>
        <w:tc>
          <w:tcPr>
            <w:tcW w:type="dxa" w:w="2626"/>
            <w:tcBorders>
              <w:top w:val="none" w:color="FFFFFF" w:sz="0"/>
              <w:left w:val="single" w:color="FFFFFF" w:sz="18"/>
              <w:bottom w:val="none" w:color="FFFFFF" w:sz="0"/>
              <w:right w:val="none" w:color="FFFFFF" w:sz="0"/>
            </w:tcBorders>
            <w:shd w:fill="0D9488" w:color="auto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1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pacing w:val="20"/>
                <w:sz w:val="14"/>
                <w:szCs w:val="14"/>
              </w:rPr>
              <w:t xml:space="preserve">WS2</w:t>
            </w:r>
          </w:p>
          <w:p>
            <w:r>
              <w:rPr>
                <w:rFonts w:ascii="Consolas" w:cs="Consolas" w:eastAsia="Consolas" w:hAnsi="Consolas"/>
                <w:b/>
                <w:bCs/>
                <w:color w:val="FFFFFF"/>
                <w:spacing w:val="10"/>
                <w:sz w:val="16"/>
                <w:szCs w:val="16"/>
              </w:rPr>
              <w:t xml:space="preserve">ÓPTIMA</w:t>
            </w:r>
          </w:p>
        </w:tc>
        <w:tc>
          <w:tcPr>
            <w:tcW w:type="dxa" w:w="2628"/>
            <w:tcBorders>
              <w:top w:val="none" w:color="FFFFFF" w:sz="0"/>
              <w:left w:val="single" w:color="FFFFFF" w:sz="18"/>
              <w:bottom w:val="none" w:color="FFFFFF" w:sz="0"/>
              <w:right w:val="none" w:color="FFFFFF" w:sz="0"/>
            </w:tcBorders>
            <w:shd w:fill="B45309" w:color="auto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1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pacing w:val="20"/>
                <w:sz w:val="14"/>
                <w:szCs w:val="14"/>
              </w:rPr>
              <w:t xml:space="preserve">WS3</w:t>
            </w:r>
          </w:p>
          <w:p>
            <w:r>
              <w:rPr>
                <w:rFonts w:ascii="Consolas" w:cs="Consolas" w:eastAsia="Consolas" w:hAnsi="Consolas"/>
                <w:b/>
                <w:bCs/>
                <w:color w:val="FFFFFF"/>
                <w:spacing w:val="10"/>
                <w:sz w:val="16"/>
                <w:szCs w:val="16"/>
              </w:rPr>
              <w:t xml:space="preserve">AVANZADA</w:t>
            </w:r>
          </w:p>
        </w:tc>
      </w:tr>
      <w:tr>
        <w:trPr>
          <w:cantSplit/>
        </w:trPr>
        <w:tc>
          <w:tcPr>
            <w:tcW w:type="dxa" w:w="9640"/>
            <w:gridSpan w:val="4"/>
            <w:tcBorders>
              <w:top w:val="single" w:color="0F172A" w:sz="12"/>
              <w:left w:val="none" w:color="FFFFFF" w:sz="0"/>
              <w:bottom w:val="single" w:color="CBD5E1" w:sz="4"/>
              <w:right w:val="none" w:color="FFFFFF" w:sz="0"/>
            </w:tcBorders>
            <w:shd w:fill="F1F5F9" w:color="auto" w:val="clear"/>
            <w:tcMar>
              <w:top w:type="dxa" w:w="90"/>
              <w:left w:type="dxa" w:w="110"/>
              <w:bottom w:type="dxa" w:w="90"/>
              <w:right w:type="dxa" w:w="100"/>
            </w:tcMar>
            <w:vAlign w:val="top"/>
          </w:tcPr>
          <w:p>
            <w:pPr>
              <w:keepNext/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16"/>
                <w:szCs w:val="16"/>
              </w:rPr>
              <w:t xml:space="preserve">01   </w:t>
            </w:r>
            <w:r>
              <w:rPr>
                <w:rFonts w:ascii="Consolas" w:cs="Consolas" w:eastAsia="Consolas" w:hAnsi="Consolas"/>
                <w:b/>
                <w:bCs/>
                <w:color w:val="0F172A"/>
                <w:spacing w:val="15"/>
                <w:sz w:val="16"/>
                <w:szCs w:val="16"/>
              </w:rPr>
              <w:t xml:space="preserve">INFRAESTRUCTURA Y HARDWARE</w:t>
            </w:r>
            <w:r>
              <w:rPr>
                <w:rFonts w:ascii="Calibri" w:cs="Calibri" w:eastAsia="Calibri" w:hAnsi="Calibri"/>
                <w:color w:val="64748B"/>
                <w:sz w:val="14"/>
                <w:szCs w:val="14"/>
              </w:rPr>
              <w:t xml:space="preserve">   en la DEP, salvo el respaldo de la propuesta avanzada</w:t>
            </w:r>
          </w:p>
        </w:tc>
      </w:tr>
      <w:tr>
        <w:trPr>
          <w:cantSplit/>
        </w:trPr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2E8F0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Servidor de aplicación</w:t>
            </w:r>
          </w:p>
        </w:tc>
        <w:tc>
          <w:tcPr>
            <w:tcW w:type="dxa" w:w="2626"/>
            <w:tcBorders>
              <w:top w:val="none" w:color="FFFFFF" w:sz="0"/>
              <w:left w:val="single" w:color="15803D" w:sz="18"/>
              <w:bottom w:val="single" w:color="E2E8F0" w:sz="4"/>
              <w:right w:val="none" w:color="FFFFFF" w:sz="0"/>
            </w:tcBorders>
            <w:shd w:fill="F0FDF4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Máquina virtual existente de TI: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4 vCPU, 16 GB RAM, 100 GB SSD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Ya existe en el servidor de TI</w:t>
            </w:r>
          </w:p>
        </w:tc>
        <w:tc>
          <w:tcPr>
            <w:tcW w:type="dxa" w:w="2626"/>
            <w:tcBorders>
              <w:top w:val="none" w:color="FFFFFF" w:sz="0"/>
              <w:left w:val="single" w:color="0D9488" w:sz="18"/>
              <w:bottom w:val="single" w:color="E2E8F0" w:sz="4"/>
              <w:right w:val="none" w:color="FFFFFF" w:sz="0"/>
            </w:tcBorders>
            <w:shd w:fill="F0FDFA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Máquina virtual existente de TI: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4 vCPU, 16 GB RAM, 100 GB SSD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Ya existe en el servidor de TI</w:t>
            </w:r>
          </w:p>
        </w:tc>
        <w:tc>
          <w:tcPr>
            <w:tcW w:type="dxa" w:w="2628"/>
            <w:tcBorders>
              <w:top w:val="none" w:color="FFFFFF" w:sz="0"/>
              <w:left w:val="single" w:color="B45309" w:sz="18"/>
              <w:bottom w:val="single" w:color="E2E8F0" w:sz="4"/>
              <w:right w:val="none" w:color="FFFFFF" w:sz="0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Dos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máquinas virtuales de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8 vCPU, 32 GB RAM, 200 GB SSD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(activa y respaldo)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Las provee TI en su plataforma de virtualización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[supuesto] sin costo incremental</w:t>
            </w:r>
          </w:p>
        </w:tc>
      </w:tr>
      <w:tr>
        <w:trPr>
          <w:cantSplit/>
        </w:trPr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2E8F0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Servidor de IA</w:t>
            </w:r>
          </w:p>
        </w:tc>
        <w:tc>
          <w:tcPr>
            <w:tcW w:type="dxa" w:w="2626"/>
            <w:tcBorders>
              <w:top w:val="none" w:color="FFFFFF" w:sz="0"/>
              <w:left w:val="single" w:color="15803D" w:sz="18"/>
              <w:bottom w:val="single" w:color="E2E8F0" w:sz="4"/>
              <w:right w:val="none" w:color="FFFFFF" w:sz="0"/>
            </w:tcBorders>
            <w:shd w:fill="F0FDF4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Sin equipo nuevo: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el modelo corre en la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CPU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del servidor de aplicación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Equipo ya existente en TI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Sin compra ni consumo adicional relevante</w:t>
            </w:r>
          </w:p>
        </w:tc>
        <w:tc>
          <w:tcPr>
            <w:tcW w:type="dxa" w:w="2626"/>
            <w:tcBorders>
              <w:top w:val="none" w:color="FFFFFF" w:sz="0"/>
              <w:left w:val="single" w:color="0D9488" w:sz="18"/>
              <w:bottom w:val="single" w:color="E2E8F0" w:sz="4"/>
              <w:right w:val="none" w:color="FFFFFF" w:sz="0"/>
            </w:tcBorders>
            <w:shd w:fill="F0FDFA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Estación de IA básica: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GPU 16 GB, 64 GB RAM, NVMe 2 TB +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UPS 1 kVA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16"/>
                <w:szCs w:val="16"/>
              </w:rPr>
              <w:t xml:space="preserve">$1.950.000 una vez + $180.000 al año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Estación: $1.800.000 [estim.]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UPS 1 kVA: $150.000 [estim.]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Energía: $180.000 al año [estim.]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Compra 2027</w:t>
            </w:r>
          </w:p>
        </w:tc>
        <w:tc>
          <w:tcPr>
            <w:tcW w:type="dxa" w:w="2628"/>
            <w:tcBorders>
              <w:top w:val="none" w:color="FFFFFF" w:sz="0"/>
              <w:left w:val="single" w:color="B45309" w:sz="18"/>
              <w:bottom w:val="single" w:color="E2E8F0" w:sz="4"/>
              <w:right w:val="none" w:color="FFFFFF" w:sz="0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Estación de IA avanzada: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GPU 32 GB, 128 GB RAM, RAID 1,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UPS 2 kVA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; compartida con el Informe 12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6"/>
                <w:szCs w:val="16"/>
              </w:rPr>
              <w:t xml:space="preserve">$7.500.000 una vez + $1.254.000 al año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Estación completa con UPS: $7.500.000 con IVA (Informes 12–13)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Energía: $552.000 al año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Mantención del equipo: $702.000 al año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Compra 2027</w:t>
            </w:r>
          </w:p>
        </w:tc>
      </w:tr>
      <w:tr>
        <w:trPr>
          <w:cantSplit/>
        </w:trPr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2E8F0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Estación del encargado</w:t>
            </w:r>
          </w:p>
        </w:tc>
        <w:tc>
          <w:tcPr>
            <w:tcW w:type="dxa" w:w="2626"/>
            <w:tcBorders>
              <w:top w:val="none" w:color="FFFFFF" w:sz="0"/>
              <w:left w:val="single" w:color="15803D" w:sz="18"/>
              <w:bottom w:val="single" w:color="E2E8F0" w:sz="4"/>
              <w:right w:val="none" w:color="FFFFFF" w:sz="0"/>
            </w:tcBorders>
            <w:shd w:fill="F0FDF4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Equipo existente con navegador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Equipo ya existente en cada SLEP</w:t>
            </w:r>
          </w:p>
        </w:tc>
        <w:tc>
          <w:tcPr>
            <w:tcW w:type="dxa" w:w="2626"/>
            <w:tcBorders>
              <w:top w:val="none" w:color="FFFFFF" w:sz="0"/>
              <w:left w:val="single" w:color="0D9488" w:sz="18"/>
              <w:bottom w:val="single" w:color="E2E8F0" w:sz="4"/>
              <w:right w:val="none" w:color="FFFFFF" w:sz="0"/>
            </w:tcBorders>
            <w:shd w:fill="F0FDFA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Equipo existente con navegador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Equipo ya existente en cada SLEP</w:t>
            </w:r>
          </w:p>
        </w:tc>
        <w:tc>
          <w:tcPr>
            <w:tcW w:type="dxa" w:w="2628"/>
            <w:tcBorders>
              <w:top w:val="none" w:color="FFFFFF" w:sz="0"/>
              <w:left w:val="single" w:color="B45309" w:sz="18"/>
              <w:bottom w:val="single" w:color="E2E8F0" w:sz="4"/>
              <w:right w:val="none" w:color="FFFFFF" w:sz="0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Equipo existente con navegador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Equipo ya existente en cada SLEP</w:t>
            </w:r>
          </w:p>
        </w:tc>
      </w:tr>
      <w:tr>
        <w:trPr>
          <w:cantSplit/>
        </w:trPr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2E8F0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Canal con FONASA</w:t>
            </w:r>
          </w:p>
        </w:tc>
        <w:tc>
          <w:tcPr>
            <w:tcW w:type="dxa" w:w="2626"/>
            <w:tcBorders>
              <w:top w:val="none" w:color="FFFFFF" w:sz="0"/>
              <w:left w:val="single" w:color="15803D" w:sz="18"/>
              <w:bottom w:val="single" w:color="E2E8F0" w:sz="4"/>
              <w:right w:val="none" w:color="FFFFFF" w:sz="0"/>
            </w:tcBorders>
            <w:shd w:fill="F0FDF4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Servicio web de FONASA por la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Red de Interoperabilidad del Estado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Sin cobro entre órganos del Estado</w:t>
            </w:r>
          </w:p>
        </w:tc>
        <w:tc>
          <w:tcPr>
            <w:tcW w:type="dxa" w:w="2626"/>
            <w:tcBorders>
              <w:top w:val="none" w:color="FFFFFF" w:sz="0"/>
              <w:left w:val="single" w:color="0D9488" w:sz="18"/>
              <w:bottom w:val="single" w:color="E2E8F0" w:sz="4"/>
              <w:right w:val="none" w:color="FFFFFF" w:sz="0"/>
            </w:tcBorders>
            <w:shd w:fill="F0FDFA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Servicio web de FONASA por la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Red de Interoperabilidad del Estado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Sin cobro entre órganos del Estado</w:t>
            </w:r>
          </w:p>
        </w:tc>
        <w:tc>
          <w:tcPr>
            <w:tcW w:type="dxa" w:w="2628"/>
            <w:tcBorders>
              <w:top w:val="none" w:color="FFFFFF" w:sz="0"/>
              <w:left w:val="single" w:color="B45309" w:sz="18"/>
              <w:bottom w:val="single" w:color="E2E8F0" w:sz="4"/>
              <w:right w:val="none" w:color="FFFFFF" w:sz="0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Servicio web de FONASA por la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Red de Interoperabilidad del Estado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Sin cobro entre órganos del Estado</w:t>
            </w:r>
          </w:p>
        </w:tc>
      </w:tr>
      <w:tr>
        <w:trPr>
          <w:cantSplit/>
        </w:trPr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2E8F0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Respaldo y continuidad</w:t>
            </w:r>
          </w:p>
        </w:tc>
        <w:tc>
          <w:tcPr>
            <w:tcW w:type="dxa" w:w="2626"/>
            <w:tcBorders>
              <w:top w:val="none" w:color="FFFFFF" w:sz="0"/>
              <w:left w:val="single" w:color="15803D" w:sz="18"/>
              <w:bottom w:val="single" w:color="E2E8F0" w:sz="4"/>
              <w:right w:val="none" w:color="FFFFFF" w:sz="0"/>
            </w:tcBorders>
            <w:shd w:fill="F0FDF4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Respaldo diario en el almacenamiento del servidor de TI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Almacenamiento de TI ya existente</w:t>
            </w:r>
          </w:p>
        </w:tc>
        <w:tc>
          <w:tcPr>
            <w:tcW w:type="dxa" w:w="2626"/>
            <w:tcBorders>
              <w:top w:val="none" w:color="FFFFFF" w:sz="0"/>
              <w:left w:val="single" w:color="0D9488" w:sz="18"/>
              <w:bottom w:val="single" w:color="E2E8F0" w:sz="4"/>
              <w:right w:val="none" w:color="FFFFFF" w:sz="0"/>
            </w:tcBorders>
            <w:shd w:fill="F0FDFA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Respaldo diario en el servidor de TI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+ copia semanal fuera del edificio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Almacenamiento institucional existente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[supuesto] sin compra</w:t>
            </w:r>
          </w:p>
        </w:tc>
        <w:tc>
          <w:tcPr>
            <w:tcW w:type="dxa" w:w="2628"/>
            <w:tcBorders>
              <w:top w:val="none" w:color="FFFFFF" w:sz="0"/>
              <w:left w:val="single" w:color="B45309" w:sz="18"/>
              <w:bottom w:val="single" w:color="E2E8F0" w:sz="4"/>
              <w:right w:val="none" w:color="FFFFFF" w:sz="0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Réplica en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Azure Chile Central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como sitio de respaldo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6"/>
                <w:szCs w:val="16"/>
              </w:rPr>
              <w:t xml:space="preserve">$454.624 piloto + $1.358.318 al año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Piloto 2026: ambiente de prueba D4s_v5, 196,4 USD/mes + IVA × 2 meses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Operación: D2s_v5, 97,8 USD/mes + IVA = $113.193 al mes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Pago mensual primer año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Fuente: calculadora Azure, región Chile Central</w:t>
            </w:r>
          </w:p>
        </w:tc>
      </w:tr>
      <w:tr>
        <w:trPr>
          <w:cantSplit/>
        </w:trPr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2E8F0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Red</w:t>
            </w:r>
          </w:p>
        </w:tc>
        <w:tc>
          <w:tcPr>
            <w:tcW w:type="dxa" w:w="2626"/>
            <w:tcBorders>
              <w:top w:val="none" w:color="FFFFFF" w:sz="0"/>
              <w:left w:val="single" w:color="15803D" w:sz="18"/>
              <w:bottom w:val="single" w:color="E2E8F0" w:sz="4"/>
              <w:right w:val="none" w:color="FFFFFF" w:sz="0"/>
            </w:tcBorders>
            <w:shd w:fill="F0FDF4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HTTPS (443) al servicio de FONASA con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credenciales de servicio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Red institucional existente</w:t>
            </w:r>
          </w:p>
        </w:tc>
        <w:tc>
          <w:tcPr>
            <w:tcW w:type="dxa" w:w="2626"/>
            <w:tcBorders>
              <w:top w:val="none" w:color="FFFFFF" w:sz="0"/>
              <w:left w:val="single" w:color="0D9488" w:sz="18"/>
              <w:bottom w:val="single" w:color="E2E8F0" w:sz="4"/>
              <w:right w:val="none" w:color="FFFFFF" w:sz="0"/>
            </w:tcBorders>
            <w:shd w:fill="F0FDFA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HTTPS (443) al servicio de FONASA con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credenciales de servicio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Red institucional existente</w:t>
            </w:r>
          </w:p>
        </w:tc>
        <w:tc>
          <w:tcPr>
            <w:tcW w:type="dxa" w:w="2628"/>
            <w:tcBorders>
              <w:top w:val="none" w:color="FFFFFF" w:sz="0"/>
              <w:left w:val="single" w:color="B45309" w:sz="18"/>
              <w:bottom w:val="single" w:color="E2E8F0" w:sz="4"/>
              <w:right w:val="none" w:color="FFFFFF" w:sz="0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HTTPS (443) al servicio de FONASA con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credenciales de servicio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+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VPN sitio a sitio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con Azure Chile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VPN incluida en la red de Azure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Costo dentro de la fila «Respaldo y continuidad»</w:t>
            </w:r>
          </w:p>
        </w:tc>
      </w:tr>
      <w:tr>
        <w:trPr>
          <w:cantSplit/>
        </w:trPr>
        <w:tc>
          <w:tcPr>
            <w:tcW w:type="dxa" w:w="9640"/>
            <w:gridSpan w:val="4"/>
            <w:tcBorders>
              <w:top w:val="single" w:color="0F172A" w:sz="12"/>
              <w:left w:val="none" w:color="FFFFFF" w:sz="0"/>
              <w:bottom w:val="single" w:color="CBD5E1" w:sz="4"/>
              <w:right w:val="none" w:color="FFFFFF" w:sz="0"/>
            </w:tcBorders>
            <w:shd w:fill="F1F5F9" w:color="auto" w:val="clear"/>
            <w:tcMar>
              <w:top w:type="dxa" w:w="90"/>
              <w:left w:type="dxa" w:w="110"/>
              <w:bottom w:type="dxa" w:w="90"/>
              <w:right w:type="dxa" w:w="100"/>
            </w:tcMar>
            <w:vAlign w:val="top"/>
          </w:tcPr>
          <w:p>
            <w:pPr>
              <w:keepNext/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16"/>
                <w:szCs w:val="16"/>
              </w:rPr>
              <w:t xml:space="preserve">02   </w:t>
            </w:r>
            <w:r>
              <w:rPr>
                <w:rFonts w:ascii="Consolas" w:cs="Consolas" w:eastAsia="Consolas" w:hAnsi="Consolas"/>
                <w:b/>
                <w:bCs/>
                <w:color w:val="0F172A"/>
                <w:spacing w:val="15"/>
                <w:sz w:val="16"/>
                <w:szCs w:val="16"/>
              </w:rPr>
              <w:t xml:space="preserve">SOFTWARE POR CAPA</w:t>
            </w:r>
            <w:r>
              <w:rPr>
                <w:rFonts w:ascii="Calibri" w:cs="Calibri" w:eastAsia="Calibri" w:hAnsi="Calibri"/>
                <w:color w:val="64748B"/>
                <w:sz w:val="14"/>
                <w:szCs w:val="14"/>
              </w:rPr>
              <w:t xml:space="preserve">   del sistema operativo a la aplicación</w:t>
            </w:r>
          </w:p>
        </w:tc>
      </w:tr>
      <w:tr>
        <w:trPr>
          <w:cantSplit/>
        </w:trPr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2E8F0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Sistema operativo</w:t>
            </w:r>
          </w:p>
        </w:tc>
        <w:tc>
          <w:tcPr>
            <w:tcW w:type="dxa" w:w="2626"/>
            <w:tcBorders>
              <w:top w:val="none" w:color="FFFFFF" w:sz="0"/>
              <w:left w:val="single" w:color="15803D" w:sz="18"/>
              <w:bottom w:val="single" w:color="E2E8F0" w:sz="4"/>
              <w:right w:val="none" w:color="FFFFFF" w:sz="0"/>
            </w:tcBorders>
            <w:shd w:fill="F0FDF4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Ubuntu Server 24.04 LTS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Libre y gratuito</w:t>
            </w:r>
          </w:p>
        </w:tc>
        <w:tc>
          <w:tcPr>
            <w:tcW w:type="dxa" w:w="2626"/>
            <w:tcBorders>
              <w:top w:val="none" w:color="FFFFFF" w:sz="0"/>
              <w:left w:val="single" w:color="0D9488" w:sz="18"/>
              <w:bottom w:val="single" w:color="E2E8F0" w:sz="4"/>
              <w:right w:val="none" w:color="FFFFFF" w:sz="0"/>
            </w:tcBorders>
            <w:shd w:fill="F0FDFA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Ubuntu Server 24.04 LTS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+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controlador NVIDIA y CUDA 12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en la estación de IA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Ubuntu libre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Controlador y CUDA gratuitos de NVIDIA</w:t>
            </w:r>
          </w:p>
        </w:tc>
        <w:tc>
          <w:tcPr>
            <w:tcW w:type="dxa" w:w="2628"/>
            <w:tcBorders>
              <w:top w:val="none" w:color="FFFFFF" w:sz="0"/>
              <w:left w:val="single" w:color="B45309" w:sz="18"/>
              <w:bottom w:val="single" w:color="E2E8F0" w:sz="4"/>
              <w:right w:val="none" w:color="FFFFFF" w:sz="0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Ubuntu Server 24.04 LTS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+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controlador NVIDIA y CUDA 12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en la estación de IA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Ubuntu libre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Controlador y CUDA gratuitos de NVIDIA</w:t>
            </w:r>
          </w:p>
        </w:tc>
      </w:tr>
      <w:tr>
        <w:trPr>
          <w:cantSplit/>
        </w:trPr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2E8F0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Lenguaje</w:t>
            </w:r>
          </w:p>
        </w:tc>
        <w:tc>
          <w:tcPr>
            <w:tcW w:type="dxa" w:w="2626"/>
            <w:tcBorders>
              <w:top w:val="none" w:color="FFFFFF" w:sz="0"/>
              <w:left w:val="single" w:color="15803D" w:sz="18"/>
              <w:bottom w:val="single" w:color="E2E8F0" w:sz="4"/>
              <w:right w:val="none" w:color="FFFFFF" w:sz="0"/>
            </w:tcBorders>
            <w:shd w:fill="F0FDF4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Python 3.12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(conector, motor, IA) ·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TypeScript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(GDP-SLEP Studio)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Código abierto · PSF y Apache-2.0</w:t>
            </w:r>
          </w:p>
        </w:tc>
        <w:tc>
          <w:tcPr>
            <w:tcW w:type="dxa" w:w="2626"/>
            <w:tcBorders>
              <w:top w:val="none" w:color="FFFFFF" w:sz="0"/>
              <w:left w:val="single" w:color="0D9488" w:sz="18"/>
              <w:bottom w:val="single" w:color="E2E8F0" w:sz="4"/>
              <w:right w:val="none" w:color="FFFFFF" w:sz="0"/>
            </w:tcBorders>
            <w:shd w:fill="F0FDFA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Python 3.12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(conector, motor, IA) ·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TypeScript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(GDP-SLEP Studio)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Código abierto · PSF y Apache-2.0</w:t>
            </w:r>
          </w:p>
        </w:tc>
        <w:tc>
          <w:tcPr>
            <w:tcW w:type="dxa" w:w="2628"/>
            <w:tcBorders>
              <w:top w:val="none" w:color="FFFFFF" w:sz="0"/>
              <w:left w:val="single" w:color="B45309" w:sz="18"/>
              <w:bottom w:val="single" w:color="E2E8F0" w:sz="4"/>
              <w:right w:val="none" w:color="FFFFFF" w:sz="0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Python 3.12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(conector, motor, IA) ·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TypeScript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(GDP-SLEP Studio)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Código abierto · PSF y Apache-2.0</w:t>
            </w:r>
          </w:p>
        </w:tc>
      </w:tr>
      <w:tr>
        <w:trPr>
          <w:cantSplit/>
        </w:trPr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2E8F0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Conector</w:t>
            </w:r>
          </w:p>
        </w:tc>
        <w:tc>
          <w:tcPr>
            <w:tcW w:type="dxa" w:w="2626"/>
            <w:tcBorders>
              <w:top w:val="none" w:color="FFFFFF" w:sz="0"/>
              <w:left w:val="single" w:color="15803D" w:sz="18"/>
              <w:bottom w:val="single" w:color="E2E8F0" w:sz="4"/>
              <w:right w:val="none" w:color="FFFFFF" w:sz="0"/>
            </w:tcBorders>
            <w:shd w:fill="F0FDF4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httpx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o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zeep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según el contrato del servicio ·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tenacity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(reintentos)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Código abierto · BSD, MIT y Apache-2.0</w:t>
            </w:r>
          </w:p>
        </w:tc>
        <w:tc>
          <w:tcPr>
            <w:tcW w:type="dxa" w:w="2626"/>
            <w:tcBorders>
              <w:top w:val="none" w:color="FFFFFF" w:sz="0"/>
              <w:left w:val="single" w:color="0D9488" w:sz="18"/>
              <w:bottom w:val="single" w:color="E2E8F0" w:sz="4"/>
              <w:right w:val="none" w:color="FFFFFF" w:sz="0"/>
            </w:tcBorders>
            <w:shd w:fill="F0FDFA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httpx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o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zeep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según el contrato del servicio ·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tenacity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(reintentos)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Código abierto · BSD, MIT y Apache-2.0</w:t>
            </w:r>
          </w:p>
        </w:tc>
        <w:tc>
          <w:tcPr>
            <w:tcW w:type="dxa" w:w="2628"/>
            <w:tcBorders>
              <w:top w:val="none" w:color="FFFFFF" w:sz="0"/>
              <w:left w:val="single" w:color="B45309" w:sz="18"/>
              <w:bottom w:val="single" w:color="E2E8F0" w:sz="4"/>
              <w:right w:val="none" w:color="FFFFFF" w:sz="0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httpx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o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zeep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según el contrato del servicio ·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tenacity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(reintentos) ·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verificación de salud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Código abierto · BSD, MIT y Apache-2.0</w:t>
            </w:r>
          </w:p>
        </w:tc>
      </w:tr>
      <w:tr>
        <w:trPr>
          <w:cantSplit/>
        </w:trPr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2E8F0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Planificador y cola</w:t>
            </w:r>
          </w:p>
        </w:tc>
        <w:tc>
          <w:tcPr>
            <w:tcW w:type="dxa" w:w="2626"/>
            <w:tcBorders>
              <w:top w:val="none" w:color="FFFFFF" w:sz="0"/>
              <w:left w:val="single" w:color="15803D" w:sz="18"/>
              <w:bottom w:val="single" w:color="E2E8F0" w:sz="4"/>
              <w:right w:val="none" w:color="FFFFFF" w:sz="0"/>
            </w:tcBorders>
            <w:shd w:fill="F0FDF4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APScheduler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+ tabla de tareas en MySQL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Código abierto · MIT</w:t>
            </w:r>
          </w:p>
        </w:tc>
        <w:tc>
          <w:tcPr>
            <w:tcW w:type="dxa" w:w="2626"/>
            <w:tcBorders>
              <w:top w:val="none" w:color="FFFFFF" w:sz="0"/>
              <w:left w:val="single" w:color="0D9488" w:sz="18"/>
              <w:bottom w:val="single" w:color="E2E8F0" w:sz="4"/>
              <w:right w:val="none" w:color="FFFFFF" w:sz="0"/>
            </w:tcBorders>
            <w:shd w:fill="F0FDFA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APScheduler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+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Valkey 8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(cola y caché)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Código abierto · MIT y BSD</w:t>
            </w:r>
          </w:p>
        </w:tc>
        <w:tc>
          <w:tcPr>
            <w:tcW w:type="dxa" w:w="2628"/>
            <w:tcBorders>
              <w:top w:val="none" w:color="FFFFFF" w:sz="0"/>
              <w:left w:val="single" w:color="B45309" w:sz="18"/>
              <w:bottom w:val="single" w:color="E2E8F0" w:sz="4"/>
              <w:right w:val="none" w:color="FFFFFF" w:sz="0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APScheduler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+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Valkey 8 en réplica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Código abierto · MIT y BSD</w:t>
            </w:r>
          </w:p>
        </w:tc>
      </w:tr>
      <w:tr>
        <w:trPr>
          <w:cantSplit/>
        </w:trPr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2E8F0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Motor y API interna</w:t>
            </w:r>
          </w:p>
        </w:tc>
        <w:tc>
          <w:tcPr>
            <w:tcW w:type="dxa" w:w="2626"/>
            <w:tcBorders>
              <w:top w:val="none" w:color="FFFFFF" w:sz="0"/>
              <w:left w:val="single" w:color="15803D" w:sz="18"/>
              <w:bottom w:val="single" w:color="E2E8F0" w:sz="4"/>
              <w:right w:val="none" w:color="FFFFFF" w:sz="0"/>
            </w:tcBorders>
            <w:shd w:fill="F0FDF4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FastAPI · pydantic 2 · SQLAlchemy 2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Código abierto · MIT</w:t>
            </w:r>
          </w:p>
        </w:tc>
        <w:tc>
          <w:tcPr>
            <w:tcW w:type="dxa" w:w="2626"/>
            <w:tcBorders>
              <w:top w:val="none" w:color="FFFFFF" w:sz="0"/>
              <w:left w:val="single" w:color="0D9488" w:sz="18"/>
              <w:bottom w:val="single" w:color="E2E8F0" w:sz="4"/>
              <w:right w:val="none" w:color="FFFFFF" w:sz="0"/>
            </w:tcBorders>
            <w:shd w:fill="F0FDFA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FastAPI · pydantic 2 · SQLAlchemy 2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Código abierto · MIT</w:t>
            </w:r>
          </w:p>
        </w:tc>
        <w:tc>
          <w:tcPr>
            <w:tcW w:type="dxa" w:w="2628"/>
            <w:tcBorders>
              <w:top w:val="none" w:color="FFFFFF" w:sz="0"/>
              <w:left w:val="single" w:color="B45309" w:sz="18"/>
              <w:bottom w:val="single" w:color="E2E8F0" w:sz="4"/>
              <w:right w:val="none" w:color="FFFFFF" w:sz="0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FastAPI · pydantic 2 · SQLAlchemy 2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Código abierto · MIT</w:t>
            </w:r>
          </w:p>
        </w:tc>
      </w:tr>
      <w:tr>
        <w:trPr>
          <w:cantSplit/>
        </w:trPr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2E8F0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Motor de IA</w:t>
            </w:r>
          </w:p>
        </w:tc>
        <w:tc>
          <w:tcPr>
            <w:tcW w:type="dxa" w:w="2626"/>
            <w:tcBorders>
              <w:top w:val="none" w:color="FFFFFF" w:sz="0"/>
              <w:left w:val="single" w:color="15803D" w:sz="18"/>
              <w:bottom w:val="single" w:color="E2E8F0" w:sz="4"/>
              <w:right w:val="none" w:color="FFFFFF" w:sz="0"/>
            </w:tcBorders>
            <w:shd w:fill="F0FDF4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LAYA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(motor FastAPI, versión fijada), sin n8n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Código abierto · Apache-2.0</w:t>
            </w:r>
          </w:p>
        </w:tc>
        <w:tc>
          <w:tcPr>
            <w:tcW w:type="dxa" w:w="2626"/>
            <w:tcBorders>
              <w:top w:val="none" w:color="FFFFFF" w:sz="0"/>
              <w:left w:val="single" w:color="0D9488" w:sz="18"/>
              <w:bottom w:val="single" w:color="E2E8F0" w:sz="4"/>
              <w:right w:val="none" w:color="FFFFFF" w:sz="0"/>
            </w:tcBorders>
            <w:shd w:fill="F0FDFA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LAYA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(motor FastAPI, versión fijada), sin n8n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Código abierto · Apache-2.0</w:t>
            </w:r>
          </w:p>
        </w:tc>
        <w:tc>
          <w:tcPr>
            <w:tcW w:type="dxa" w:w="2628"/>
            <w:tcBorders>
              <w:top w:val="none" w:color="FFFFFF" w:sz="0"/>
              <w:left w:val="single" w:color="B45309" w:sz="18"/>
              <w:bottom w:val="single" w:color="E2E8F0" w:sz="4"/>
              <w:right w:val="none" w:color="FFFFFF" w:sz="0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LAYA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(motor FastAPI, versión fijada) con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perfiles ampliados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Código abierto · Apache-2.0</w:t>
            </w:r>
          </w:p>
        </w:tc>
      </w:tr>
      <w:tr>
        <w:trPr>
          <w:cantSplit/>
        </w:trPr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2E8F0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Servidor del modelo</w:t>
            </w:r>
          </w:p>
        </w:tc>
        <w:tc>
          <w:tcPr>
            <w:tcW w:type="dxa" w:w="2626"/>
            <w:tcBorders>
              <w:top w:val="none" w:color="FFFFFF" w:sz="0"/>
              <w:left w:val="single" w:color="15803D" w:sz="18"/>
              <w:bottom w:val="single" w:color="E2E8F0" w:sz="4"/>
              <w:right w:val="none" w:color="FFFFFF" w:sz="0"/>
            </w:tcBorders>
            <w:shd w:fill="F0FDF4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Ollama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en CPU ·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Qwen3 4B–8B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Código abierto · MIT y Apache-2.0</w:t>
            </w:r>
          </w:p>
        </w:tc>
        <w:tc>
          <w:tcPr>
            <w:tcW w:type="dxa" w:w="2626"/>
            <w:tcBorders>
              <w:top w:val="none" w:color="FFFFFF" w:sz="0"/>
              <w:left w:val="single" w:color="0D9488" w:sz="18"/>
              <w:bottom w:val="single" w:color="E2E8F0" w:sz="4"/>
              <w:right w:val="none" w:color="FFFFFF" w:sz="0"/>
            </w:tcBorders>
            <w:shd w:fill="F0FDFA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Ollama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en GPU ·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Qwen3 8B–14B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Código abierto · MIT y Apache-2.0</w:t>
            </w:r>
          </w:p>
        </w:tc>
        <w:tc>
          <w:tcPr>
            <w:tcW w:type="dxa" w:w="2628"/>
            <w:tcBorders>
              <w:top w:val="none" w:color="FFFFFF" w:sz="0"/>
              <w:left w:val="single" w:color="B45309" w:sz="18"/>
              <w:bottom w:val="single" w:color="E2E8F0" w:sz="4"/>
              <w:right w:val="none" w:color="FFFFFF" w:sz="0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vLLM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en GPU ·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Qwen3 14B–32B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+ Ollama en CPU de respaldo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Código abierto · Apache-2.0 y MIT</w:t>
            </w:r>
          </w:p>
        </w:tc>
      </w:tr>
      <w:tr>
        <w:trPr>
          <w:cantSplit/>
        </w:trPr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2E8F0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Pasarela de modelos</w:t>
            </w:r>
          </w:p>
        </w:tc>
        <w:tc>
          <w:tcPr>
            <w:tcW w:type="dxa" w:w="2626"/>
            <w:tcBorders>
              <w:top w:val="none" w:color="FFFFFF" w:sz="0"/>
              <w:left w:val="single" w:color="15803D" w:sz="18"/>
              <w:bottom w:val="single" w:color="E2E8F0" w:sz="4"/>
              <w:right w:val="none" w:color="FFFFFF" w:sz="0"/>
            </w:tcBorders>
            <w:shd w:fill="F0FDF4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LiteLLM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(solo modelos locales)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Código abierto · MIT</w:t>
            </w:r>
          </w:p>
        </w:tc>
        <w:tc>
          <w:tcPr>
            <w:tcW w:type="dxa" w:w="2626"/>
            <w:tcBorders>
              <w:top w:val="none" w:color="FFFFFF" w:sz="0"/>
              <w:left w:val="single" w:color="0D9488" w:sz="18"/>
              <w:bottom w:val="single" w:color="E2E8F0" w:sz="4"/>
              <w:right w:val="none" w:color="FFFFFF" w:sz="0"/>
            </w:tcBorders>
            <w:shd w:fill="F0FDFA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LiteLLM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(solo modelos locales)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Código abierto · MIT</w:t>
            </w:r>
          </w:p>
        </w:tc>
        <w:tc>
          <w:tcPr>
            <w:tcW w:type="dxa" w:w="2628"/>
            <w:tcBorders>
              <w:top w:val="none" w:color="FFFFFF" w:sz="0"/>
              <w:left w:val="single" w:color="B45309" w:sz="18"/>
              <w:bottom w:val="single" w:color="E2E8F0" w:sz="4"/>
              <w:right w:val="none" w:color="FFFFFF" w:sz="0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LiteLLM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(solo modelos locales) con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registro de cada consulta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Código abierto · MIT</w:t>
            </w:r>
          </w:p>
        </w:tc>
      </w:tr>
      <w:tr>
        <w:trPr>
          <w:cantSplit/>
        </w:trPr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2E8F0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IA en la nube (sin datos personales)</w:t>
            </w:r>
          </w:p>
        </w:tc>
        <w:tc>
          <w:tcPr>
            <w:tcW w:type="dxa" w:w="2626"/>
            <w:tcBorders>
              <w:top w:val="none" w:color="FFFFFF" w:sz="0"/>
              <w:left w:val="single" w:color="15803D" w:sz="18"/>
              <w:bottom w:val="single" w:color="E2E8F0" w:sz="4"/>
              <w:right w:val="none" w:color="FFFFFF" w:sz="0"/>
            </w:tcBorders>
            <w:shd w:fill="F0FDF4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No se usa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color w:val="15803D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Sin servicio externo</w:t>
            </w:r>
          </w:p>
        </w:tc>
        <w:tc>
          <w:tcPr>
            <w:tcW w:type="dxa" w:w="2626"/>
            <w:tcBorders>
              <w:top w:val="none" w:color="FFFFFF" w:sz="0"/>
              <w:left w:val="single" w:color="0D9488" w:sz="18"/>
              <w:bottom w:val="single" w:color="E2E8F0" w:sz="4"/>
              <w:right w:val="none" w:color="FFFFFF" w:sz="0"/>
            </w:tcBorders>
            <w:shd w:fill="F0FDFA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Claude Team Standard · 2 asientos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color w:val="0D9488"/>
                <w:sz w:val="16"/>
                <w:szCs w:val="16"/>
              </w:rPr>
              <w:t xml:space="preserve">$555.549 al año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20 USD/asiento/mes (anual) × 2 × 12 + IVA 19%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Mínimo del plan: 2 asientos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Fuente: Anthropic, oct-2026</w:t>
            </w:r>
          </w:p>
        </w:tc>
        <w:tc>
          <w:tcPr>
            <w:tcW w:type="dxa" w:w="2628"/>
            <w:tcBorders>
              <w:top w:val="none" w:color="FFFFFF" w:sz="0"/>
              <w:left w:val="single" w:color="B45309" w:sz="18"/>
              <w:bottom w:val="single" w:color="E2E8F0" w:sz="4"/>
              <w:right w:val="none" w:color="FFFFFF" w:sz="0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Claude Team (1 Premium + 1 Standard) + API Sonnet 5.5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color w:val="B45309"/>
                <w:sz w:val="16"/>
                <w:szCs w:val="16"/>
              </w:rPr>
              <w:t xml:space="preserve">$2.222.196 al año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Team: (100 + 20) USD/mes × 12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API: 2 / 10 USD por millón; 10 M entrada + 2 M salida al mes [supuesto]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+ IVA 19% · Fuente: Anthropic, oct-2026</w:t>
            </w:r>
          </w:p>
        </w:tc>
      </w:tr>
      <w:tr>
        <w:trPr>
          <w:cantSplit/>
        </w:trPr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2E8F0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Bases de datos</w:t>
            </w:r>
          </w:p>
        </w:tc>
        <w:tc>
          <w:tcPr>
            <w:tcW w:type="dxa" w:w="2626"/>
            <w:tcBorders>
              <w:top w:val="none" w:color="FFFFFF" w:sz="0"/>
              <w:left w:val="single" w:color="15803D" w:sz="18"/>
              <w:bottom w:val="single" w:color="E2E8F0" w:sz="4"/>
              <w:right w:val="none" w:color="FFFFFF" w:sz="0"/>
            </w:tcBorders>
            <w:shd w:fill="F0FDF4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MySQL 8.4 LTS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·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SQLite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(LAYA)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Código abierto · GPLv2 y dominio público</w:t>
            </w:r>
          </w:p>
        </w:tc>
        <w:tc>
          <w:tcPr>
            <w:tcW w:type="dxa" w:w="2626"/>
            <w:tcBorders>
              <w:top w:val="none" w:color="FFFFFF" w:sz="0"/>
              <w:left w:val="single" w:color="0D9488" w:sz="18"/>
              <w:bottom w:val="single" w:color="E2E8F0" w:sz="4"/>
              <w:right w:val="none" w:color="FFFFFF" w:sz="0"/>
            </w:tcBorders>
            <w:shd w:fill="F0FDFA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MySQL 8.4 LTS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·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SQLite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(LAYA)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Código abierto · GPLv2 y dominio público</w:t>
            </w:r>
          </w:p>
        </w:tc>
        <w:tc>
          <w:tcPr>
            <w:tcW w:type="dxa" w:w="2628"/>
            <w:tcBorders>
              <w:top w:val="none" w:color="FFFFFF" w:sz="0"/>
              <w:left w:val="single" w:color="B45309" w:sz="18"/>
              <w:bottom w:val="single" w:color="E2E8F0" w:sz="4"/>
              <w:right w:val="none" w:color="FFFFFF" w:sz="0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MySQL 8.4 LTS con réplica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·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SQLite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(LAYA)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Código abierto · GPLv2 y dominio público</w:t>
            </w:r>
          </w:p>
        </w:tc>
      </w:tr>
      <w:tr>
        <w:trPr>
          <w:cantSplit/>
        </w:trPr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2E8F0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Secretos</w:t>
            </w:r>
          </w:p>
        </w:tc>
        <w:tc>
          <w:tcPr>
            <w:tcW w:type="dxa" w:w="2626"/>
            <w:tcBorders>
              <w:top w:val="none" w:color="FFFFFF" w:sz="0"/>
              <w:left w:val="single" w:color="15803D" w:sz="18"/>
              <w:bottom w:val="single" w:color="E2E8F0" w:sz="4"/>
              <w:right w:val="none" w:color="FFFFFF" w:sz="0"/>
            </w:tcBorders>
            <w:shd w:fill="F0FDF4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Archivo cifrado con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sops + age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Código abierto · MPL-2.0 y BSD</w:t>
            </w:r>
          </w:p>
        </w:tc>
        <w:tc>
          <w:tcPr>
            <w:tcW w:type="dxa" w:w="2626"/>
            <w:tcBorders>
              <w:top w:val="none" w:color="FFFFFF" w:sz="0"/>
              <w:left w:val="single" w:color="0D9488" w:sz="18"/>
              <w:bottom w:val="single" w:color="E2E8F0" w:sz="4"/>
              <w:right w:val="none" w:color="FFFFFF" w:sz="0"/>
            </w:tcBorders>
            <w:shd w:fill="F0FDFA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OpenBao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(almacén de secretos)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Código abierto · MPL-2.0</w:t>
            </w:r>
          </w:p>
        </w:tc>
        <w:tc>
          <w:tcPr>
            <w:tcW w:type="dxa" w:w="2628"/>
            <w:tcBorders>
              <w:top w:val="none" w:color="FFFFFF" w:sz="0"/>
              <w:left w:val="single" w:color="B45309" w:sz="18"/>
              <w:bottom w:val="single" w:color="E2E8F0" w:sz="4"/>
              <w:right w:val="none" w:color="FFFFFF" w:sz="0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OpenBao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con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desbloqueo por varias personas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Código abierto · MPL-2.0</w:t>
            </w:r>
          </w:p>
        </w:tc>
      </w:tr>
      <w:tr>
        <w:trPr>
          <w:cantSplit/>
        </w:trPr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2E8F0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Proxy y TLS</w:t>
            </w:r>
          </w:p>
        </w:tc>
        <w:tc>
          <w:tcPr>
            <w:tcW w:type="dxa" w:w="2626"/>
            <w:tcBorders>
              <w:top w:val="none" w:color="FFFFFF" w:sz="0"/>
              <w:left w:val="single" w:color="15803D" w:sz="18"/>
              <w:bottom w:val="single" w:color="E2E8F0" w:sz="4"/>
              <w:right w:val="none" w:color="FFFFFF" w:sz="0"/>
            </w:tcBorders>
            <w:shd w:fill="F0FDF4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Nginx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con certificado de TI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Código abierto · BSD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Certificado de TI ya existente</w:t>
            </w:r>
          </w:p>
        </w:tc>
        <w:tc>
          <w:tcPr>
            <w:tcW w:type="dxa" w:w="2626"/>
            <w:tcBorders>
              <w:top w:val="none" w:color="FFFFFF" w:sz="0"/>
              <w:left w:val="single" w:color="0D9488" w:sz="18"/>
              <w:bottom w:val="single" w:color="E2E8F0" w:sz="4"/>
              <w:right w:val="none" w:color="FFFFFF" w:sz="0"/>
            </w:tcBorders>
            <w:shd w:fill="F0FDFA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Nginx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con certificado de TI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Código abierto · BSD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Certificado de TI ya existente</w:t>
            </w:r>
          </w:p>
        </w:tc>
        <w:tc>
          <w:tcPr>
            <w:tcW w:type="dxa" w:w="2628"/>
            <w:tcBorders>
              <w:top w:val="none" w:color="FFFFFF" w:sz="0"/>
              <w:left w:val="single" w:color="B45309" w:sz="18"/>
              <w:bottom w:val="single" w:color="E2E8F0" w:sz="4"/>
              <w:right w:val="none" w:color="FFFFFF" w:sz="0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Nginx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+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keepalived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(IP flotante)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Código abierto · BSD y GPLv2</w:t>
            </w:r>
          </w:p>
        </w:tc>
      </w:tr>
      <w:tr>
        <w:trPr>
          <w:cantSplit/>
        </w:trPr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2E8F0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Observabilidad</w:t>
            </w:r>
          </w:p>
        </w:tc>
        <w:tc>
          <w:tcPr>
            <w:tcW w:type="dxa" w:w="2626"/>
            <w:tcBorders>
              <w:top w:val="none" w:color="FFFFFF" w:sz="0"/>
              <w:left w:val="single" w:color="15803D" w:sz="18"/>
              <w:bottom w:val="single" w:color="E2E8F0" w:sz="4"/>
              <w:right w:val="none" w:color="FFFFFF" w:sz="0"/>
            </w:tcBorders>
            <w:shd w:fill="F0FDF4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Registros JSON +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Uptime Kuma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Código abierto · MIT</w:t>
            </w:r>
          </w:p>
        </w:tc>
        <w:tc>
          <w:tcPr>
            <w:tcW w:type="dxa" w:w="2626"/>
            <w:tcBorders>
              <w:top w:val="none" w:color="FFFFFF" w:sz="0"/>
              <w:left w:val="single" w:color="0D9488" w:sz="18"/>
              <w:bottom w:val="single" w:color="E2E8F0" w:sz="4"/>
              <w:right w:val="none" w:color="FFFFFF" w:sz="0"/>
            </w:tcBorders>
            <w:shd w:fill="F0FDFA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Registros JSON +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Uptime Kuma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+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Prometheus · Grafana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+ métricas de GPU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Código abierto · MIT, Apache-2.0 y AGPL-3.0</w:t>
            </w:r>
          </w:p>
        </w:tc>
        <w:tc>
          <w:tcPr>
            <w:tcW w:type="dxa" w:w="2628"/>
            <w:tcBorders>
              <w:top w:val="none" w:color="FFFFFF" w:sz="0"/>
              <w:left w:val="single" w:color="B45309" w:sz="18"/>
              <w:bottom w:val="single" w:color="E2E8F0" w:sz="4"/>
              <w:right w:val="none" w:color="FFFFFF" w:sz="0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Uptime Kuma · Prometheus · Grafana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+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Loki · Alertmanager · Wazuh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Código abierto · MIT, Apache-2.0, AGPL-3.0 y GPLv2</w:t>
            </w:r>
          </w:p>
        </w:tc>
      </w:tr>
      <w:tr>
        <w:trPr>
          <w:cantSplit/>
        </w:trPr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2E8F0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Respaldo</w:t>
            </w:r>
          </w:p>
        </w:tc>
        <w:tc>
          <w:tcPr>
            <w:tcW w:type="dxa" w:w="2626"/>
            <w:tcBorders>
              <w:top w:val="none" w:color="FFFFFF" w:sz="0"/>
              <w:left w:val="single" w:color="15803D" w:sz="18"/>
              <w:bottom w:val="single" w:color="E2E8F0" w:sz="4"/>
              <w:right w:val="none" w:color="FFFFFF" w:sz="0"/>
            </w:tcBorders>
            <w:shd w:fill="F0FDF4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restic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+ volcado diario de MySQL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Código abierto · BSD</w:t>
            </w:r>
          </w:p>
        </w:tc>
        <w:tc>
          <w:tcPr>
            <w:tcW w:type="dxa" w:w="2626"/>
            <w:tcBorders>
              <w:top w:val="none" w:color="FFFFFF" w:sz="0"/>
              <w:left w:val="single" w:color="0D9488" w:sz="18"/>
              <w:bottom w:val="single" w:color="E2E8F0" w:sz="4"/>
              <w:right w:val="none" w:color="FFFFFF" w:sz="0"/>
            </w:tcBorders>
            <w:shd w:fill="F0FDFA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restic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+ volcado diario de MySQL +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copia semanal externa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Código abierto · BSD</w:t>
            </w:r>
          </w:p>
        </w:tc>
        <w:tc>
          <w:tcPr>
            <w:tcW w:type="dxa" w:w="2628"/>
            <w:tcBorders>
              <w:top w:val="none" w:color="FFFFFF" w:sz="0"/>
              <w:left w:val="single" w:color="B45309" w:sz="18"/>
              <w:bottom w:val="single" w:color="E2E8F0" w:sz="4"/>
              <w:right w:val="none" w:color="FFFFFF" w:sz="0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restic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+ volcado diario de MySQL +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réplica en Azure Chile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Código abierto · BSD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Azure en la fila «Respaldo y continuidad»</w:t>
            </w:r>
          </w:p>
        </w:tc>
      </w:tr>
      <w:tr>
        <w:trPr>
          <w:cantSplit/>
        </w:trPr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2E8F0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Calidad y CI</w:t>
            </w:r>
          </w:p>
        </w:tc>
        <w:tc>
          <w:tcPr>
            <w:tcW w:type="dxa" w:w="2626"/>
            <w:tcBorders>
              <w:top w:val="none" w:color="FFFFFF" w:sz="0"/>
              <w:left w:val="single" w:color="15803D" w:sz="18"/>
              <w:bottom w:val="single" w:color="E2E8F0" w:sz="4"/>
              <w:right w:val="none" w:color="FFFFFF" w:sz="0"/>
            </w:tcBorders>
            <w:shd w:fill="F0FDF4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GitLab CE · pytest · ruff · mypy · Trivy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Código abierto · MIT y Apache-2.0</w:t>
            </w:r>
          </w:p>
        </w:tc>
        <w:tc>
          <w:tcPr>
            <w:tcW w:type="dxa" w:w="2626"/>
            <w:tcBorders>
              <w:top w:val="none" w:color="FFFFFF" w:sz="0"/>
              <w:left w:val="single" w:color="0D9488" w:sz="18"/>
              <w:bottom w:val="single" w:color="E2E8F0" w:sz="4"/>
              <w:right w:val="none" w:color="FFFFFF" w:sz="0"/>
            </w:tcBorders>
            <w:shd w:fill="F0FDFA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GitLab CE · pytest · ruff · mypy · Trivy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Código abierto · MIT y Apache-2.0</w:t>
            </w:r>
          </w:p>
        </w:tc>
        <w:tc>
          <w:tcPr>
            <w:tcW w:type="dxa" w:w="2628"/>
            <w:tcBorders>
              <w:top w:val="none" w:color="FFFFFF" w:sz="0"/>
              <w:left w:val="single" w:color="B45309" w:sz="18"/>
              <w:bottom w:val="single" w:color="E2E8F0" w:sz="4"/>
              <w:right w:val="none" w:color="FFFFFF" w:sz="0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GitLab CE · pytest · ruff · mypy · Trivy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+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SonarQube Community · OWASP ZAP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Código abierto · LGPL-3.0 y Apache-2.0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Prueba externa en «Servicios externos»</w:t>
            </w:r>
          </w:p>
        </w:tc>
      </w:tr>
      <w:tr>
        <w:trPr>
          <w:cantSplit/>
        </w:trPr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2E8F0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GDP-SLEP Studio</w:t>
            </w:r>
          </w:p>
        </w:tc>
        <w:tc>
          <w:tcPr>
            <w:tcW w:type="dxa" w:w="2626"/>
            <w:tcBorders>
              <w:top w:val="none" w:color="FFFFFF" w:sz="0"/>
              <w:left w:val="single" w:color="15803D" w:sz="18"/>
              <w:bottom w:val="single" w:color="E2E8F0" w:sz="4"/>
              <w:right w:val="none" w:color="FFFFFF" w:sz="0"/>
            </w:tcBorders>
            <w:shd w:fill="F0FDF4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Node.js 24 LTS · NestJS 11 · Angular 21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Código abierto · MIT</w:t>
            </w:r>
          </w:p>
        </w:tc>
        <w:tc>
          <w:tcPr>
            <w:tcW w:type="dxa" w:w="2626"/>
            <w:tcBorders>
              <w:top w:val="none" w:color="FFFFFF" w:sz="0"/>
              <w:left w:val="single" w:color="0D9488" w:sz="18"/>
              <w:bottom w:val="single" w:color="E2E8F0" w:sz="4"/>
              <w:right w:val="none" w:color="FFFFFF" w:sz="0"/>
            </w:tcBorders>
            <w:shd w:fill="F0FDFA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Node.js 24 LTS · NestJS 11 · Angular 21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Código abierto · MIT</w:t>
            </w:r>
          </w:p>
        </w:tc>
        <w:tc>
          <w:tcPr>
            <w:tcW w:type="dxa" w:w="2628"/>
            <w:tcBorders>
              <w:top w:val="none" w:color="FFFFFF" w:sz="0"/>
              <w:left w:val="single" w:color="B45309" w:sz="18"/>
              <w:bottom w:val="single" w:color="E2E8F0" w:sz="4"/>
              <w:right w:val="none" w:color="FFFFFF" w:sz="0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Node.js 24 LTS · NestJS 11 · Angular 21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+ inicio de sesión con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ClaveÚnica (OIDC)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cuando TI lo apruebe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Código abierto · MIT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ClaveÚnica sin costo para órganos del Estado</w:t>
            </w:r>
          </w:p>
        </w:tc>
      </w:tr>
      <w:tr>
        <w:trPr>
          <w:cantSplit/>
        </w:trPr>
        <w:tc>
          <w:tcPr>
            <w:tcW w:type="dxa" w:w="9640"/>
            <w:gridSpan w:val="4"/>
            <w:tcBorders>
              <w:top w:val="single" w:color="0F172A" w:sz="12"/>
              <w:left w:val="none" w:color="FFFFFF" w:sz="0"/>
              <w:bottom w:val="single" w:color="CBD5E1" w:sz="4"/>
              <w:right w:val="none" w:color="FFFFFF" w:sz="0"/>
            </w:tcBorders>
            <w:shd w:fill="F1F5F9" w:color="auto" w:val="clear"/>
            <w:tcMar>
              <w:top w:type="dxa" w:w="90"/>
              <w:left w:type="dxa" w:w="110"/>
              <w:bottom w:type="dxa" w:w="90"/>
              <w:right w:type="dxa" w:w="100"/>
            </w:tcMar>
            <w:vAlign w:val="top"/>
          </w:tcPr>
          <w:p>
            <w:pPr>
              <w:keepNext/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16"/>
                <w:szCs w:val="16"/>
              </w:rPr>
              <w:t xml:space="preserve">03   </w:t>
            </w:r>
            <w:r>
              <w:rPr>
                <w:rFonts w:ascii="Consolas" w:cs="Consolas" w:eastAsia="Consolas" w:hAnsi="Consolas"/>
                <w:b/>
                <w:bCs/>
                <w:color w:val="0F172A"/>
                <w:spacing w:val="15"/>
                <w:sz w:val="16"/>
                <w:szCs w:val="16"/>
              </w:rPr>
              <w:t xml:space="preserve">COMPONENTES, VERSIÓN Y LICENCIA</w:t>
            </w:r>
            <w:r>
              <w:rPr>
                <w:rFonts w:ascii="Calibri" w:cs="Calibri" w:eastAsia="Calibri" w:hAnsi="Calibri"/>
                <w:color w:val="64748B"/>
                <w:sz w:val="14"/>
                <w:szCs w:val="14"/>
              </w:rPr>
              <w:t xml:space="preserve">   versiones vigentes a octubre de 2026</w:t>
            </w:r>
          </w:p>
        </w:tc>
      </w:tr>
      <w:tr>
        <w:trPr>
          <w:cantSplit/>
        </w:trPr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2E8F0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Lenguaje y bibliotecas</w:t>
            </w:r>
          </w:p>
        </w:tc>
        <w:tc>
          <w:tcPr>
            <w:tcW w:type="dxa" w:w="2626"/>
            <w:tcBorders>
              <w:top w:val="none" w:color="FFFFFF" w:sz="0"/>
              <w:left w:val="single" w:color="15803D" w:sz="18"/>
              <w:bottom w:val="single" w:color="E2E8F0" w:sz="4"/>
              <w:right w:val="none" w:color="FFFFFF" w:sz="0"/>
            </w:tcBorders>
            <w:shd w:fill="F0FDF4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Python 3.12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PSF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 · FastAPI, pydantic 2, SQLAlchemy 2, APScheduler, zeep 4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MIT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 · httpx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BSD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 · tenacity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Apache-2.0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Sin costo de licencia</w:t>
            </w:r>
          </w:p>
        </w:tc>
        <w:tc>
          <w:tcPr>
            <w:tcW w:type="dxa" w:w="2626"/>
            <w:tcBorders>
              <w:top w:val="none" w:color="FFFFFF" w:sz="0"/>
              <w:left w:val="single" w:color="0D9488" w:sz="18"/>
              <w:bottom w:val="single" w:color="E2E8F0" w:sz="4"/>
              <w:right w:val="none" w:color="FFFFFF" w:sz="0"/>
            </w:tcBorders>
            <w:shd w:fill="F0FDFA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Python 3.12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PSF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 · FastAPI, pydantic 2, SQLAlchemy 2, APScheduler, zeep 4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MIT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 · httpx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BSD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 · tenacity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Apache-2.0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Sin costo de licencia</w:t>
            </w:r>
          </w:p>
        </w:tc>
        <w:tc>
          <w:tcPr>
            <w:tcW w:type="dxa" w:w="2628"/>
            <w:tcBorders>
              <w:top w:val="none" w:color="FFFFFF" w:sz="0"/>
              <w:left w:val="single" w:color="B45309" w:sz="18"/>
              <w:bottom w:val="single" w:color="E2E8F0" w:sz="4"/>
              <w:right w:val="none" w:color="FFFFFF" w:sz="0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Python 3.12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PSF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 · FastAPI, pydantic 2, SQLAlchemy 2, APScheduler, zeep 4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MIT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 · httpx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BSD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 · tenacity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Apache-2.0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Sin costo de licencia</w:t>
            </w:r>
          </w:p>
        </w:tc>
      </w:tr>
      <w:tr>
        <w:trPr>
          <w:cantSplit/>
        </w:trPr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2E8F0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IA local</w:t>
            </w:r>
          </w:p>
        </w:tc>
        <w:tc>
          <w:tcPr>
            <w:tcW w:type="dxa" w:w="2626"/>
            <w:tcBorders>
              <w:top w:val="none" w:color="FFFFFF" w:sz="0"/>
              <w:left w:val="single" w:color="15803D" w:sz="18"/>
              <w:bottom w:val="single" w:color="E2E8F0" w:sz="4"/>
              <w:right w:val="none" w:color="FFFFFF" w:sz="0"/>
            </w:tcBorders>
            <w:shd w:fill="F0FDF4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LAYA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Apache-2.0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 · Ollama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MIT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 · LiteLLM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MIT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 · Qwen3 4B–8B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Apache-2.0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Sin costo de licencia</w:t>
            </w:r>
          </w:p>
        </w:tc>
        <w:tc>
          <w:tcPr>
            <w:tcW w:type="dxa" w:w="2626"/>
            <w:tcBorders>
              <w:top w:val="none" w:color="FFFFFF" w:sz="0"/>
              <w:left w:val="single" w:color="0D9488" w:sz="18"/>
              <w:bottom w:val="single" w:color="E2E8F0" w:sz="4"/>
              <w:right w:val="none" w:color="FFFFFF" w:sz="0"/>
            </w:tcBorders>
            <w:shd w:fill="F0FDFA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LAYA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Apache-2.0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 · Ollama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MIT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 · LiteLLM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MIT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 · Qwen3 8B–14B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Apache-2.0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Sin costo de licencia</w:t>
            </w:r>
          </w:p>
        </w:tc>
        <w:tc>
          <w:tcPr>
            <w:tcW w:type="dxa" w:w="2628"/>
            <w:tcBorders>
              <w:top w:val="none" w:color="FFFFFF" w:sz="0"/>
              <w:left w:val="single" w:color="B45309" w:sz="18"/>
              <w:bottom w:val="single" w:color="E2E8F0" w:sz="4"/>
              <w:right w:val="none" w:color="FFFFFF" w:sz="0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LAYA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Apache-2.0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 · vLLM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Apache-2.0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 · Ollama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MIT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 · LiteLLM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MIT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 · Qwen3 14B–32B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Apache-2.0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Sin costo de licencia</w:t>
            </w:r>
          </w:p>
        </w:tc>
      </w:tr>
      <w:tr>
        <w:trPr>
          <w:cantSplit/>
        </w:trPr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2E8F0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Cola, caché y secretos</w:t>
            </w:r>
          </w:p>
        </w:tc>
        <w:tc>
          <w:tcPr>
            <w:tcW w:type="dxa" w:w="2626"/>
            <w:tcBorders>
              <w:top w:val="none" w:color="FFFFFF" w:sz="0"/>
              <w:left w:val="single" w:color="15803D" w:sz="18"/>
              <w:bottom w:val="single" w:color="E2E8F0" w:sz="4"/>
              <w:right w:val="none" w:color="FFFFFF" w:sz="0"/>
            </w:tcBorders>
            <w:shd w:fill="F0FDF4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Tabla de tareas en MySQL · sops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MPL-2.0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 · age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BSD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Sin costo de licencia</w:t>
            </w:r>
          </w:p>
        </w:tc>
        <w:tc>
          <w:tcPr>
            <w:tcW w:type="dxa" w:w="2626"/>
            <w:tcBorders>
              <w:top w:val="none" w:color="FFFFFF" w:sz="0"/>
              <w:left w:val="single" w:color="0D9488" w:sz="18"/>
              <w:bottom w:val="single" w:color="E2E8F0" w:sz="4"/>
              <w:right w:val="none" w:color="FFFFFF" w:sz="0"/>
            </w:tcBorders>
            <w:shd w:fill="F0FDFA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Valkey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8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BSD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 · OpenBao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2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MPL-2.0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Sin costo de licencia</w:t>
            </w:r>
          </w:p>
        </w:tc>
        <w:tc>
          <w:tcPr>
            <w:tcW w:type="dxa" w:w="2628"/>
            <w:tcBorders>
              <w:top w:val="none" w:color="FFFFFF" w:sz="0"/>
              <w:left w:val="single" w:color="B45309" w:sz="18"/>
              <w:bottom w:val="single" w:color="E2E8F0" w:sz="4"/>
              <w:right w:val="none" w:color="FFFFFF" w:sz="0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Valkey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8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BSD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 · OpenBao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2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MPL-2.0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 · keepalived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GPLv2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Sin costo de licencia</w:t>
            </w:r>
          </w:p>
        </w:tc>
      </w:tr>
      <w:tr>
        <w:trPr>
          <w:cantSplit/>
        </w:trPr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2E8F0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Bases de datos</w:t>
            </w:r>
          </w:p>
        </w:tc>
        <w:tc>
          <w:tcPr>
            <w:tcW w:type="dxa" w:w="2626"/>
            <w:tcBorders>
              <w:top w:val="none" w:color="FFFFFF" w:sz="0"/>
              <w:left w:val="single" w:color="15803D" w:sz="18"/>
              <w:bottom w:val="single" w:color="E2E8F0" w:sz="4"/>
              <w:right w:val="none" w:color="FFFFFF" w:sz="0"/>
            </w:tcBorders>
            <w:shd w:fill="F0FDF4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MySQL Community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8.4 LTS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GPLv2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 · SQLite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3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dominio público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Sin costo de licencia</w:t>
            </w:r>
          </w:p>
        </w:tc>
        <w:tc>
          <w:tcPr>
            <w:tcW w:type="dxa" w:w="2626"/>
            <w:tcBorders>
              <w:top w:val="none" w:color="FFFFFF" w:sz="0"/>
              <w:left w:val="single" w:color="0D9488" w:sz="18"/>
              <w:bottom w:val="single" w:color="E2E8F0" w:sz="4"/>
              <w:right w:val="none" w:color="FFFFFF" w:sz="0"/>
            </w:tcBorders>
            <w:shd w:fill="F0FDFA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MySQL Community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8.4 LTS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GPLv2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 · SQLite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3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dominio público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Sin costo de licencia</w:t>
            </w:r>
          </w:p>
        </w:tc>
        <w:tc>
          <w:tcPr>
            <w:tcW w:type="dxa" w:w="2628"/>
            <w:tcBorders>
              <w:top w:val="none" w:color="FFFFFF" w:sz="0"/>
              <w:left w:val="single" w:color="B45309" w:sz="18"/>
              <w:bottom w:val="single" w:color="E2E8F0" w:sz="4"/>
              <w:right w:val="none" w:color="FFFFFF" w:sz="0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MySQL Community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8.4 LTS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GPLv2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 · SQLite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3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dominio público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Sin costo de licencia</w:t>
            </w:r>
          </w:p>
        </w:tc>
      </w:tr>
      <w:tr>
        <w:trPr>
          <w:cantSplit/>
        </w:trPr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2E8F0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Observabilidad</w:t>
            </w:r>
          </w:p>
        </w:tc>
        <w:tc>
          <w:tcPr>
            <w:tcW w:type="dxa" w:w="2626"/>
            <w:tcBorders>
              <w:top w:val="none" w:color="FFFFFF" w:sz="0"/>
              <w:left w:val="single" w:color="15803D" w:sz="18"/>
              <w:bottom w:val="single" w:color="E2E8F0" w:sz="4"/>
              <w:right w:val="none" w:color="FFFFFF" w:sz="0"/>
            </w:tcBorders>
            <w:shd w:fill="F0FDF4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Uptime Kuma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2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MIT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Sin costo de licencia</w:t>
            </w:r>
          </w:p>
        </w:tc>
        <w:tc>
          <w:tcPr>
            <w:tcW w:type="dxa" w:w="2626"/>
            <w:tcBorders>
              <w:top w:val="none" w:color="FFFFFF" w:sz="0"/>
              <w:left w:val="single" w:color="0D9488" w:sz="18"/>
              <w:bottom w:val="single" w:color="E2E8F0" w:sz="4"/>
              <w:right w:val="none" w:color="FFFFFF" w:sz="0"/>
            </w:tcBorders>
            <w:shd w:fill="F0FDFA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Uptime Kuma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MIT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 · Prometheus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3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Apache-2.0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 · Grafana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AGPL-3.0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Sin costo de licencia</w:t>
            </w:r>
          </w:p>
        </w:tc>
        <w:tc>
          <w:tcPr>
            <w:tcW w:type="dxa" w:w="2628"/>
            <w:tcBorders>
              <w:top w:val="none" w:color="FFFFFF" w:sz="0"/>
              <w:left w:val="single" w:color="B45309" w:sz="18"/>
              <w:bottom w:val="single" w:color="E2E8F0" w:sz="4"/>
              <w:right w:val="none" w:color="FFFFFF" w:sz="0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Uptime Kuma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MIT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 · Prometheus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3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, Alertmanager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Apache-2.0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 · Grafana, Loki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AGPL-3.0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 · Wazuh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4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GPLv2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Sin costo de licencia</w:t>
            </w:r>
          </w:p>
        </w:tc>
      </w:tr>
      <w:tr>
        <w:trPr>
          <w:cantSplit/>
        </w:trPr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2E8F0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Plataforma base y calidad</w:t>
            </w:r>
          </w:p>
        </w:tc>
        <w:tc>
          <w:tcPr>
            <w:tcW w:type="dxa" w:w="2626"/>
            <w:tcBorders>
              <w:top w:val="none" w:color="FFFFFF" w:sz="0"/>
              <w:left w:val="single" w:color="15803D" w:sz="18"/>
              <w:bottom w:val="single" w:color="E2E8F0" w:sz="4"/>
              <w:right w:val="none" w:color="FFFFFF" w:sz="0"/>
            </w:tcBorders>
            <w:shd w:fill="F0FDF4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Ubuntu Server 24.04 LTS · Docker Engine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Apache-2.0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 · Nginx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BSD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 · GitLab CE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MIT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 · restic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BSD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 · pytest, ruff, mypy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MIT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 · Trivy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Apache-2.0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Sin costo de licencia</w:t>
            </w:r>
          </w:p>
        </w:tc>
        <w:tc>
          <w:tcPr>
            <w:tcW w:type="dxa" w:w="2626"/>
            <w:tcBorders>
              <w:top w:val="none" w:color="FFFFFF" w:sz="0"/>
              <w:left w:val="single" w:color="0D9488" w:sz="18"/>
              <w:bottom w:val="single" w:color="E2E8F0" w:sz="4"/>
              <w:right w:val="none" w:color="FFFFFF" w:sz="0"/>
            </w:tcBorders>
            <w:shd w:fill="F0FDFA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Ubuntu Server 24.04 LTS · Docker Engine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Apache-2.0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 · Nginx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BSD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 · GitLab CE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MIT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 · restic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BSD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 · pytest, ruff, mypy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MIT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 · Trivy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Apache-2.0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Sin costo de licencia</w:t>
            </w:r>
          </w:p>
        </w:tc>
        <w:tc>
          <w:tcPr>
            <w:tcW w:type="dxa" w:w="2628"/>
            <w:tcBorders>
              <w:top w:val="none" w:color="FFFFFF" w:sz="0"/>
              <w:left w:val="single" w:color="B45309" w:sz="18"/>
              <w:bottom w:val="single" w:color="E2E8F0" w:sz="4"/>
              <w:right w:val="none" w:color="FFFFFF" w:sz="0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Ubuntu Server 24.04 LTS · Docker Engine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Apache-2.0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 · Nginx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BSD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 · GitLab CE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MIT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 · restic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BSD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 · pytest, ruff, mypy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MIT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 · Trivy, OWASP ZAP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Apache-2.0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 · SonarQube Community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LGPL-3.0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Sin costo de licencia</w:t>
            </w:r>
          </w:p>
        </w:tc>
      </w:tr>
      <w:tr>
        <w:trPr>
          <w:cantSplit/>
        </w:trPr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2E8F0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GDP-SLEP Studio</w:t>
            </w:r>
          </w:p>
        </w:tc>
        <w:tc>
          <w:tcPr>
            <w:tcW w:type="dxa" w:w="2626"/>
            <w:tcBorders>
              <w:top w:val="none" w:color="FFFFFF" w:sz="0"/>
              <w:left w:val="single" w:color="15803D" w:sz="18"/>
              <w:bottom w:val="single" w:color="E2E8F0" w:sz="4"/>
              <w:right w:val="none" w:color="FFFFFF" w:sz="0"/>
            </w:tcBorders>
            <w:shd w:fill="F0FDF4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Node.js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24 LTS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· NestJS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11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· Angular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21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MIT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Sin costo de licencia</w:t>
            </w:r>
          </w:p>
        </w:tc>
        <w:tc>
          <w:tcPr>
            <w:tcW w:type="dxa" w:w="2626"/>
            <w:tcBorders>
              <w:top w:val="none" w:color="FFFFFF" w:sz="0"/>
              <w:left w:val="single" w:color="0D9488" w:sz="18"/>
              <w:bottom w:val="single" w:color="E2E8F0" w:sz="4"/>
              <w:right w:val="none" w:color="FFFFFF" w:sz="0"/>
            </w:tcBorders>
            <w:shd w:fill="F0FDFA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Node.js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24 LTS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· NestJS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11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· Angular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21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MIT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Sin costo de licencia</w:t>
            </w:r>
          </w:p>
        </w:tc>
        <w:tc>
          <w:tcPr>
            <w:tcW w:type="dxa" w:w="2628"/>
            <w:tcBorders>
              <w:top w:val="none" w:color="FFFFFF" w:sz="0"/>
              <w:left w:val="single" w:color="B45309" w:sz="18"/>
              <w:bottom w:val="single" w:color="E2E8F0" w:sz="4"/>
              <w:right w:val="none" w:color="FFFFFF" w:sz="0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Node.js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24 LTS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· NestJS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11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· Angular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21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MIT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Sin costo de licencia</w:t>
            </w:r>
          </w:p>
        </w:tc>
      </w:tr>
      <w:tr>
        <w:trPr>
          <w:cantSplit/>
        </w:trPr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2E8F0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Descartado</w:t>
            </w:r>
          </w:p>
        </w:tc>
        <w:tc>
          <w:tcPr>
            <w:tcW w:type="dxa" w:w="2626"/>
            <w:tcBorders>
              <w:top w:val="none" w:color="FFFFFF" w:sz="0"/>
              <w:left w:val="single" w:color="15803D" w:sz="18"/>
              <w:bottom w:val="single" w:color="E2E8F0" w:sz="4"/>
              <w:right w:val="none" w:color="FFFFFF" w:sz="0"/>
            </w:tcBorders>
            <w:shd w:fill="F0FDF4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n8n ·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Sustainable Use License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No aplica</w:t>
            </w:r>
          </w:p>
        </w:tc>
        <w:tc>
          <w:tcPr>
            <w:tcW w:type="dxa" w:w="2626"/>
            <w:tcBorders>
              <w:top w:val="none" w:color="FFFFFF" w:sz="0"/>
              <w:left w:val="single" w:color="0D9488" w:sz="18"/>
              <w:bottom w:val="single" w:color="E2E8F0" w:sz="4"/>
              <w:right w:val="none" w:color="FFFFFF" w:sz="0"/>
            </w:tcBorders>
            <w:shd w:fill="F0FDFA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n8n ·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Sustainable Use License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No aplica</w:t>
            </w:r>
          </w:p>
        </w:tc>
        <w:tc>
          <w:tcPr>
            <w:tcW w:type="dxa" w:w="2628"/>
            <w:tcBorders>
              <w:top w:val="none" w:color="FFFFFF" w:sz="0"/>
              <w:left w:val="single" w:color="B45309" w:sz="18"/>
              <w:bottom w:val="single" w:color="E2E8F0" w:sz="4"/>
              <w:right w:val="none" w:color="FFFFFF" w:sz="0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n8n ·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Sustainable Use License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No aplica</w:t>
            </w:r>
          </w:p>
        </w:tc>
      </w:tr>
      <w:tr>
        <w:trPr>
          <w:cantSplit/>
        </w:trPr>
        <w:tc>
          <w:tcPr>
            <w:tcW w:type="dxa" w:w="9640"/>
            <w:gridSpan w:val="4"/>
            <w:tcBorders>
              <w:top w:val="single" w:color="0F172A" w:sz="12"/>
              <w:left w:val="none" w:color="FFFFFF" w:sz="0"/>
              <w:bottom w:val="single" w:color="CBD5E1" w:sz="4"/>
              <w:right w:val="none" w:color="FFFFFF" w:sz="0"/>
            </w:tcBorders>
            <w:shd w:fill="F1F5F9" w:color="auto" w:val="clear"/>
            <w:tcMar>
              <w:top w:type="dxa" w:w="90"/>
              <w:left w:type="dxa" w:w="110"/>
              <w:bottom w:type="dxa" w:w="90"/>
              <w:right w:type="dxa" w:w="100"/>
            </w:tcMar>
            <w:vAlign w:val="top"/>
          </w:tcPr>
          <w:p>
            <w:pPr>
              <w:keepNext/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16"/>
                <w:szCs w:val="16"/>
              </w:rPr>
              <w:t xml:space="preserve">04   </w:t>
            </w:r>
            <w:r>
              <w:rPr>
                <w:rFonts w:ascii="Consolas" w:cs="Consolas" w:eastAsia="Consolas" w:hAnsi="Consolas"/>
                <w:b/>
                <w:bCs/>
                <w:color w:val="0F172A"/>
                <w:spacing w:val="15"/>
                <w:sz w:val="16"/>
                <w:szCs w:val="16"/>
              </w:rPr>
              <w:t xml:space="preserve">PERSONAS Y SERVICIOS</w:t>
            </w:r>
            <w:r>
              <w:rPr>
                <w:rFonts w:ascii="Calibri" w:cs="Calibri" w:eastAsia="Calibri" w:hAnsi="Calibri"/>
                <w:color w:val="64748B"/>
                <w:sz w:val="14"/>
                <w:szCs w:val="14"/>
              </w:rPr>
              <w:t xml:space="preserve">   no son tecnologías, pero forman parte del costo de cada propuesta</w:t>
            </w:r>
          </w:p>
        </w:tc>
      </w:tr>
      <w:tr>
        <w:trPr>
          <w:cantSplit/>
        </w:trPr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2E8F0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Capacitación de encargados</w:t>
            </w:r>
          </w:p>
        </w:tc>
        <w:tc>
          <w:tcPr>
            <w:tcW w:type="dxa" w:w="2626"/>
            <w:tcBorders>
              <w:top w:val="none" w:color="FFFFFF" w:sz="0"/>
              <w:left w:val="single" w:color="15803D" w:sz="18"/>
              <w:bottom w:val="single" w:color="E2E8F0" w:sz="4"/>
              <w:right w:val="none" w:color="FFFFFF" w:sz="0"/>
            </w:tcBorders>
            <w:shd w:fill="F0FDF4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Inducción práctica durante la incorporación, sin curso formal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Incluida en la incorporación</w:t>
            </w:r>
          </w:p>
        </w:tc>
        <w:tc>
          <w:tcPr>
            <w:tcW w:type="dxa" w:w="2626"/>
            <w:tcBorders>
              <w:top w:val="none" w:color="FFFFFF" w:sz="0"/>
              <w:left w:val="single" w:color="0D9488" w:sz="18"/>
              <w:bottom w:val="single" w:color="E2E8F0" w:sz="4"/>
              <w:right w:val="none" w:color="FFFFFF" w:sz="0"/>
            </w:tcBorders>
            <w:shd w:fill="F0FDFA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Curso de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16 h para 15 personas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(SENCE)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16"/>
                <w:szCs w:val="16"/>
              </w:rPr>
              <w:t xml:space="preserve">$1.200.000 · una vez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16 h × 15 personas [estim.]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Período: 2027, al escalar</w:t>
            </w:r>
          </w:p>
        </w:tc>
        <w:tc>
          <w:tcPr>
            <w:tcW w:type="dxa" w:w="2628"/>
            <w:tcBorders>
              <w:top w:val="none" w:color="FFFFFF" w:sz="0"/>
              <w:left w:val="single" w:color="B45309" w:sz="18"/>
              <w:bottom w:val="single" w:color="E2E8F0" w:sz="4"/>
              <w:right w:val="none" w:color="FFFFFF" w:sz="0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Curso de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16 h para 15 personas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(SENCE)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6"/>
                <w:szCs w:val="16"/>
              </w:rPr>
              <w:t xml:space="preserve">$1.200.000 · una vez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16 h × 15 personas [estim.]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Período: 2027, al escalar</w:t>
            </w:r>
          </w:p>
        </w:tc>
      </w:tr>
      <w:tr>
        <w:trPr>
          <w:cantSplit/>
        </w:trPr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2E8F0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Servicios externos</w:t>
            </w:r>
          </w:p>
        </w:tc>
        <w:tc>
          <w:tcPr>
            <w:tcW w:type="dxa" w:w="2626"/>
            <w:tcBorders>
              <w:top w:val="none" w:color="FFFFFF" w:sz="0"/>
              <w:left w:val="single" w:color="15803D" w:sz="18"/>
              <w:bottom w:val="single" w:color="E2E8F0" w:sz="4"/>
              <w:right w:val="none" w:color="FFFFFF" w:sz="0"/>
            </w:tcBorders>
            <w:shd w:fill="F0FDF4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No se contratan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Sin contratos con terceros</w:t>
            </w:r>
          </w:p>
        </w:tc>
        <w:tc>
          <w:tcPr>
            <w:tcW w:type="dxa" w:w="2626"/>
            <w:tcBorders>
              <w:top w:val="none" w:color="FFFFFF" w:sz="0"/>
              <w:left w:val="single" w:color="0D9488" w:sz="18"/>
              <w:bottom w:val="single" w:color="E2E8F0" w:sz="4"/>
              <w:right w:val="none" w:color="FFFFFF" w:sz="0"/>
            </w:tcBorders>
            <w:shd w:fill="F0FDFA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No se contratan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Sin contratos con terceros</w:t>
            </w:r>
          </w:p>
        </w:tc>
        <w:tc>
          <w:tcPr>
            <w:tcW w:type="dxa" w:w="2628"/>
            <w:tcBorders>
              <w:top w:val="none" w:color="FFFFFF" w:sz="0"/>
              <w:left w:val="single" w:color="B45309" w:sz="18"/>
              <w:bottom w:val="single" w:color="E2E8F0" w:sz="4"/>
              <w:right w:val="none" w:color="FFFFFF" w:sz="0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Prueba de penetración externa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antes de operar en los 36 SLEP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6"/>
                <w:szCs w:val="16"/>
              </w:rPr>
              <w:t xml:space="preserve">$3.500.000 · una vez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Valor de mercado [estim.]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Período: 2027, antes de escalar</w:t>
            </w:r>
          </w:p>
        </w:tc>
      </w:tr>
      <w:tr>
        <w:trPr>
          <w:cantSplit/>
        </w:trPr>
        <w:tc>
          <w:tcPr>
            <w:tcW w:type="dxa" w:w="1760"/>
            <w:tcBorders>
              <w:top w:val="single" w:color="0F172A" w:sz="12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110"/>
              <w:left w:type="dxa" w:w="110"/>
              <w:bottom w:type="dxa" w:w="11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pacing w:val="20"/>
                <w:sz w:val="18"/>
                <w:szCs w:val="18"/>
              </w:rPr>
              <w:t xml:space="preserve">TOTAL</w:t>
            </w:r>
          </w:p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CBD5E1"/>
                <w:sz w:val="13"/>
                <w:szCs w:val="13"/>
              </w:rPr>
              <w:t xml:space="preserve">Primer año: piloto + puesta en marcha + 12 meses de operación</w:t>
            </w:r>
          </w:p>
        </w:tc>
        <w:tc>
          <w:tcPr>
            <w:tcW w:type="dxa" w:w="2626"/>
            <w:tcBorders>
              <w:top w:val="single" w:color="0F172A" w:sz="12"/>
              <w:left w:val="single" w:color="FFFFFF" w:sz="18"/>
              <w:bottom w:val="none" w:color="FFFFFF" w:sz="0"/>
              <w:right w:val="none" w:color="FFFFFF" w:sz="0"/>
            </w:tcBorders>
            <w:shd w:fill="15803D" w:color="auto" w:val="clear"/>
            <w:tcMar>
              <w:top w:type="dxa" w:w="110"/>
              <w:left w:type="dxa" w:w="110"/>
              <w:bottom w:type="dxa" w:w="110"/>
              <w:right w:type="dxa" w:w="100"/>
            </w:tcMar>
            <w:vAlign w:val="top"/>
          </w:tcPr>
          <w:p>
            <w:pPr>
              <w:spacing w:after="70" w:line="230"/>
            </w:pPr>
            <w:r>
              <w:rPr>
                <w:rFonts w:ascii="Consolas" w:cs="Consolas" w:eastAsia="Consolas" w:hAnsi="Consolas"/>
                <w:color w:val="E2E8F0"/>
                <w:sz w:val="13"/>
                <w:szCs w:val="13"/>
              </w:rPr>
              <w:t xml:space="preserve">PILOTO 2026</w:t>
            </w:r>
            <w:r>
              <w:br/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$0</w:t>
            </w:r>
          </w:p>
          <w:p>
            <w:pPr>
              <w:spacing w:after="70" w:line="230"/>
            </w:pPr>
            <w:r>
              <w:rPr>
                <w:rFonts w:ascii="Consolas" w:cs="Consolas" w:eastAsia="Consolas" w:hAnsi="Consolas"/>
                <w:color w:val="E2E8F0"/>
                <w:sz w:val="13"/>
                <w:szCs w:val="13"/>
              </w:rPr>
              <w:t xml:space="preserve">PUESTA EN MARCHA · UNA VEZ</w:t>
            </w:r>
            <w:r>
              <w:br/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$0</w:t>
            </w:r>
          </w:p>
          <w:p>
            <w:pPr>
              <w:spacing w:after="70" w:line="230"/>
            </w:pPr>
            <w:r>
              <w:rPr>
                <w:rFonts w:ascii="Consolas" w:cs="Consolas" w:eastAsia="Consolas" w:hAnsi="Consolas"/>
                <w:color w:val="E2E8F0"/>
                <w:sz w:val="13"/>
                <w:szCs w:val="13"/>
              </w:rPr>
              <w:t xml:space="preserve">OPERACIÓN · 12 MESES</w:t>
            </w:r>
            <w:r>
              <w:br/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$0</w:t>
            </w:r>
          </w:p>
          <w:p>
            <w:pPr>
              <w:spacing w:after="70" w:line="230"/>
            </w:pPr>
            <w:r>
              <w:rPr>
                <w:rFonts w:ascii="Consolas" w:cs="Consolas" w:eastAsia="Consolas" w:hAnsi="Consolas"/>
                <w:color w:val="E2E8F0"/>
                <w:sz w:val="13"/>
                <w:szCs w:val="13"/>
              </w:rPr>
              <w:t xml:space="preserve">TOTAL PRIMER AÑO</w:t>
            </w:r>
            <w:r>
              <w:br/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$0</w:t>
            </w:r>
          </w:p>
        </w:tc>
        <w:tc>
          <w:tcPr>
            <w:tcW w:type="dxa" w:w="2626"/>
            <w:tcBorders>
              <w:top w:val="single" w:color="0F172A" w:sz="12"/>
              <w:left w:val="single" w:color="FFFFFF" w:sz="18"/>
              <w:bottom w:val="none" w:color="FFFFFF" w:sz="0"/>
              <w:right w:val="none" w:color="FFFFFF" w:sz="0"/>
            </w:tcBorders>
            <w:shd w:fill="0D9488" w:color="auto" w:val="clear"/>
            <w:tcMar>
              <w:top w:type="dxa" w:w="110"/>
              <w:left w:type="dxa" w:w="110"/>
              <w:bottom w:type="dxa" w:w="110"/>
              <w:right w:type="dxa" w:w="100"/>
            </w:tcMar>
            <w:vAlign w:val="top"/>
          </w:tcPr>
          <w:p>
            <w:pPr>
              <w:spacing w:after="70" w:line="230"/>
            </w:pPr>
            <w:r>
              <w:rPr>
                <w:rFonts w:ascii="Consolas" w:cs="Consolas" w:eastAsia="Consolas" w:hAnsi="Consolas"/>
                <w:color w:val="E2E8F0"/>
                <w:sz w:val="13"/>
                <w:szCs w:val="13"/>
              </w:rPr>
              <w:t xml:space="preserve">PILOTO 2026</w:t>
            </w:r>
            <w:r>
              <w:br/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$0</w:t>
            </w:r>
          </w:p>
          <w:p>
            <w:pPr>
              <w:spacing w:after="70" w:line="230"/>
            </w:pPr>
            <w:r>
              <w:rPr>
                <w:rFonts w:ascii="Consolas" w:cs="Consolas" w:eastAsia="Consolas" w:hAnsi="Consolas"/>
                <w:color w:val="E2E8F0"/>
                <w:sz w:val="13"/>
                <w:szCs w:val="13"/>
              </w:rPr>
              <w:t xml:space="preserve">PUESTA EN MARCHA · UNA VEZ</w:t>
            </w:r>
            <w:r>
              <w:br/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$3.150.000</w:t>
            </w:r>
          </w:p>
          <w:p>
            <w:pPr>
              <w:spacing w:after="70" w:line="230"/>
            </w:pPr>
            <w:r>
              <w:rPr>
                <w:rFonts w:ascii="Consolas" w:cs="Consolas" w:eastAsia="Consolas" w:hAnsi="Consolas"/>
                <w:color w:val="E2E8F0"/>
                <w:sz w:val="13"/>
                <w:szCs w:val="13"/>
              </w:rPr>
              <w:t xml:space="preserve">OPERACIÓN · 12 MESES</w:t>
            </w:r>
            <w:r>
              <w:br/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$735.549</w:t>
            </w:r>
          </w:p>
          <w:p>
            <w:pPr>
              <w:spacing w:after="70" w:line="230"/>
            </w:pPr>
            <w:r>
              <w:rPr>
                <w:rFonts w:ascii="Consolas" w:cs="Consolas" w:eastAsia="Consolas" w:hAnsi="Consolas"/>
                <w:color w:val="E2E8F0"/>
                <w:sz w:val="13"/>
                <w:szCs w:val="13"/>
              </w:rPr>
              <w:t xml:space="preserve">TOTAL PRIMER AÑO</w:t>
            </w:r>
            <w:r>
              <w:br/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$3.885.549</w:t>
            </w:r>
          </w:p>
        </w:tc>
        <w:tc>
          <w:tcPr>
            <w:tcW w:type="dxa" w:w="2628"/>
            <w:tcBorders>
              <w:top w:val="single" w:color="0F172A" w:sz="12"/>
              <w:left w:val="single" w:color="FFFFFF" w:sz="18"/>
              <w:bottom w:val="none" w:color="FFFFFF" w:sz="0"/>
              <w:right w:val="none" w:color="FFFFFF" w:sz="0"/>
            </w:tcBorders>
            <w:shd w:fill="B45309" w:color="auto" w:val="clear"/>
            <w:tcMar>
              <w:top w:type="dxa" w:w="110"/>
              <w:left w:type="dxa" w:w="110"/>
              <w:bottom w:type="dxa" w:w="110"/>
              <w:right w:type="dxa" w:w="100"/>
            </w:tcMar>
            <w:vAlign w:val="top"/>
          </w:tcPr>
          <w:p>
            <w:pPr>
              <w:spacing w:after="70" w:line="230"/>
            </w:pPr>
            <w:r>
              <w:rPr>
                <w:rFonts w:ascii="Consolas" w:cs="Consolas" w:eastAsia="Consolas" w:hAnsi="Consolas"/>
                <w:color w:val="E2E8F0"/>
                <w:sz w:val="13"/>
                <w:szCs w:val="13"/>
              </w:rPr>
              <w:t xml:space="preserve">PILOTO 2026</w:t>
            </w:r>
            <w:r>
              <w:br/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$454.624</w:t>
            </w:r>
          </w:p>
          <w:p>
            <w:pPr>
              <w:spacing w:after="70" w:line="230"/>
            </w:pPr>
            <w:r>
              <w:rPr>
                <w:rFonts w:ascii="Consolas" w:cs="Consolas" w:eastAsia="Consolas" w:hAnsi="Consolas"/>
                <w:color w:val="E2E8F0"/>
                <w:sz w:val="13"/>
                <w:szCs w:val="13"/>
              </w:rPr>
              <w:t xml:space="preserve">PUESTA EN MARCHA · UNA VEZ</w:t>
            </w:r>
            <w:r>
              <w:br/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$12.200.000</w:t>
            </w:r>
          </w:p>
          <w:p>
            <w:pPr>
              <w:spacing w:after="70" w:line="230"/>
            </w:pPr>
            <w:r>
              <w:rPr>
                <w:rFonts w:ascii="Consolas" w:cs="Consolas" w:eastAsia="Consolas" w:hAnsi="Consolas"/>
                <w:color w:val="E2E8F0"/>
                <w:sz w:val="13"/>
                <w:szCs w:val="13"/>
              </w:rPr>
              <w:t xml:space="preserve">OPERACIÓN · 12 MESES</w:t>
            </w:r>
            <w:r>
              <w:br/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$4.834.514</w:t>
            </w:r>
          </w:p>
          <w:p>
            <w:pPr>
              <w:spacing w:after="70" w:line="230"/>
            </w:pPr>
            <w:r>
              <w:rPr>
                <w:rFonts w:ascii="Consolas" w:cs="Consolas" w:eastAsia="Consolas" w:hAnsi="Consolas"/>
                <w:color w:val="E2E8F0"/>
                <w:sz w:val="13"/>
                <w:szCs w:val="13"/>
              </w:rPr>
              <w:t xml:space="preserve">TOTAL PRIMER AÑO</w:t>
            </w:r>
            <w:r>
              <w:br/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$17.489.138</w:t>
            </w:r>
          </w:p>
        </w:tc>
      </w:tr>
    </w:tbl>
    <w:p>
      <w:pPr>
        <w:spacing w:after="140" w:before="0" w:line="120"/>
      </w:pPr>
    </w:p>
    <w:p>
      <w:pPr>
        <w:spacing w:after="140" w:before="0" w:line="276"/>
        <w:jc w:val="left"/>
      </w:pPr>
      <w:r>
        <w:rPr>
          <w:rFonts w:ascii="Calibri" w:cs="Calibri" w:eastAsia="Calibri" w:hAnsi="Calibri"/>
          <w:b/>
          <w:bCs/>
          <w:color w:val="0F172A"/>
          <w:sz w:val="17"/>
          <w:szCs w:val="17"/>
        </w:rPr>
        <w:t xml:space="preserve">$0</w:t>
      </w:r>
      <w:r>
        <w:rPr>
          <w:rFonts w:ascii="Calibri" w:cs="Calibri" w:eastAsia="Calibri" w:hAnsi="Calibri"/>
          <w:color w:val="334155"/>
          <w:sz w:val="17"/>
          <w:szCs w:val="17"/>
        </w:rPr>
        <w:t xml:space="preserve"> indica que no hay pago: software libre, algo incluido en otra licencia o un equipo que la DEP ya tiene. </w:t>
      </w:r>
      <w:r>
        <w:rPr>
          <w:rFonts w:ascii="Calibri" w:cs="Calibri" w:eastAsia="Calibri" w:hAnsi="Calibri"/>
          <w:b/>
          <w:bCs/>
          <w:color w:val="0F172A"/>
          <w:sz w:val="17"/>
          <w:szCs w:val="17"/>
        </w:rPr>
        <w:t xml:space="preserve"/>
      </w:r>
      <w:r>
        <w:rPr>
          <w:rFonts w:ascii="Calibri" w:cs="Calibri" w:eastAsia="Calibri" w:hAnsi="Calibri"/>
          <w:color w:val="334155"/>
          <w:sz w:val="17"/>
          <w:szCs w:val="17"/>
        </w:rPr>
        <w:t xml:space="preserve"/>
      </w:r>
      <w:r>
        <w:rPr>
          <w:rFonts w:ascii="Calibri" w:cs="Calibri" w:eastAsia="Calibri" w:hAnsi="Calibri"/>
          <w:b/>
          <w:bCs/>
          <w:color w:val="0F172A"/>
          <w:sz w:val="17"/>
          <w:szCs w:val="17"/>
        </w:rPr>
        <w:t xml:space="preserve">[estim.]</w:t>
      </w:r>
      <w:r>
        <w:rPr>
          <w:rFonts w:ascii="Calibri" w:cs="Calibri" w:eastAsia="Calibri" w:hAnsi="Calibri"/>
          <w:color w:val="334155"/>
          <w:sz w:val="17"/>
          <w:szCs w:val="17"/>
        </w:rPr>
        <w:t xml:space="preserve"> es un valor a confirmar con cotización. Cada ítem del modelo de costos aparece en </w:t>
      </w:r>
      <w:r>
        <w:rPr>
          <w:rFonts w:ascii="Calibri" w:cs="Calibri" w:eastAsia="Calibri" w:hAnsi="Calibri"/>
          <w:b/>
          <w:bCs/>
          <w:color w:val="0F172A"/>
          <w:sz w:val="17"/>
          <w:szCs w:val="17"/>
        </w:rPr>
        <w:t xml:space="preserve">una sola celda</w:t>
      </w:r>
      <w:r>
        <w:rPr>
          <w:rFonts w:ascii="Calibri" w:cs="Calibri" w:eastAsia="Calibri" w:hAnsi="Calibri"/>
          <w:color w:val="334155"/>
          <w:sz w:val="17"/>
          <w:szCs w:val="17"/>
        </w:rPr>
        <w:t xml:space="preserve">, por eso el total no repite montos.</w:t>
      </w:r>
    </w:p>
    <w:p>
      <w:pPr>
        <w:keepNext/>
        <w:pageBreakBefore/>
        <w:spacing w:after="60"/>
      </w:pPr>
      <w:r>
        <w:rPr>
          <w:rFonts w:ascii="Consolas" w:cs="Consolas" w:eastAsia="Consolas" w:hAnsi="Consolas"/>
          <w:b/>
          <w:bCs/>
          <w:color w:val="0D9488"/>
          <w:spacing w:val="30"/>
          <w:sz w:val="16"/>
          <w:szCs w:val="16"/>
        </w:rPr>
        <w:t xml:space="preserve">SECCIÓN 03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/  supuestos</w:t>
      </w:r>
    </w:p>
    <w:p>
      <w:pPr>
        <w:pStyle w:val="Heading1"/>
        <w:keepNext/>
        <w:pBdr>
          <w:bottom w:val="single" w:color="E2E8F0" w:sz="6" w:space="6"/>
        </w:pBdr>
        <w:spacing w:after="1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Bases de cálculo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13"/>
        <w:gridCol w:w="3213"/>
        <w:gridCol w:w="3214"/>
      </w:tblGrid>
      <w:tr>
        <w:trPr>
          <w:cantSplit/>
        </w:trPr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POR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Un costo sin supuestos explícitos no se puede revisar ni actualizar.</w:t>
            </w:r>
          </w:p>
        </w:tc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PARA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Dejar a la vista cada indicador, precio y supuesto usado.</w:t>
            </w:r>
          </w:p>
        </w:tc>
        <w:tc>
          <w:tcPr>
            <w:tcW w:type="dxa" w:w="3214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CÓMO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Indicadores oficiales al 1-oct-2026 y referencias de costos TI de la serie.</w:t>
            </w:r>
          </w:p>
        </w:tc>
      </w:tr>
    </w:tbl>
    <w:p>
      <w:pPr>
        <w:spacing w:after="140" w:before="0" w:line="120"/>
      </w:pPr>
    </w:p>
    <w:p>
      <w:pPr>
        <w:pStyle w:val="Heading2"/>
        <w:keepNext/>
        <w:spacing w:after="120" w:before="260"/>
      </w:pPr>
      <w:r>
        <w:rPr>
          <w:rFonts w:ascii="Consolas" w:cs="Consolas" w:eastAsia="Consolas" w:hAnsi="Consolas"/>
          <w:b/>
          <w:bCs/>
          <w:color w:val="0D9488"/>
          <w:sz w:val="22"/>
          <w:szCs w:val="22"/>
        </w:rPr>
        <w:t xml:space="preserve">3.1  </w:t>
      </w: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Indicadores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300"/>
        <w:gridCol w:w="2300"/>
        <w:gridCol w:w="4040"/>
      </w:tblGrid>
      <w:tr>
        <w:trPr>
          <w:tblHeader/>
        </w:trPr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INDICADOR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VALOR</w:t>
            </w:r>
          </w:p>
        </w:tc>
        <w:tc>
          <w:tcPr>
            <w:tcW w:type="dxa" w:w="4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FUENTE O CRITERIO</w:t>
            </w:r>
          </w:p>
        </w:tc>
      </w:tr>
      <w:tr>
        <w:trPr>
          <w:cantSplit/>
        </w:trPr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Dólar observado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$972,60</w:t>
            </w:r>
          </w:p>
        </w:tc>
        <w:tc>
          <w:tcPr>
            <w:tcW w:type="dxa" w:w="4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Banco Central, 1-oct-2026</w:t>
            </w:r>
          </w:p>
        </w:tc>
      </w:tr>
      <w:tr>
        <w:trPr>
          <w:cantSplit/>
        </w:trPr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UF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$41.073,57</w:t>
            </w:r>
          </w:p>
        </w:tc>
        <w:tc>
          <w:tcPr>
            <w:tcW w:type="dxa" w:w="4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Valor al 2-oct-2026</w:t>
            </w:r>
          </w:p>
        </w:tc>
      </w:tr>
      <w:tr>
        <w:trPr>
          <w:cantSplit/>
        </w:trPr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IVA sobre servicios digitales extranjeros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19%</w:t>
            </w:r>
          </w:p>
        </w:tc>
        <w:tc>
          <w:tcPr>
            <w:tcW w:type="dxa" w:w="4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Ley 21.210</w:t>
            </w:r>
          </w:p>
        </w:tc>
      </w:tr>
      <w:tr>
        <w:trPr>
          <w:cantSplit/>
        </w:trPr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Licencias al mes, 36 SLEP (costo por licencia)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22.700 – 27.700</w:t>
            </w:r>
          </w:p>
        </w:tc>
        <w:tc>
          <w:tcPr>
            <w:tcW w:type="dxa" w:w="4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Informe 08.5, sección 01</w:t>
            </w:r>
          </w:p>
        </w:tc>
      </w:tr>
      <w:tr>
        <w:trPr>
          <w:cantSplit/>
        </w:trPr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Horizonte de costos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Primer año</w:t>
            </w:r>
          </w:p>
        </w:tc>
        <w:tc>
          <w:tcPr>
            <w:tcW w:type="dxa" w:w="4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Piloto (oct–nov 2026) + puesta en marcha en los 36 SLEP + 12 meses de operación</w:t>
            </w:r>
          </w:p>
        </w:tc>
      </w:tr>
    </w:tbl>
    <w:p>
      <w:pPr>
        <w:spacing w:after="120" w:before="0" w:line="120"/>
      </w:pPr>
    </w:p>
    <w:p>
      <w:pPr>
        <w:pStyle w:val="Heading2"/>
        <w:keepNext/>
        <w:spacing w:after="120" w:before="260"/>
      </w:pPr>
      <w:r>
        <w:rPr>
          <w:rFonts w:ascii="Consolas" w:cs="Consolas" w:eastAsia="Consolas" w:hAnsi="Consolas"/>
          <w:b/>
          <w:bCs/>
          <w:color w:val="0D9488"/>
          <w:sz w:val="22"/>
          <w:szCs w:val="22"/>
        </w:rPr>
        <w:t xml:space="preserve">3.2  </w:t>
      </w: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Precios de referencia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100"/>
        <w:gridCol w:w="2300"/>
        <w:gridCol w:w="1900"/>
        <w:gridCol w:w="2340"/>
      </w:tblGrid>
      <w:tr>
        <w:trPr>
          <w:tblHeader/>
        </w:trPr>
        <w:tc>
          <w:tcPr>
            <w:tcW w:type="dxa" w:w="3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ÍTEM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PRECIO DE LISTA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CON IVA EN CLP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USO</w:t>
            </w:r>
          </w:p>
        </w:tc>
      </w:tr>
      <w:tr>
        <w:trPr>
          <w:cantSplit/>
        </w:trPr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Azure Chile Central · máquina de prueba D4s_v5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196,4 USD/mes · calculadora de Azure, oct-2026 · verificar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$227.312 al mes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WS3 (piloto)</w:t>
            </w:r>
          </w:p>
        </w:tc>
      </w:tr>
      <w:tr>
        <w:trPr>
          <w:cantSplit/>
        </w:trPr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Azure Chile Central · réplica de respaldo D2s_v5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97,8 USD/mes · calculadora de Azure, oct-2026 · verificar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$113.193 al mes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WS3</w:t>
            </w:r>
          </w:p>
        </w:tc>
      </w:tr>
      <w:tr>
        <w:trPr>
          <w:cantSplit/>
        </w:trPr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Prueba de penetración externa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Valor de mercado [estim.] · cotizar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$3.500.000 · una vez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WS3</w:t>
            </w:r>
          </w:p>
        </w:tc>
      </w:tr>
      <w:tr>
        <w:trPr>
          <w:cantSplit/>
        </w:trPr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Estación de IA local básica (GPU 16 GB, 64 GB RAM, NVMe 2 TB)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Estimado de mercado [estim.] · cotizar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$1.800.000 · una vez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WS2</w:t>
            </w:r>
          </w:p>
        </w:tc>
      </w:tr>
      <w:tr>
        <w:trPr>
          <w:cantSplit/>
        </w:trPr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UPS 1 kVA para la estación básica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Estimado de mercado [estim.]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$150.000 · una vez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WS2</w:t>
            </w:r>
          </w:p>
        </w:tc>
      </w:tr>
      <w:tr>
        <w:trPr>
          <w:cantSplit/>
        </w:trPr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Energía de la estación básica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Consumo continuo [estim.]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$180.000 al año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WS2</w:t>
            </w:r>
          </w:p>
        </w:tc>
      </w:tr>
      <w:tr>
        <w:trPr>
          <w:cantSplit/>
        </w:trPr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Estación de IA local avanzada (GPU 32 GB tipo RTX 5090, 128 GB RAM, RAID 1, UPS 2 kVA)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Con IVA (Informes 12–13). La GPU sola subió a 3.000–4.000 USD en 2026 · cotizar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$7.500.000 · una vez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WS3</w:t>
            </w:r>
          </w:p>
        </w:tc>
      </w:tr>
      <w:tr>
        <w:trPr>
          <w:cantSplit/>
        </w:trPr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Energía de la estación avanzada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Consumo continuo [estim.]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$552.000 al año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WS3</w:t>
            </w:r>
          </w:p>
        </w:tc>
      </w:tr>
      <w:tr>
        <w:trPr>
          <w:cantSplit/>
        </w:trPr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Mantención de la estación avanzada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Contrato de soporte [estim.]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$702.000 al año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WS3</w:t>
            </w:r>
          </w:p>
        </w:tc>
      </w:tr>
      <w:tr>
        <w:trPr>
          <w:cantSplit/>
        </w:trPr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Capacitación de encargados (16 h × 15 personas)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Curso SENCE [estim.]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$1.200.000 · una vez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WS2 · WS3</w:t>
            </w:r>
          </w:p>
        </w:tc>
      </w:tr>
      <w:tr>
        <w:trPr>
          <w:cantSplit/>
        </w:trPr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Claude Team Standard (facturación anual)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20 USD/asiento/mes · Anthropic, oct-2026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$277.775 al año por asiento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WS2 · WS3</w:t>
            </w:r>
          </w:p>
        </w:tc>
      </w:tr>
      <w:tr>
        <w:trPr>
          <w:cantSplit/>
        </w:trPr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Claude Team Premium (facturación anual)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100 USD/asiento/mes · Anthropic, oct-2026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$1.388.873 al año por asiento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WS3</w:t>
            </w:r>
          </w:p>
        </w:tc>
      </w:tr>
      <w:tr>
        <w:trPr>
          <w:cantSplit/>
        </w:trPr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API de Claude · Sonnet 5.5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2 / 10 USD por millón de tokens (entrada / salida) · Anthropic, oct-2026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$2.315 / $11.574 por millón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WS3</w:t>
            </w:r>
          </w:p>
        </w:tc>
      </w:tr>
      <w:tr>
        <w:trPr>
          <w:cantSplit/>
        </w:trPr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ChatGPT Business (alternativa evaluada)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20 USD/usuario/mes, anual · OpenAI, oct-2026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$277.775 al año por usuario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Referencia</w:t>
            </w:r>
          </w:p>
        </w:tc>
      </w:tr>
      <w:tr>
        <w:trPr>
          <w:cantSplit/>
        </w:trPr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Google Workspace con Gemini (alternativa evaluada)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desde ≈ 7–8,40 USD/usuario/mes · cotizar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desde ≈ $97.221 al año por usuario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Referencia</w:t>
            </w:r>
          </w:p>
        </w:tc>
      </w:tr>
    </w:tbl>
    <w:p>
      <w:pPr>
        <w:spacing w:after="120" w:before="0" w:line="120"/>
      </w:pPr>
    </w:p>
    <w:p>
      <w:pPr>
        <w:spacing w:after="140" w:before="0" w:line="276"/>
        <w:jc w:val="left"/>
      </w:pPr>
      <w:r>
        <w:rPr>
          <w:rFonts w:ascii="Calibri" w:cs="Calibri" w:eastAsia="Calibri" w:hAnsi="Calibri"/>
          <w:color w:val="334155"/>
          <w:sz w:val="17"/>
          <w:szCs w:val="17"/>
        </w:rPr>
        <w:t xml:space="preserve">La tabla incluye </w:t>
      </w:r>
      <w:r>
        <w:rPr>
          <w:rFonts w:ascii="Calibri" w:cs="Calibri" w:eastAsia="Calibri" w:hAnsi="Calibri"/>
          <w:b/>
          <w:bCs/>
          <w:color w:val="0F172A"/>
          <w:sz w:val="17"/>
          <w:szCs w:val="17"/>
        </w:rPr>
        <w:t xml:space="preserve">solo los ítems que tienen precio</w:t>
      </w:r>
      <w:r>
        <w:rPr>
          <w:rFonts w:ascii="Calibri" w:cs="Calibri" w:eastAsia="Calibri" w:hAnsi="Calibri"/>
          <w:color w:val="334155"/>
          <w:sz w:val="17"/>
          <w:szCs w:val="17"/>
        </w:rPr>
        <w:t xml:space="preserve">; el software libre, lo incluido en otras licencias y los equipos que la DEP ya tiene no se listan porque cuestan $0. </w:t>
      </w:r>
      <w:r>
        <w:rPr>
          <w:rFonts w:ascii="Calibri" w:cs="Calibri" w:eastAsia="Calibri" w:hAnsi="Calibri"/>
          <w:b/>
          <w:bCs/>
          <w:color w:val="0F172A"/>
          <w:sz w:val="17"/>
          <w:szCs w:val="17"/>
        </w:rPr>
        <w:t xml:space="preserve">[estim.]</w:t>
      </w:r>
      <w:r>
        <w:rPr>
          <w:rFonts w:ascii="Calibri" w:cs="Calibri" w:eastAsia="Calibri" w:hAnsi="Calibri"/>
          <w:color w:val="334155"/>
          <w:sz w:val="17"/>
          <w:szCs w:val="17"/>
        </w:rPr>
        <w:t xml:space="preserve"> indica un valor estimado que debe confirmarse con cotización. Los precios de lista pueden variar con acuerdos institucionales del Estado.</w:t>
      </w:r>
    </w:p>
    <w:p>
      <w:pPr>
        <w:pStyle w:val="Heading2"/>
        <w:keepNext/>
        <w:spacing w:after="120" w:before="260"/>
      </w:pPr>
      <w:r>
        <w:rPr>
          <w:rFonts w:ascii="Consolas" w:cs="Consolas" w:eastAsia="Consolas" w:hAnsi="Consolas"/>
          <w:b/>
          <w:bCs/>
          <w:color w:val="0D9488"/>
          <w:sz w:val="22"/>
          <w:szCs w:val="22"/>
        </w:rPr>
        <w:t xml:space="preserve">3.3  </w:t>
      </w: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Qué no incluye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color w:val="334155"/>
          <w:sz w:val="18"/>
          <w:szCs w:val="18"/>
        </w:rPr>
        <w:t xml:space="preserve">El tiempo de los </w:t>
      </w:r>
      <w:r>
        <w:rPr>
          <w:b/>
          <w:bCs/>
          <w:color w:val="0F172A"/>
          <w:sz w:val="18"/>
          <w:szCs w:val="18"/>
        </w:rPr>
        <w:t xml:space="preserve">encargados de licencias</w:t>
      </w:r>
      <w:r>
        <w:rPr>
          <w:color w:val="334155"/>
          <w:sz w:val="18"/>
          <w:szCs w:val="18"/>
        </w:rPr>
        <w:t xml:space="preserve">, que ya existen: la automatización lo libera, no lo agrega.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color w:val="334155"/>
          <w:sz w:val="18"/>
          <w:szCs w:val="18"/>
        </w:rPr>
        <w:t xml:space="preserve">El </w:t>
      </w:r>
      <w:r>
        <w:rPr>
          <w:b/>
          <w:bCs/>
          <w:color w:val="0F172A"/>
          <w:sz w:val="18"/>
          <w:szCs w:val="18"/>
        </w:rPr>
        <w:t xml:space="preserve">cargo permanente</w:t>
      </w:r>
      <w:r>
        <w:rPr>
          <w:color w:val="334155"/>
          <w:sz w:val="18"/>
          <w:szCs w:val="18"/>
        </w:rPr>
        <w:t xml:space="preserve"> de operación del portal desde 2027 (Informe 13), común a todas las aplicaciones.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color w:val="334155"/>
          <w:sz w:val="18"/>
          <w:szCs w:val="18"/>
        </w:rPr>
        <w:t xml:space="preserve">Equipos de los encargados y servidor de TI ya existentes (marginal).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color w:val="334155"/>
          <w:sz w:val="18"/>
          <w:szCs w:val="18"/>
        </w:rPr>
        <w:t xml:space="preserve">Las horas del equipo de la DEP que desarrolla y mantiene la solución, ya asumidas por la institución.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color w:val="334155"/>
          <w:sz w:val="18"/>
          <w:szCs w:val="18"/>
        </w:rPr>
        <w:t xml:space="preserve">Si la institución ya cuenta con asientos de Claude que puedan asignarse a este trabajo, el costo de la fila «IA en la nube» es $0 adicional.</w:t>
      </w:r>
    </w:p>
    <w:p>
      <w:pPr>
        <w:keepNext/>
        <w:pageBreakBefore/>
        <w:spacing w:after="60"/>
      </w:pPr>
      <w:r>
        <w:rPr>
          <w:rFonts w:ascii="Consolas" w:cs="Consolas" w:eastAsia="Consolas" w:hAnsi="Consolas"/>
          <w:b/>
          <w:bCs/>
          <w:color w:val="0D9488"/>
          <w:spacing w:val="30"/>
          <w:sz w:val="16"/>
          <w:szCs w:val="16"/>
        </w:rPr>
        <w:t xml:space="preserve">SECCIÓN 04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/  comparativo</w:t>
      </w:r>
    </w:p>
    <w:p>
      <w:pPr>
        <w:pStyle w:val="Heading1"/>
        <w:keepNext/>
        <w:pBdr>
          <w:bottom w:val="single" w:color="E2E8F0" w:sz="6" w:space="6"/>
        </w:pBdr>
        <w:spacing w:after="1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Comparativo de las tres propuestas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13"/>
        <w:gridCol w:w="3213"/>
        <w:gridCol w:w="3214"/>
      </w:tblGrid>
      <w:tr>
        <w:trPr>
          <w:cantSplit/>
        </w:trPr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POR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Elegir exige ver las tres propuestas lado a lado, no ítem por ítem.</w:t>
            </w:r>
          </w:p>
        </w:tc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PARA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Resumir en una hoja qué incluye cada propuesta, cuánto cuesta su primer año y cuándo conviene.</w:t>
            </w:r>
          </w:p>
        </w:tc>
        <w:tc>
          <w:tcPr>
            <w:tcW w:type="dxa" w:w="3214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CÓMO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Mismo formato de la sección 02, condensado; todos los montos salen de esa tabla.</w:t>
            </w:r>
          </w:p>
        </w:tc>
      </w:tr>
    </w:tbl>
    <w:p>
      <w:pPr>
        <w:spacing w:after="140" w:before="0" w:line="120"/>
      </w:pPr>
    </w:p>
    <w:p>
      <w:pPr>
        <w:keepNext/>
        <w:spacing w:after="120"/>
      </w:pPr>
      <w:r>
        <w:rPr>
          <w:rFonts w:ascii="Consolas" w:cs="Consolas" w:eastAsia="Consolas" w:hAnsi="Consolas"/>
          <w:b/>
          <w:bCs/>
          <w:color w:val="0D9488"/>
          <w:sz w:val="14"/>
          <w:szCs w:val="14"/>
        </w:rPr>
        <w:t xml:space="preserve">CÓMO LEER  </w:t>
      </w:r>
      <w:r>
        <w:rPr>
          <w:rFonts w:ascii="Calibri" w:cs="Calibri" w:eastAsia="Calibri" w:hAnsi="Calibri"/>
          <w:color w:val="15803D"/>
          <w:sz w:val="16"/>
          <w:szCs w:val="16"/>
        </w:rPr>
        <w:t xml:space="preserve">■ </w:t>
      </w:r>
      <w:r>
        <w:rPr>
          <w:rFonts w:ascii="Calibri" w:cs="Calibri" w:eastAsia="Calibri" w:hAnsi="Calibri"/>
          <w:b/>
          <w:bCs/>
          <w:color w:val="0F172A"/>
          <w:sz w:val="15"/>
          <w:szCs w:val="15"/>
        </w:rPr>
        <w:t xml:space="preserve">Costo cero    </w:t>
      </w:r>
      <w:r>
        <w:rPr>
          <w:rFonts w:ascii="Calibri" w:cs="Calibri" w:eastAsia="Calibri" w:hAnsi="Calibri"/>
          <w:color w:val="0D9488"/>
          <w:sz w:val="16"/>
          <w:szCs w:val="16"/>
        </w:rPr>
        <w:t xml:space="preserve">■ </w:t>
      </w:r>
      <w:r>
        <w:rPr>
          <w:rFonts w:ascii="Calibri" w:cs="Calibri" w:eastAsia="Calibri" w:hAnsi="Calibri"/>
          <w:b/>
          <w:bCs/>
          <w:color w:val="0F172A"/>
          <w:sz w:val="15"/>
          <w:szCs w:val="15"/>
        </w:rPr>
        <w:t xml:space="preserve">Óptima    </w:t>
      </w:r>
      <w:r>
        <w:rPr>
          <w:rFonts w:ascii="Calibri" w:cs="Calibri" w:eastAsia="Calibri" w:hAnsi="Calibri"/>
          <w:color w:val="B45309"/>
          <w:sz w:val="16"/>
          <w:szCs w:val="16"/>
        </w:rPr>
        <w:t xml:space="preserve">■ </w:t>
      </w:r>
      <w:r>
        <w:rPr>
          <w:rFonts w:ascii="Calibri" w:cs="Calibri" w:eastAsia="Calibri" w:hAnsi="Calibri"/>
          <w:b/>
          <w:bCs/>
          <w:color w:val="0F172A"/>
          <w:sz w:val="15"/>
          <w:szCs w:val="15"/>
        </w:rPr>
        <w:t xml:space="preserve">Avanzada</w:t>
      </w:r>
      <w:r>
        <w:rPr>
          <w:rFonts w:ascii="Calibri" w:cs="Calibri" w:eastAsia="Calibri" w:hAnsi="Calibri"/>
          <w:color w:val="64748B"/>
          <w:sz w:val="15"/>
          <w:szCs w:val="15"/>
        </w:rPr>
        <w:t xml:space="preserve">   ·   Cada fila resume una dimensión; los montos son del primer año.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760"/>
        <w:gridCol w:w="2626"/>
        <w:gridCol w:w="2626"/>
        <w:gridCol w:w="2628"/>
      </w:tblGrid>
      <w:tr>
        <w:trPr>
          <w:cantSplit/>
          <w:tblHeader/>
        </w:trPr>
        <w:tc>
          <w:tcPr>
            <w:tcW w:type="dxa" w:w="1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CAPA</w:t>
            </w:r>
          </w:p>
        </w:tc>
        <w:tc>
          <w:tcPr>
            <w:tcW w:type="dxa" w:w="2626"/>
            <w:tcBorders>
              <w:top w:val="none" w:color="FFFFFF" w:sz="0"/>
              <w:left w:val="single" w:color="FFFFFF" w:sz="18"/>
              <w:bottom w:val="none" w:color="FFFFFF" w:sz="0"/>
              <w:right w:val="none" w:color="FFFFFF" w:sz="0"/>
            </w:tcBorders>
            <w:shd w:fill="15803D" w:color="auto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1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pacing w:val="20"/>
                <w:sz w:val="14"/>
                <w:szCs w:val="14"/>
              </w:rPr>
              <w:t xml:space="preserve">WS1</w:t>
            </w:r>
          </w:p>
          <w:p>
            <w:r>
              <w:rPr>
                <w:rFonts w:ascii="Consolas" w:cs="Consolas" w:eastAsia="Consolas" w:hAnsi="Consolas"/>
                <w:b/>
                <w:bCs/>
                <w:color w:val="FFFFFF"/>
                <w:spacing w:val="10"/>
                <w:sz w:val="16"/>
                <w:szCs w:val="16"/>
              </w:rPr>
              <w:t xml:space="preserve">COSTO CERO</w:t>
            </w:r>
          </w:p>
        </w:tc>
        <w:tc>
          <w:tcPr>
            <w:tcW w:type="dxa" w:w="2626"/>
            <w:tcBorders>
              <w:top w:val="none" w:color="FFFFFF" w:sz="0"/>
              <w:left w:val="single" w:color="FFFFFF" w:sz="18"/>
              <w:bottom w:val="none" w:color="FFFFFF" w:sz="0"/>
              <w:right w:val="none" w:color="FFFFFF" w:sz="0"/>
            </w:tcBorders>
            <w:shd w:fill="0D9488" w:color="auto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1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pacing w:val="20"/>
                <w:sz w:val="14"/>
                <w:szCs w:val="14"/>
              </w:rPr>
              <w:t xml:space="preserve">WS2</w:t>
            </w:r>
          </w:p>
          <w:p>
            <w:r>
              <w:rPr>
                <w:rFonts w:ascii="Consolas" w:cs="Consolas" w:eastAsia="Consolas" w:hAnsi="Consolas"/>
                <w:b/>
                <w:bCs/>
                <w:color w:val="FFFFFF"/>
                <w:spacing w:val="10"/>
                <w:sz w:val="16"/>
                <w:szCs w:val="16"/>
              </w:rPr>
              <w:t xml:space="preserve">ÓPTIMA</w:t>
            </w:r>
          </w:p>
        </w:tc>
        <w:tc>
          <w:tcPr>
            <w:tcW w:type="dxa" w:w="2628"/>
            <w:tcBorders>
              <w:top w:val="none" w:color="FFFFFF" w:sz="0"/>
              <w:left w:val="single" w:color="FFFFFF" w:sz="18"/>
              <w:bottom w:val="none" w:color="FFFFFF" w:sz="0"/>
              <w:right w:val="none" w:color="FFFFFF" w:sz="0"/>
            </w:tcBorders>
            <w:shd w:fill="B45309" w:color="auto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1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pacing w:val="20"/>
                <w:sz w:val="14"/>
                <w:szCs w:val="14"/>
              </w:rPr>
              <w:t xml:space="preserve">WS3</w:t>
            </w:r>
          </w:p>
          <w:p>
            <w:r>
              <w:rPr>
                <w:rFonts w:ascii="Consolas" w:cs="Consolas" w:eastAsia="Consolas" w:hAnsi="Consolas"/>
                <w:b/>
                <w:bCs/>
                <w:color w:val="FFFFFF"/>
                <w:spacing w:val="10"/>
                <w:sz w:val="16"/>
                <w:szCs w:val="16"/>
              </w:rPr>
              <w:t xml:space="preserve">AVANZADA</w:t>
            </w:r>
          </w:p>
        </w:tc>
      </w:tr>
      <w:tr>
        <w:trPr>
          <w:cantSplit/>
        </w:trPr>
        <w:tc>
          <w:tcPr>
            <w:tcW w:type="dxa" w:w="9640"/>
            <w:gridSpan w:val="4"/>
            <w:tcBorders>
              <w:top w:val="single" w:color="0F172A" w:sz="12"/>
              <w:left w:val="none" w:color="FFFFFF" w:sz="0"/>
              <w:bottom w:val="single" w:color="CBD5E1" w:sz="4"/>
              <w:right w:val="none" w:color="FFFFFF" w:sz="0"/>
            </w:tcBorders>
            <w:shd w:fill="F1F5F9" w:color="auto" w:val="clear"/>
            <w:tcMar>
              <w:top w:type="dxa" w:w="90"/>
              <w:left w:type="dxa" w:w="110"/>
              <w:bottom w:type="dxa" w:w="90"/>
              <w:right w:type="dxa" w:w="100"/>
            </w:tcMar>
            <w:vAlign w:val="top"/>
          </w:tcPr>
          <w:p>
            <w:pPr>
              <w:keepNext/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16"/>
                <w:szCs w:val="16"/>
              </w:rPr>
              <w:t xml:space="preserve">01   QUÉ INCLUYE CADA PROPUESTA   resumen de la sección 02</w:t>
            </w:r>
            <w:r>
              <w:rPr>
                <w:rFonts w:ascii="Consolas" w:cs="Consolas" w:eastAsia="Consolas" w:hAnsi="Consolas"/>
                <w:b/>
                <w:bCs/>
                <w:color w:val="0F172A"/>
                <w:spacing w:val="15"/>
                <w:sz w:val="16"/>
                <w:szCs w:val="16"/>
              </w:rPr>
              <w:t xml:space="preserve"/>
            </w:r>
            <w:r>
              <w:rPr>
                <w:rFonts w:ascii="Calibri" w:cs="Calibri" w:eastAsia="Calibri" w:hAnsi="Calibri"/>
                <w:color w:val="64748B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2E8F0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Enfoque</w:t>
            </w:r>
          </w:p>
        </w:tc>
        <w:tc>
          <w:tcPr>
            <w:tcW w:type="dxa" w:w="2626"/>
            <w:tcBorders>
              <w:top w:val="none" w:color="FFFFFF" w:sz="0"/>
              <w:left w:val="single" w:color="15803D" w:sz="18"/>
              <w:bottom w:val="single" w:color="E2E8F0" w:sz="4"/>
              <w:right w:val="none" w:color="FFFFFF" w:sz="0"/>
            </w:tcBorders>
            <w:shd w:fill="F0FDF4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Servicio web oficial de FONASA (Red de Interoperabilidad) + IA local en CPU</w:t>
            </w:r>
          </w:p>
        </w:tc>
        <w:tc>
          <w:tcPr>
            <w:tcW w:type="dxa" w:w="2626"/>
            <w:tcBorders>
              <w:top w:val="none" w:color="FFFFFF" w:sz="0"/>
              <w:left w:val="single" w:color="0D9488" w:sz="18"/>
              <w:bottom w:val="single" w:color="E2E8F0" w:sz="4"/>
              <w:right w:val="none" w:color="FFFFFF" w:sz="0"/>
            </w:tcBorders>
            <w:shd w:fill="F0FDFA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Servicio web de FONASA + IA local en GPU básica + monitoreo</w:t>
            </w:r>
          </w:p>
        </w:tc>
        <w:tc>
          <w:tcPr>
            <w:tcW w:type="dxa" w:w="2628"/>
            <w:tcBorders>
              <w:top w:val="none" w:color="FFFFFF" w:sz="0"/>
              <w:left w:val="single" w:color="B45309" w:sz="18"/>
              <w:bottom w:val="single" w:color="E2E8F0" w:sz="4"/>
              <w:right w:val="none" w:color="FFFFFF" w:sz="0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Servicio web de FONASA + IA local avanzada (GPU 32 GB) + alta disponibilidad</w:t>
            </w:r>
          </w:p>
        </w:tc>
      </w:tr>
      <w:tr>
        <w:trPr>
          <w:cantSplit/>
        </w:trPr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2E8F0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IA local</w:t>
            </w:r>
          </w:p>
        </w:tc>
        <w:tc>
          <w:tcPr>
            <w:tcW w:type="dxa" w:w="2626"/>
            <w:tcBorders>
              <w:top w:val="none" w:color="FFFFFF" w:sz="0"/>
              <w:left w:val="single" w:color="15803D" w:sz="18"/>
              <w:bottom w:val="single" w:color="E2E8F0" w:sz="4"/>
              <w:right w:val="none" w:color="FFFFFF" w:sz="0"/>
            </w:tcBorders>
            <w:shd w:fill="F0FDF4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Sin equipo nuevo: el modelo corre en la CPU del servidor de aplicación</w:t>
            </w:r>
          </w:p>
        </w:tc>
        <w:tc>
          <w:tcPr>
            <w:tcW w:type="dxa" w:w="2626"/>
            <w:tcBorders>
              <w:top w:val="none" w:color="FFFFFF" w:sz="0"/>
              <w:left w:val="single" w:color="0D9488" w:sz="18"/>
              <w:bottom w:val="single" w:color="E2E8F0" w:sz="4"/>
              <w:right w:val="none" w:color="FFFFFF" w:sz="0"/>
            </w:tcBorders>
            <w:shd w:fill="F0FDFA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Estación de IA básica: GPU 16 GB, 64 GB RAM, NVMe 2 TB + UPS 1 kVA</w:t>
            </w:r>
          </w:p>
        </w:tc>
        <w:tc>
          <w:tcPr>
            <w:tcW w:type="dxa" w:w="2628"/>
            <w:tcBorders>
              <w:top w:val="none" w:color="FFFFFF" w:sz="0"/>
              <w:left w:val="single" w:color="B45309" w:sz="18"/>
              <w:bottom w:val="single" w:color="E2E8F0" w:sz="4"/>
              <w:right w:val="none" w:color="FFFFFF" w:sz="0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Estación de IA avanzada: GPU 32 GB, 128 GB RAM, RAID 1, UPS 2 kVA; compartida con el Informe 12</w:t>
            </w:r>
          </w:p>
        </w:tc>
      </w:tr>
      <w:tr>
        <w:trPr>
          <w:cantSplit/>
        </w:trPr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2E8F0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IA en la nube</w:t>
            </w:r>
          </w:p>
        </w:tc>
        <w:tc>
          <w:tcPr>
            <w:tcW w:type="dxa" w:w="2626"/>
            <w:tcBorders>
              <w:top w:val="none" w:color="FFFFFF" w:sz="0"/>
              <w:left w:val="single" w:color="15803D" w:sz="18"/>
              <w:bottom w:val="single" w:color="E2E8F0" w:sz="4"/>
              <w:right w:val="none" w:color="FFFFFF" w:sz="0"/>
            </w:tcBorders>
            <w:shd w:fill="F0FDF4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No se usa</w:t>
            </w:r>
          </w:p>
        </w:tc>
        <w:tc>
          <w:tcPr>
            <w:tcW w:type="dxa" w:w="2626"/>
            <w:tcBorders>
              <w:top w:val="none" w:color="FFFFFF" w:sz="0"/>
              <w:left w:val="single" w:color="0D9488" w:sz="18"/>
              <w:bottom w:val="single" w:color="E2E8F0" w:sz="4"/>
              <w:right w:val="none" w:color="FFFFFF" w:sz="0"/>
            </w:tcBorders>
            <w:shd w:fill="F0FDFA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Claude Team Standard · 2 asientos (coordinación y desarrollo)</w:t>
            </w:r>
          </w:p>
        </w:tc>
        <w:tc>
          <w:tcPr>
            <w:tcW w:type="dxa" w:w="2628"/>
            <w:tcBorders>
              <w:top w:val="none" w:color="FFFFFF" w:sz="0"/>
              <w:left w:val="single" w:color="B45309" w:sz="18"/>
              <w:bottom w:val="single" w:color="E2E8F0" w:sz="4"/>
              <w:right w:val="none" w:color="FFFFFF" w:sz="0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Claude Team (1 Premium + 1 Standard) + API de Claude (Sonnet 5.5) en el portal</w:t>
            </w:r>
          </w:p>
        </w:tc>
      </w:tr>
      <w:tr>
        <w:trPr>
          <w:cantSplit/>
        </w:trPr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2E8F0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Servicios externos</w:t>
            </w:r>
          </w:p>
        </w:tc>
        <w:tc>
          <w:tcPr>
            <w:tcW w:type="dxa" w:w="2626"/>
            <w:tcBorders>
              <w:top w:val="none" w:color="FFFFFF" w:sz="0"/>
              <w:left w:val="single" w:color="15803D" w:sz="18"/>
              <w:bottom w:val="single" w:color="E2E8F0" w:sz="4"/>
              <w:right w:val="none" w:color="FFFFFF" w:sz="0"/>
            </w:tcBorders>
            <w:shd w:fill="F0FDF4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No se contratan</w:t>
            </w:r>
          </w:p>
        </w:tc>
        <w:tc>
          <w:tcPr>
            <w:tcW w:type="dxa" w:w="2626"/>
            <w:tcBorders>
              <w:top w:val="none" w:color="FFFFFF" w:sz="0"/>
              <w:left w:val="single" w:color="0D9488" w:sz="18"/>
              <w:bottom w:val="single" w:color="E2E8F0" w:sz="4"/>
              <w:right w:val="none" w:color="FFFFFF" w:sz="0"/>
            </w:tcBorders>
            <w:shd w:fill="F0FDFA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No se contratan</w:t>
            </w:r>
          </w:p>
        </w:tc>
        <w:tc>
          <w:tcPr>
            <w:tcW w:type="dxa" w:w="2628"/>
            <w:tcBorders>
              <w:top w:val="none" w:color="FFFFFF" w:sz="0"/>
              <w:left w:val="single" w:color="B45309" w:sz="18"/>
              <w:bottom w:val="single" w:color="E2E8F0" w:sz="4"/>
              <w:right w:val="none" w:color="FFFFFF" w:sz="0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Prueba de penetración externa antes de operar en los 36 SLEP</w:t>
            </w:r>
          </w:p>
        </w:tc>
      </w:tr>
      <w:tr>
        <w:trPr>
          <w:cantSplit/>
        </w:trPr>
        <w:tc>
          <w:tcPr>
            <w:tcW w:type="dxa" w:w="9640"/>
            <w:gridSpan w:val="4"/>
            <w:tcBorders>
              <w:top w:val="single" w:color="0F172A" w:sz="12"/>
              <w:left w:val="none" w:color="FFFFFF" w:sz="0"/>
              <w:bottom w:val="single" w:color="CBD5E1" w:sz="4"/>
              <w:right w:val="none" w:color="FFFFFF" w:sz="0"/>
            </w:tcBorders>
            <w:shd w:fill="F1F5F9" w:color="auto" w:val="clear"/>
            <w:tcMar>
              <w:top w:type="dxa" w:w="90"/>
              <w:left w:type="dxa" w:w="110"/>
              <w:bottom w:type="dxa" w:w="90"/>
              <w:right w:type="dxa" w:w="100"/>
            </w:tcMar>
            <w:vAlign w:val="top"/>
          </w:tcPr>
          <w:p>
            <w:pPr>
              <w:keepNext/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16"/>
                <w:szCs w:val="16"/>
              </w:rPr>
              <w:t xml:space="preserve">02   COSTO DEL PRIMER AÑO   piloto + puesta en marcha + 12 meses de operación</w:t>
            </w:r>
            <w:r>
              <w:rPr>
                <w:rFonts w:ascii="Consolas" w:cs="Consolas" w:eastAsia="Consolas" w:hAnsi="Consolas"/>
                <w:b/>
                <w:bCs/>
                <w:color w:val="0F172A"/>
                <w:spacing w:val="15"/>
                <w:sz w:val="16"/>
                <w:szCs w:val="16"/>
              </w:rPr>
              <w:t xml:space="preserve"/>
            </w:r>
            <w:r>
              <w:rPr>
                <w:rFonts w:ascii="Calibri" w:cs="Calibri" w:eastAsia="Calibri" w:hAnsi="Calibri"/>
                <w:color w:val="64748B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2E8F0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Piloto oct–nov 2026</w:t>
            </w:r>
          </w:p>
        </w:tc>
        <w:tc>
          <w:tcPr>
            <w:tcW w:type="dxa" w:w="2626"/>
            <w:tcBorders>
              <w:top w:val="none" w:color="FFFFFF" w:sz="0"/>
              <w:left w:val="single" w:color="15803D" w:sz="18"/>
              <w:bottom w:val="single" w:color="E2E8F0" w:sz="4"/>
              <w:right w:val="none" w:color="FFFFFF" w:sz="0"/>
            </w:tcBorders>
            <w:shd w:fill="F0FDF4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color w:val="15803D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Octubre y noviembre de 2026</w:t>
            </w:r>
          </w:p>
        </w:tc>
        <w:tc>
          <w:tcPr>
            <w:tcW w:type="dxa" w:w="2626"/>
            <w:tcBorders>
              <w:top w:val="none" w:color="FFFFFF" w:sz="0"/>
              <w:left w:val="single" w:color="0D9488" w:sz="18"/>
              <w:bottom w:val="single" w:color="E2E8F0" w:sz="4"/>
              <w:right w:val="none" w:color="FFFFFF" w:sz="0"/>
            </w:tcBorders>
            <w:shd w:fill="F0FDFA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color w:val="0D9488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Octubre y noviembre de 2026</w:t>
            </w:r>
          </w:p>
        </w:tc>
        <w:tc>
          <w:tcPr>
            <w:tcW w:type="dxa" w:w="2628"/>
            <w:tcBorders>
              <w:top w:val="none" w:color="FFFFFF" w:sz="0"/>
              <w:left w:val="single" w:color="B45309" w:sz="18"/>
              <w:bottom w:val="single" w:color="E2E8F0" w:sz="4"/>
              <w:right w:val="none" w:color="FFFFFF" w:sz="0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color w:val="B45309"/>
                <w:sz w:val="16"/>
                <w:szCs w:val="16"/>
              </w:rPr>
              <w:t xml:space="preserve">$454.624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Octubre y noviembre de 2026</w:t>
            </w:r>
          </w:p>
        </w:tc>
      </w:tr>
      <w:tr>
        <w:trPr>
          <w:cantSplit/>
        </w:trPr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2E8F0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Puesta en marcha en 36 SLEP</w:t>
            </w:r>
          </w:p>
        </w:tc>
        <w:tc>
          <w:tcPr>
            <w:tcW w:type="dxa" w:w="2626"/>
            <w:tcBorders>
              <w:top w:val="none" w:color="FFFFFF" w:sz="0"/>
              <w:left w:val="single" w:color="15803D" w:sz="18"/>
              <w:bottom w:val="single" w:color="E2E8F0" w:sz="4"/>
              <w:right w:val="none" w:color="FFFFFF" w:sz="0"/>
            </w:tcBorders>
            <w:shd w:fill="F0FDF4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color w:val="15803D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Una vez: equipos y capacitación</w:t>
            </w:r>
          </w:p>
        </w:tc>
        <w:tc>
          <w:tcPr>
            <w:tcW w:type="dxa" w:w="2626"/>
            <w:tcBorders>
              <w:top w:val="none" w:color="FFFFFF" w:sz="0"/>
              <w:left w:val="single" w:color="0D9488" w:sz="18"/>
              <w:bottom w:val="single" w:color="E2E8F0" w:sz="4"/>
              <w:right w:val="none" w:color="FFFFFF" w:sz="0"/>
            </w:tcBorders>
            <w:shd w:fill="F0FDFA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color w:val="0D9488"/>
                <w:sz w:val="16"/>
                <w:szCs w:val="16"/>
              </w:rPr>
              <w:t xml:space="preserve">$3.150.000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Una vez: equipos y capacitación</w:t>
            </w:r>
          </w:p>
        </w:tc>
        <w:tc>
          <w:tcPr>
            <w:tcW w:type="dxa" w:w="2628"/>
            <w:tcBorders>
              <w:top w:val="none" w:color="FFFFFF" w:sz="0"/>
              <w:left w:val="single" w:color="B45309" w:sz="18"/>
              <w:bottom w:val="single" w:color="E2E8F0" w:sz="4"/>
              <w:right w:val="none" w:color="FFFFFF" w:sz="0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color w:val="B45309"/>
                <w:sz w:val="16"/>
                <w:szCs w:val="16"/>
              </w:rPr>
              <w:t xml:space="preserve">$12.200.000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Una vez: equipos y capacitación</w:t>
            </w:r>
          </w:p>
        </w:tc>
      </w:tr>
      <w:tr>
        <w:trPr>
          <w:cantSplit/>
        </w:trPr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2E8F0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Operación 12 meses</w:t>
            </w:r>
          </w:p>
        </w:tc>
        <w:tc>
          <w:tcPr>
            <w:tcW w:type="dxa" w:w="2626"/>
            <w:tcBorders>
              <w:top w:val="none" w:color="FFFFFF" w:sz="0"/>
              <w:left w:val="single" w:color="15803D" w:sz="18"/>
              <w:bottom w:val="single" w:color="E2E8F0" w:sz="4"/>
              <w:right w:val="none" w:color="FFFFFF" w:sz="0"/>
            </w:tcBorders>
            <w:shd w:fill="F0FDF4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color w:val="15803D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Licencias, energía y soporte</w:t>
            </w:r>
          </w:p>
        </w:tc>
        <w:tc>
          <w:tcPr>
            <w:tcW w:type="dxa" w:w="2626"/>
            <w:tcBorders>
              <w:top w:val="none" w:color="FFFFFF" w:sz="0"/>
              <w:left w:val="single" w:color="0D9488" w:sz="18"/>
              <w:bottom w:val="single" w:color="E2E8F0" w:sz="4"/>
              <w:right w:val="none" w:color="FFFFFF" w:sz="0"/>
            </w:tcBorders>
            <w:shd w:fill="F0FDFA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color w:val="0D9488"/>
                <w:sz w:val="16"/>
                <w:szCs w:val="16"/>
              </w:rPr>
              <w:t xml:space="preserve">$735.549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Licencias, energía y soporte</w:t>
            </w:r>
          </w:p>
        </w:tc>
        <w:tc>
          <w:tcPr>
            <w:tcW w:type="dxa" w:w="2628"/>
            <w:tcBorders>
              <w:top w:val="none" w:color="FFFFFF" w:sz="0"/>
              <w:left w:val="single" w:color="B45309" w:sz="18"/>
              <w:bottom w:val="single" w:color="E2E8F0" w:sz="4"/>
              <w:right w:val="none" w:color="FFFFFF" w:sz="0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color w:val="B45309"/>
                <w:sz w:val="16"/>
                <w:szCs w:val="16"/>
              </w:rPr>
              <w:t xml:space="preserve">$4.834.514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Licencias, energía y soporte</w:t>
            </w:r>
          </w:p>
        </w:tc>
      </w:tr>
      <w:tr>
        <w:trPr>
          <w:cantSplit/>
        </w:trPr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2E8F0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Costo por licencia</w:t>
            </w:r>
          </w:p>
        </w:tc>
        <w:tc>
          <w:tcPr>
            <w:tcW w:type="dxa" w:w="2626"/>
            <w:tcBorders>
              <w:top w:val="none" w:color="FFFFFF" w:sz="0"/>
              <w:left w:val="single" w:color="15803D" w:sz="18"/>
              <w:bottom w:val="single" w:color="E2E8F0" w:sz="4"/>
              <w:right w:val="none" w:color="FFFFFF" w:sz="0"/>
            </w:tcBorders>
            <w:shd w:fill="F0FDF4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color w:val="15803D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Total ÷ 272.400–332.400 licencias del año</w:t>
            </w:r>
          </w:p>
        </w:tc>
        <w:tc>
          <w:tcPr>
            <w:tcW w:type="dxa" w:w="2626"/>
            <w:tcBorders>
              <w:top w:val="none" w:color="FFFFFF" w:sz="0"/>
              <w:left w:val="single" w:color="0D9488" w:sz="18"/>
              <w:bottom w:val="single" w:color="E2E8F0" w:sz="4"/>
              <w:right w:val="none" w:color="FFFFFF" w:sz="0"/>
            </w:tcBorders>
            <w:shd w:fill="F0FDFA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color w:val="0D9488"/>
                <w:sz w:val="16"/>
                <w:szCs w:val="16"/>
              </w:rPr>
              <w:t xml:space="preserve">$12 – $14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Total ÷ 272.400–332.400 licencias del año</w:t>
            </w:r>
          </w:p>
        </w:tc>
        <w:tc>
          <w:tcPr>
            <w:tcW w:type="dxa" w:w="2628"/>
            <w:tcBorders>
              <w:top w:val="none" w:color="FFFFFF" w:sz="0"/>
              <w:left w:val="single" w:color="B45309" w:sz="18"/>
              <w:bottom w:val="single" w:color="E2E8F0" w:sz="4"/>
              <w:right w:val="none" w:color="FFFFFF" w:sz="0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color w:val="B45309"/>
                <w:sz w:val="16"/>
                <w:szCs w:val="16"/>
              </w:rPr>
              <w:t xml:space="preserve">$53 – $64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Total ÷ 272.400–332.400 licencias del año</w:t>
            </w:r>
          </w:p>
        </w:tc>
      </w:tr>
      <w:tr>
        <w:trPr>
          <w:cantSplit/>
        </w:trPr>
        <w:tc>
          <w:tcPr>
            <w:tcW w:type="dxa" w:w="9640"/>
            <w:gridSpan w:val="4"/>
            <w:tcBorders>
              <w:top w:val="single" w:color="0F172A" w:sz="12"/>
              <w:left w:val="none" w:color="FFFFFF" w:sz="0"/>
              <w:bottom w:val="single" w:color="CBD5E1" w:sz="4"/>
              <w:right w:val="none" w:color="FFFFFF" w:sz="0"/>
            </w:tcBorders>
            <w:shd w:fill="F1F5F9" w:color="auto" w:val="clear"/>
            <w:tcMar>
              <w:top w:type="dxa" w:w="90"/>
              <w:left w:type="dxa" w:w="110"/>
              <w:bottom w:type="dxa" w:w="90"/>
              <w:right w:type="dxa" w:w="100"/>
            </w:tcMar>
            <w:vAlign w:val="top"/>
          </w:tcPr>
          <w:p>
            <w:pPr>
              <w:keepNext/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16"/>
                <w:szCs w:val="16"/>
              </w:rPr>
              <w:t xml:space="preserve">03   CUÁNDO CONVIENE</w:t>
            </w:r>
            <w:r>
              <w:rPr>
                <w:rFonts w:ascii="Consolas" w:cs="Consolas" w:eastAsia="Consolas" w:hAnsi="Consolas"/>
                <w:b/>
                <w:bCs/>
                <w:color w:val="0F172A"/>
                <w:spacing w:val="15"/>
                <w:sz w:val="16"/>
                <w:szCs w:val="16"/>
              </w:rPr>
              <w:t xml:space="preserve"/>
            </w:r>
            <w:r>
              <w:rPr>
                <w:rFonts w:ascii="Calibri" w:cs="Calibri" w:eastAsia="Calibri" w:hAnsi="Calibri"/>
                <w:color w:val="64748B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2E8F0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Conviene si…</w:t>
            </w:r>
          </w:p>
        </w:tc>
        <w:tc>
          <w:tcPr>
            <w:tcW w:type="dxa" w:w="2626"/>
            <w:tcBorders>
              <w:top w:val="none" w:color="FFFFFF" w:sz="0"/>
              <w:left w:val="single" w:color="15803D" w:sz="18"/>
              <w:bottom w:val="single" w:color="E2E8F0" w:sz="4"/>
              <w:right w:val="none" w:color="FFFFFF" w:sz="0"/>
            </w:tcBorders>
            <w:shd w:fill="F0FDF4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FONASA otorga el servicio; se busca el menor costo con un canal oficial y estable</w:t>
            </w:r>
          </w:p>
        </w:tc>
        <w:tc>
          <w:tcPr>
            <w:tcW w:type="dxa" w:w="2626"/>
            <w:tcBorders>
              <w:top w:val="none" w:color="FFFFFF" w:sz="0"/>
              <w:left w:val="single" w:color="0D9488" w:sz="18"/>
              <w:bottom w:val="single" w:color="E2E8F0" w:sz="4"/>
              <w:right w:val="none" w:color="FFFFFF" w:sz="0"/>
            </w:tcBorders>
            <w:shd w:fill="F0FDFA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Se escala a 36 SLEP y se quiere respuesta rápida de la IA</w:t>
            </w:r>
          </w:p>
        </w:tc>
        <w:tc>
          <w:tcPr>
            <w:tcW w:type="dxa" w:w="2628"/>
            <w:tcBorders>
              <w:top w:val="none" w:color="FFFFFF" w:sz="0"/>
              <w:left w:val="single" w:color="B45309" w:sz="18"/>
              <w:bottom w:val="single" w:color="E2E8F0" w:sz="4"/>
              <w:right w:val="none" w:color="FFFFFF" w:sz="0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La automatización es crítica y se exige alta disponibilidad</w:t>
            </w:r>
          </w:p>
        </w:tc>
      </w:tr>
      <w:tr>
        <w:trPr>
          <w:cantSplit/>
        </w:trPr>
        <w:tc>
          <w:tcPr>
            <w:tcW w:type="dxa" w:w="1760"/>
            <w:tcBorders>
              <w:top w:val="single" w:color="0F172A" w:sz="12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110"/>
              <w:left w:type="dxa" w:w="110"/>
              <w:bottom w:type="dxa" w:w="11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pacing w:val="20"/>
                <w:sz w:val="18"/>
                <w:szCs w:val="18"/>
              </w:rPr>
              <w:t xml:space="preserve">TOTAL</w:t>
            </w:r>
          </w:p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CBD5E1"/>
                <w:sz w:val="13"/>
                <w:szCs w:val="13"/>
              </w:rPr>
              <w:t xml:space="preserve">Primer año por propuesta</w:t>
            </w:r>
          </w:p>
        </w:tc>
        <w:tc>
          <w:tcPr>
            <w:tcW w:type="dxa" w:w="2626"/>
            <w:tcBorders>
              <w:top w:val="single" w:color="0F172A" w:sz="12"/>
              <w:left w:val="single" w:color="FFFFFF" w:sz="18"/>
              <w:bottom w:val="none" w:color="FFFFFF" w:sz="0"/>
              <w:right w:val="none" w:color="FFFFFF" w:sz="0"/>
            </w:tcBorders>
            <w:shd w:fill="15803D" w:color="auto" w:val="clear"/>
            <w:tcMar>
              <w:top w:type="dxa" w:w="110"/>
              <w:left w:type="dxa" w:w="110"/>
              <w:bottom w:type="dxa" w:w="110"/>
              <w:right w:type="dxa" w:w="100"/>
            </w:tcMar>
            <w:vAlign w:val="top"/>
          </w:tcPr>
          <w:p>
            <w:pPr>
              <w:spacing w:after="70" w:line="230"/>
            </w:pPr>
            <w:r>
              <w:rPr>
                <w:rFonts w:ascii="Consolas" w:cs="Consolas" w:eastAsia="Consolas" w:hAnsi="Consolas"/>
                <w:color w:val="E2E8F0"/>
                <w:sz w:val="13"/>
                <w:szCs w:val="13"/>
              </w:rPr>
              <w:t xml:space="preserve">TOTAL PRIMER AÑO</w:t>
            </w:r>
            <w:r>
              <w:br/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$0</w:t>
            </w:r>
          </w:p>
        </w:tc>
        <w:tc>
          <w:tcPr>
            <w:tcW w:type="dxa" w:w="2626"/>
            <w:tcBorders>
              <w:top w:val="single" w:color="0F172A" w:sz="12"/>
              <w:left w:val="single" w:color="FFFFFF" w:sz="18"/>
              <w:bottom w:val="none" w:color="FFFFFF" w:sz="0"/>
              <w:right w:val="none" w:color="FFFFFF" w:sz="0"/>
            </w:tcBorders>
            <w:shd w:fill="0D9488" w:color="auto" w:val="clear"/>
            <w:tcMar>
              <w:top w:type="dxa" w:w="110"/>
              <w:left w:type="dxa" w:w="110"/>
              <w:bottom w:type="dxa" w:w="110"/>
              <w:right w:type="dxa" w:w="100"/>
            </w:tcMar>
            <w:vAlign w:val="top"/>
          </w:tcPr>
          <w:p>
            <w:pPr>
              <w:spacing w:after="70" w:line="230"/>
            </w:pPr>
            <w:r>
              <w:rPr>
                <w:rFonts w:ascii="Consolas" w:cs="Consolas" w:eastAsia="Consolas" w:hAnsi="Consolas"/>
                <w:color w:val="E2E8F0"/>
                <w:sz w:val="13"/>
                <w:szCs w:val="13"/>
              </w:rPr>
              <w:t xml:space="preserve">TOTAL PRIMER AÑO</w:t>
            </w:r>
            <w:r>
              <w:br/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$3.885.549</w:t>
            </w:r>
          </w:p>
        </w:tc>
        <w:tc>
          <w:tcPr>
            <w:tcW w:type="dxa" w:w="2628"/>
            <w:tcBorders>
              <w:top w:val="single" w:color="0F172A" w:sz="12"/>
              <w:left w:val="single" w:color="FFFFFF" w:sz="18"/>
              <w:bottom w:val="none" w:color="FFFFFF" w:sz="0"/>
              <w:right w:val="none" w:color="FFFFFF" w:sz="0"/>
            </w:tcBorders>
            <w:shd w:fill="B45309" w:color="auto" w:val="clear"/>
            <w:tcMar>
              <w:top w:type="dxa" w:w="110"/>
              <w:left w:type="dxa" w:w="110"/>
              <w:bottom w:type="dxa" w:w="110"/>
              <w:right w:type="dxa" w:w="100"/>
            </w:tcMar>
            <w:vAlign w:val="top"/>
          </w:tcPr>
          <w:p>
            <w:pPr>
              <w:spacing w:after="70" w:line="230"/>
            </w:pPr>
            <w:r>
              <w:rPr>
                <w:rFonts w:ascii="Consolas" w:cs="Consolas" w:eastAsia="Consolas" w:hAnsi="Consolas"/>
                <w:color w:val="E2E8F0"/>
                <w:sz w:val="13"/>
                <w:szCs w:val="13"/>
              </w:rPr>
              <w:t xml:space="preserve">TOTAL PRIMER AÑO</w:t>
            </w:r>
            <w:r>
              <w:br/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$17.489.138</w:t>
            </w:r>
          </w:p>
        </w:tc>
      </w:tr>
    </w:tbl>
    <w:p>
      <w:pPr>
        <w:keepNext/>
        <w:pageBreakBefore/>
        <w:spacing w:after="60"/>
      </w:pPr>
      <w:r>
        <w:rPr>
          <w:rFonts w:ascii="Consolas" w:cs="Consolas" w:eastAsia="Consolas" w:hAnsi="Consolas"/>
          <w:b/>
          <w:bCs/>
          <w:color w:val="0D9488"/>
          <w:spacing w:val="30"/>
          <w:sz w:val="16"/>
          <w:szCs w:val="16"/>
        </w:rPr>
        <w:t xml:space="preserve">SECCIÓN 05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/  cierre</w:t>
      </w:r>
    </w:p>
    <w:p>
      <w:pPr>
        <w:pStyle w:val="Heading1"/>
        <w:keepNext/>
        <w:pBdr>
          <w:bottom w:val="single" w:color="E2E8F0" w:sz="6" w:space="6"/>
        </w:pBdr>
        <w:spacing w:after="1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Conclusión y recomendación económica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13"/>
        <w:gridCol w:w="3213"/>
        <w:gridCol w:w="3214"/>
      </w:tblGrid>
      <w:tr>
        <w:trPr>
          <w:cantSplit/>
        </w:trPr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POR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Elegir una propuesta es elegir entre gasto, soporte y complejidad de mantención.</w:t>
            </w:r>
          </w:p>
        </w:tc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PARA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Recomendar qué propuesta conviene y en qué momento.</w:t>
            </w:r>
          </w:p>
        </w:tc>
        <w:tc>
          <w:tcPr>
            <w:tcW w:type="dxa" w:w="3214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CÓMO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Síntesis de las secciones 01 a 04.</w:t>
            </w:r>
          </w:p>
        </w:tc>
      </w:tr>
    </w:tbl>
    <w:p>
      <w:pPr>
        <w:spacing w:after="140" w:before="0" w:line="120"/>
      </w:pP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700"/>
        <w:gridCol w:w="2300"/>
        <w:gridCol w:w="3300"/>
        <w:gridCol w:w="2340"/>
      </w:tblGrid>
      <w:tr>
        <w:trPr>
          <w:tblHeader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PROPUESTA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COSTO PRIMER AÑO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CONVIENE SI…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RECOMENDACIÓN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WS1 · Costo cero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$0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FONASA otorga el servicio; se busca el menor costo con un canal oficial y estable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5"/>
                <w:szCs w:val="15"/>
              </w:rPr>
              <w:t xml:space="preserve">● Si FONASA otorga el servicio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WS2 · Óptima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$3,9 MM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Se escala a 36 SLEP y se quiere respuesta rápida de la IA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5"/>
                <w:szCs w:val="15"/>
              </w:rPr>
              <w:t xml:space="preserve">● Escala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WS3 · Avanzada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$17,5 MM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La automatización es crítica y se exige alta disponibilidad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5"/>
                <w:szCs w:val="15"/>
              </w:rPr>
              <w:t xml:space="preserve">● Con el portal (2027)</w:t>
            </w:r>
          </w:p>
        </w:tc>
      </w:tr>
    </w:tbl>
    <w:p>
      <w:pPr>
        <w:spacing w:after="120" w:before="0" w:line="120"/>
      </w:pPr>
    </w:p>
    <w:p>
      <w:pPr>
        <w:spacing w:after="140" w:before="0" w:line="276"/>
        <w:jc w:val="left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En el primer año, servicios web cuesta lo mismo que los caminos API y mixto en cada nivel de propuesta, y bastante menos que el RPA en los niveles óptimo y avanzado: usa un canal oficial de FONASA, sin cobro entre órganos del Estado. WS3 sube a $17,5 MM sobre todo por la estación avanzada, que el Informe 12 ya contempla.</w:t>
      </w:r>
    </w:p>
    <w:p>
      <w:pPr>
        <w:spacing w:after="140" w:before="0" w:line="276"/>
        <w:jc w:val="left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Su único punto débil no es económico: es el plazo para que FONASA otorgue el servicio por la Red de Interoperabilidad. Mientras eso ocurre, el trabajo de diagnóstico avanza y el piloto puede partir por otro camino.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none" w:color="FFFFFF" w:sz="0"/>
              <w:left w:val="single" w:color="0D9488" w:sz="24"/>
              <w:bottom w:val="none" w:color="FFFFFF" w:sz="0"/>
              <w:right w:val="none" w:color="FFFFFF" w:sz="0"/>
            </w:tcBorders>
            <w:shd w:fill="F0FDFA" w:color="auto" w:val="clear"/>
            <w:tcMar>
              <w:top w:type="dxa" w:w="110"/>
              <w:left w:type="dxa" w:w="220"/>
              <w:bottom w:type="dxa" w:w="11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RECOMENDACIÓN ECONÓMICA</w:t>
            </w:r>
          </w:p>
          <w:p>
            <w:pPr>
              <w:spacing w:after="50" w:line="260"/>
            </w:pPr>
            <w:r>
              <w:rPr>
                <w:color w:val="334155"/>
                <w:sz w:val="19"/>
                <w:szCs w:val="19"/>
              </w:rPr>
              <w:t xml:space="preserve">Tratar </w:t>
            </w:r>
            <w:r>
              <w:rPr>
                <w:b/>
                <w:bCs/>
                <w:color w:val="0F172A"/>
                <w:sz w:val="19"/>
                <w:szCs w:val="19"/>
              </w:rPr>
              <w:t xml:space="preserve">WS1</w:t>
            </w:r>
            <w:r>
              <w:rPr>
                <w:color w:val="334155"/>
                <w:sz w:val="19"/>
                <w:szCs w:val="19"/>
              </w:rPr>
              <w:t xml:space="preserve"> ($0 el primer año) como la opción de menor costo, condicionada a que FONASA otorgue el servicio. Solicitarlo el primer día por la Red de Interoperabilidad. Al escalar, pasar a </w:t>
            </w:r>
            <w:r>
              <w:rPr>
                <w:b/>
                <w:bCs/>
                <w:color w:val="0F172A"/>
                <w:sz w:val="19"/>
                <w:szCs w:val="19"/>
              </w:rPr>
              <w:t xml:space="preserve">WS2</w:t>
            </w:r>
            <w:r>
              <w:rPr>
                <w:color w:val="334155"/>
                <w:sz w:val="19"/>
                <w:szCs w:val="19"/>
              </w:rPr>
              <w:t xml:space="preserve"> ($3,9 MM). Comprar la estación avanzada una sola vez con el Informe 12 y reservar </w:t>
            </w:r>
            <w:r>
              <w:rPr>
                <w:b/>
                <w:bCs/>
                <w:color w:val="0F172A"/>
                <w:sz w:val="19"/>
                <w:szCs w:val="19"/>
              </w:rPr>
              <w:t xml:space="preserve">WS3</w:t>
            </w:r>
            <w:r>
              <w:rPr>
                <w:color w:val="334155"/>
                <w:sz w:val="19"/>
                <w:szCs w:val="19"/>
              </w:rPr>
              <w:t xml:space="preserve"> para cuando el portal y la IA local estén operando.</w:t>
            </w:r>
          </w:p>
        </w:tc>
      </w:tr>
    </w:tbl>
    <w:p>
      <w:pPr>
        <w:spacing w:after="140" w:before="0" w:line="120"/>
      </w:pPr>
    </w:p>
    <w:sectPr>
      <w:headerReference w:type="default" r:id="rId7"/>
      <w:headerReference w:type="first" r:id="rId8"/>
      <w:footerReference w:type="default" r:id="rId9"/>
      <w:footerReference w:type="first" r:id="rId10"/>
      <w:pgSz w:w="12240" w:h="15840" w:orient="portrait"/>
      <w:pgMar w:top="1250" w:right="1300" w:bottom="1150" w:left="1300" w:header="600" w:footer="56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40"/>
      </w:tabs>
    </w:pPr>
    <w:r>
      <w:rPr>
        <w:rFonts w:ascii="Calibri" w:cs="Calibri" w:eastAsia="Calibri" w:hAnsi="Calibri"/>
        <w:color w:val="94A3B8"/>
        <w:sz w:val="14"/>
        <w:szCs w:val="14"/>
      </w:rPr>
      <w:t xml:space="preserve">DEP · Subdepartamento GDP-SLEP · Uso interno</w:t>
    </w:r>
    <w:r>
      <w:rPr>
        <w:rFonts w:ascii="Consolas" w:cs="Consolas" w:eastAsia="Consolas" w:hAnsi="Consolas"/>
        <w:color w:val="94A3B8"/>
        <w:sz w:val="14"/>
        <w:szCs w:val="14"/>
      </w:rPr>
      <w:t xml:space="preserve">	pág. </w:t>
    </w:r>
    <w:r>
      <w:rPr>
        <w:rFonts w:ascii="Consolas" w:cs="Consolas" w:eastAsia="Consolas" w:hAnsi="Consolas"/>
        <w:b/>
        <w:bCs/>
        <w:color w:val="0F172A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4" w:space="6"/>
      </w:pBdr>
      <w:tabs>
        <w:tab w:val="right" w:pos="9640"/>
      </w:tabs>
    </w:pPr>
    <w:r>
      <w:rPr>
        <w:rFonts w:ascii="Consolas" w:cs="Consolas" w:eastAsia="Consolas" w:hAnsi="Consolas"/>
        <w:b/>
        <w:bCs/>
        <w:color w:val="0D9488"/>
        <w:spacing w:val="20"/>
        <w:sz w:val="14"/>
        <w:szCs w:val="14"/>
      </w:rPr>
      <w:t xml:space="preserve">GDP - SLEP STUDIO</w:t>
    </w:r>
    <w:r>
      <w:rPr>
        <w:rFonts w:ascii="Consolas" w:cs="Consolas" w:eastAsia="Consolas" w:hAnsi="Consolas"/>
        <w:color w:val="94A3B8"/>
        <w:spacing w:val="10"/>
        <w:sz w:val="14"/>
        <w:szCs w:val="14"/>
      </w:rPr>
      <w:t xml:space="preserve">	INFORME 08.3.3  ·  CAMINO SERVICIOS WEB · COSTOS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00" w:hanging="260"/>
      </w:pPr>
      <w:rPr>
        <w:color w:val="0D9488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00"/>
      </w:pPr>
      <w:rPr>
        <w:b/>
        <w:bCs/>
        <w:color w:val="0D948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4155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/>
      <w:outlineLvl w:val="0"/>
    </w:pPr>
    <w:rPr>
      <w:rFonts w:ascii="Calibri" w:cs="Calibri" w:eastAsia="Calibri" w:hAnsi="Calibri"/>
      <w:b/>
      <w:bCs/>
      <w:color w:val="0F172A"/>
      <w:sz w:val="34"/>
      <w:szCs w:val="34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color w:val="0F172A"/>
      <w:sz w:val="25"/>
      <w:szCs w:val="25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Calibri" w:cs="Calibri" w:eastAsia="Calibri" w:hAnsi="Calibri"/>
      <w:b/>
      <w:bCs/>
      <w:color w:val="0F766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08.3.3 — Camino servicios web · costos</dc:title>
  <dc:subject>GDP-SLEP Studio</dc:subject>
  <dc:creator>César Torres</dc:creator>
  <cp:lastModifiedBy>Un-named</cp:lastModifiedBy>
  <cp:revision>1</cp:revision>
  <dcterms:created xsi:type="dcterms:W3CDTF">2026-10-06T00:06:00.246Z</dcterms:created>
  <dcterms:modified xsi:type="dcterms:W3CDTF">2026-10-06T00:06:00.246Z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