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r>
        <w:rPr>
          <w:rFonts w:ascii="Consolas" w:cs="Consolas" w:eastAsia="Consolas" w:hAnsi="Consolas"/>
          <w:color w:val="0D9488"/>
          <w:sz w:val="18"/>
          <w:szCs w:val="18"/>
        </w:rPr>
        <w:t xml:space="preserve">&gt; gdp-slep-studio / licencias / camino-mixto / marco-legal</w:t>
      </w:r>
    </w:p>
    <w:p>
      <w:pPr>
        <w:spacing w:after="240"/>
      </w:pPr>
      <w:r>
        <w:rPr>
          <w:rFonts w:ascii="Consolas" w:cs="Consolas" w:eastAsia="Consolas" w:hAnsi="Consolas"/>
          <w:b/>
          <w:bCs/>
          <w:color w:val="64748B"/>
          <w:spacing w:val="40"/>
          <w:sz w:val="18"/>
          <w:szCs w:val="18"/>
        </w:rPr>
        <w:t xml:space="preserve">INFORME 08.4.1  ·  SERIE DE INFORMES GDP-SLEP STUDIO</w:t>
      </w:r>
    </w:p>
    <w:p>
      <w:pPr>
        <w:spacing w:after="0"/>
      </w:pPr>
      <w:r>
        <w:rPr>
          <w:rFonts w:ascii="Calibri" w:cs="Calibri" w:eastAsia="Calibri" w:hAnsi="Calibri"/>
          <w:b/>
          <w:bCs/>
          <w:color w:val="0F172A"/>
          <w:sz w:val="64"/>
          <w:szCs w:val="64"/>
        </w:rPr>
        <w:t xml:space="preserve">Camino mixto</w:t>
      </w:r>
    </w:p>
    <w:p>
      <w:pPr>
        <w:spacing w:after="220"/>
      </w:pPr>
      <w:r>
        <w:rPr>
          <w:rFonts w:ascii="Calibri" w:cs="Calibri" w:eastAsia="Calibri" w:hAnsi="Calibri"/>
          <w:b/>
          <w:bCs/>
          <w:color w:val="0F172A"/>
          <w:sz w:val="64"/>
          <w:szCs w:val="64"/>
        </w:rPr>
        <w:t xml:space="preserve">· marco legal</w:t>
      </w:r>
    </w:p>
    <w:p>
      <w:pPr>
        <w:pBdr>
          <w:bottom w:val="single" w:color="0D9488" w:sz="24" w:space="1"/>
        </w:pBdr>
        <w:spacing w:after="300"/>
        <w:ind w:right="8340"/>
      </w:pPr>
    </w:p>
    <w:p>
      <w:pPr>
        <w:spacing w:after="120"/>
      </w:pPr>
      <w:r>
        <w:rPr>
          <w:rFonts w:ascii="Calibri" w:cs="Calibri" w:eastAsia="Calibri" w:hAnsi="Calibri"/>
          <w:color w:val="0D9488"/>
          <w:sz w:val="28"/>
          <w:szCs w:val="28"/>
        </w:rPr>
        <w:t xml:space="preserve">Marco legal y verificación previa del camino mixto para la tramitación de licencias médicas</w:t>
      </w:r>
    </w:p>
    <w:p>
      <w:pPr>
        <w:spacing w:after="900" w:line="290"/>
      </w:pPr>
      <w:r>
        <w:rPr>
          <w:rFonts w:ascii="Calibri" w:cs="Calibri" w:eastAsia="Calibri" w:hAnsi="Calibri"/>
          <w:color w:val="64748B"/>
          <w:sz w:val="20"/>
          <w:szCs w:val="20"/>
        </w:rPr>
        <w:t xml:space="preserve">Qué permite y qué no la ley, marco legal de cada propuesta (costo cero, óptima y avanzada), seguridad y cumplimiento, qué hay que verificar antes de construir y requisitos para avanzar. Cómo funciona el camino está en los Informes 08.4 (general) y 08.4.2 (técnico); los montos, en el 08.4.3.</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7040"/>
      </w:tblGrid>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ORGANIZACIÓN</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Dirección de Educación Pública (DEP)</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UNIDAD</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Subdepartamento de Gestión y Desarrollo de Personas para los SLEP (GDP-SLEP)</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PROYECTO</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GDP-SLEP Studio · Aplicación 2: Automatización de licencias médicas</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TIPO DE INFORME</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Informe de marco legal · Camino mixto (orquestado por GDP-SLEP Studio)</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ELABORADO POR</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César Torres · Desarrollador (honorarios)</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DIRIGIDO A</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Claudia Manzano · Jefatura directa</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PERÍODO</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1 de octubre – 27 de noviembre de 2026</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FECHA</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29 de octubre de 2026</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VERSIÓN</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1.0</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CLASIFICACIÓN</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Uso interno</w:t>
            </w:r>
          </w:p>
        </w:tc>
      </w:tr>
    </w:tbl>
    <w:p>
      <w:pPr>
        <w:spacing w:after="400"/>
      </w:pPr>
    </w:p>
    <w:p>
      <w:pPr>
        <w:spacing w:line="270"/>
      </w:pPr>
      <w:r>
        <w:rPr>
          <w:color w:val="64748B"/>
          <w:sz w:val="16"/>
          <w:szCs w:val="16"/>
        </w:rPr>
        <w:t xml:space="preserve">Reúne las reglas legales, la seguridad y el cumplimiento y la verificación previa del camino mixto. Lo acompañan los Informes 08.4 (general), 08.4.2 (técnico) y 08.4.3 (costos).</w:t>
      </w:r>
    </w:p>
    <w:p>
      <w:pPr>
        <w:keepNext/>
        <w:pageBreakBefore/>
        <w:spacing w:after="60"/>
      </w:pPr>
      <w:r>
        <w:rPr>
          <w:rFonts w:ascii="Consolas" w:cs="Consolas" w:eastAsia="Consolas" w:hAnsi="Consolas"/>
          <w:b/>
          <w:bCs/>
          <w:color w:val="0D9488"/>
          <w:spacing w:val="30"/>
          <w:sz w:val="16"/>
          <w:szCs w:val="16"/>
        </w:rPr>
        <w:t xml:space="preserve">DOCUMENTO</w:t>
      </w:r>
      <w:r>
        <w:rPr>
          <w:rFonts w:ascii="Consolas" w:cs="Consolas" w:eastAsia="Consolas" w:hAnsi="Consolas"/>
          <w:color w:val="94A3B8"/>
          <w:sz w:val="16"/>
          <w:szCs w:val="16"/>
        </w:rPr>
        <w:t xml:space="preserve">  /  ficha</w:t>
      </w:r>
    </w:p>
    <w:p>
      <w:pPr>
        <w:pStyle w:val="Heading1"/>
        <w:keepNext/>
        <w:pBdr>
          <w:bottom w:val="single" w:color="E2E8F0" w:sz="6" w:space="6"/>
        </w:pBdr>
        <w:spacing w:after="160"/>
      </w:pPr>
      <w:r>
        <w:rPr>
          <w:rFonts w:ascii="Calibri" w:cs="Calibri" w:eastAsia="Calibri" w:hAnsi="Calibri"/>
          <w:b/>
          <w:bCs/>
          <w:color w:val="0F172A"/>
          <w:sz w:val="34"/>
          <w:szCs w:val="34"/>
        </w:rPr>
        <w:t xml:space="preserve">Ficha del documento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7340"/>
      </w:tblGrid>
      <w:tr>
        <w:trPr>
          <w:tblHeader/>
        </w:trPr>
        <w:tc>
          <w:tcPr>
            <w:tcW w:type="dxa" w:w="23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CAMPO</w:t>
            </w:r>
          </w:p>
        </w:tc>
        <w:tc>
          <w:tcPr>
            <w:tcW w:type="dxa" w:w="73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DETALLE</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Título</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8"/>
                <w:szCs w:val="18"/>
              </w:rPr>
              <w:t xml:space="preserve">Informe 08.4.1 — Camino mixto · marco legal</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Serie</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8"/>
                <w:szCs w:val="18"/>
              </w:rPr>
              <w:t xml:space="preserve">Informe de marco legal del camino mixto. Complementa los Informes 08.4 (general) y 08.4.2 (técnico)</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Objeto</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8"/>
                <w:szCs w:val="18"/>
              </w:rPr>
              <w:t xml:space="preserve">Reunir lo que la ley permite y exige al camino, el marco legal de cada propuesta, los controles de seguridad y lo que hay que verificar antes de construir, dentro de los límites de los Informes 00 y 08</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Período</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8"/>
                <w:szCs w:val="18"/>
              </w:rPr>
              <w:t xml:space="preserve">1 de octubre – 27 de noviembre de 2026</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Elaborado por</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8"/>
                <w:szCs w:val="18"/>
              </w:rPr>
              <w:t xml:space="preserve">César Torres, Desarrollador a honorarios</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Dirigido a</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8"/>
                <w:szCs w:val="18"/>
              </w:rPr>
              <w:t xml:space="preserve">Claudia Manzano, Jefatura directa · Subdepartamento GDP-SLEP</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Condiciones</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8"/>
                <w:szCs w:val="18"/>
              </w:rPr>
              <w:t xml:space="preserve">Hereda las de los tres caminos: servicio de FONASA (08.3), autorización de la API (08.2) y autorización del robot (08.1). No depende de que todas se cumplan a la vez</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Informes relacionados</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8"/>
                <w:szCs w:val="18"/>
              </w:rPr>
              <w:t xml:space="preserve">Informe 08.4 (general) · Informe 08.4.2 (técnico) · Informe 08.4.3 (costos) · Informe 08 (factibilidad) · Informe 00 (marco legal transversal) · Informe 08.5 (anexos)</w:t>
            </w:r>
          </w:p>
        </w:tc>
      </w:tr>
    </w:tbl>
    <w:p>
      <w:pPr>
        <w:spacing w:after="120" w:before="0" w:line="120"/>
      </w:pPr>
    </w:p>
    <w:p>
      <w:pPr>
        <w:pStyle w:val="Heading3"/>
        <w:keepNext/>
        <w:spacing w:after="80" w:before="180"/>
      </w:pPr>
      <w:r>
        <w:rPr>
          <w:rFonts w:ascii="Calibri" w:cs="Calibri" w:eastAsia="Calibri" w:hAnsi="Calibri"/>
          <w:b/>
          <w:bCs/>
          <w:color w:val="0F766E"/>
          <w:sz w:val="22"/>
          <w:szCs w:val="22"/>
        </w:rPr>
        <w:t xml:space="preserve">Lugar de este informe en la serie</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30"/>
        <w:gridCol w:w="240"/>
        <w:gridCol w:w="2230"/>
        <w:gridCol w:w="240"/>
        <w:gridCol w:w="2230"/>
        <w:gridCol w:w="240"/>
        <w:gridCol w:w="2230"/>
      </w:tblGrid>
      <w:tr>
        <w:trPr>
          <w:cantSplit/>
        </w:trPr>
        <w:tc>
          <w:tcPr>
            <w:tcW w:type="dxa" w:w="223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GENERAL</w:t>
            </w:r>
          </w:p>
          <w:p>
            <w:pPr>
              <w:spacing w:after="20" w:line="240"/>
              <w:jc w:val="left"/>
            </w:pPr>
            <w:r>
              <w:rPr>
                <w:b/>
                <w:bCs/>
                <w:color w:val="0F172A"/>
                <w:sz w:val="17"/>
                <w:szCs w:val="17"/>
              </w:rPr>
              <w:t xml:space="preserve">Informe 08.4</w:t>
            </w:r>
          </w:p>
          <w:p>
            <w:pPr>
              <w:spacing w:after="0" w:line="230"/>
              <w:jc w:val="left"/>
            </w:pPr>
            <w:r>
              <w:rPr>
                <w:color w:val="64748B"/>
                <w:sz w:val="14"/>
                <w:szCs w:val="14"/>
              </w:rPr>
              <w:t xml:space="preserve">Para entender el camino sin tecnicismos</w:t>
            </w:r>
          </w:p>
        </w:tc>
        <w:tc>
          <w:tcPr>
            <w:tcW w:type="dxa" w:w="24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2230"/>
            <w:tcBorders>
              <w:top w:val="single" w:color="0D9488" w:sz="12"/>
              <w:left w:val="single" w:color="0D9488" w:sz="12"/>
              <w:bottom w:val="single" w:color="0D9488" w:sz="12"/>
              <w:right w:val="single" w:color="0D9488" w:sz="12"/>
            </w:tcBorders>
            <w:shd w:fill="F0FDFA"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ESTE DOCUMENTO</w:t>
            </w:r>
          </w:p>
          <w:p>
            <w:pPr>
              <w:spacing w:after="20" w:line="240"/>
              <w:jc w:val="left"/>
            </w:pPr>
            <w:r>
              <w:rPr>
                <w:b/>
                <w:bCs/>
                <w:color w:val="0F172A"/>
                <w:sz w:val="17"/>
                <w:szCs w:val="17"/>
              </w:rPr>
              <w:t xml:space="preserve">Informe 08.4.1</w:t>
            </w:r>
          </w:p>
          <w:p>
            <w:pPr>
              <w:spacing w:after="0" w:line="230"/>
              <w:jc w:val="left"/>
            </w:pPr>
            <w:r>
              <w:rPr>
                <w:color w:val="64748B"/>
                <w:sz w:val="14"/>
                <w:szCs w:val="14"/>
              </w:rPr>
              <w:t xml:space="preserve">Marco legal: ley, verificación y riesgos</w:t>
            </w:r>
          </w:p>
        </w:tc>
        <w:tc>
          <w:tcPr>
            <w:tcW w:type="dxa" w:w="24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223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TÉCNICO</w:t>
            </w:r>
          </w:p>
          <w:p>
            <w:pPr>
              <w:spacing w:after="20" w:line="240"/>
              <w:jc w:val="left"/>
            </w:pPr>
            <w:r>
              <w:rPr>
                <w:b/>
                <w:bCs/>
                <w:color w:val="0F172A"/>
                <w:sz w:val="17"/>
                <w:szCs w:val="17"/>
              </w:rPr>
              <w:t xml:space="preserve">Informe 08.4.2</w:t>
            </w:r>
          </w:p>
          <w:p>
            <w:pPr>
              <w:spacing w:after="0" w:line="230"/>
              <w:jc w:val="left"/>
            </w:pPr>
            <w:r>
              <w:rPr>
                <w:color w:val="64748B"/>
                <w:sz w:val="14"/>
                <w:szCs w:val="14"/>
              </w:rPr>
              <w:t xml:space="preserve">Cómo se construye, en detalle</w:t>
            </w:r>
          </w:p>
        </w:tc>
        <w:tc>
          <w:tcPr>
            <w:tcW w:type="dxa" w:w="24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223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COSTOS</w:t>
            </w:r>
          </w:p>
          <w:p>
            <w:pPr>
              <w:spacing w:after="20" w:line="240"/>
              <w:jc w:val="left"/>
            </w:pPr>
            <w:r>
              <w:rPr>
                <w:b/>
                <w:bCs/>
                <w:color w:val="0F172A"/>
                <w:sz w:val="17"/>
                <w:szCs w:val="17"/>
              </w:rPr>
              <w:t xml:space="preserve">Informe 08.4.3</w:t>
            </w:r>
          </w:p>
          <w:p>
            <w:pPr>
              <w:spacing w:after="0" w:line="230"/>
              <w:jc w:val="left"/>
            </w:pPr>
            <w:r>
              <w:rPr>
                <w:color w:val="64748B"/>
                <w:sz w:val="14"/>
                <w:szCs w:val="14"/>
              </w:rPr>
              <w:t xml:space="preserve">Cuánto cuesta cada propuesta</w:t>
            </w:r>
          </w:p>
        </w:tc>
      </w:tr>
    </w:tbl>
    <w:p>
      <w:pPr>
        <w:spacing w:after="200" w:before="80"/>
      </w:pPr>
      <w:r>
        <w:rPr>
          <w:rFonts w:ascii="Consolas" w:cs="Consolas" w:eastAsia="Consolas" w:hAnsi="Consolas"/>
          <w:b/>
          <w:bCs/>
          <w:color w:val="0D9488"/>
          <w:sz w:val="15"/>
          <w:szCs w:val="15"/>
        </w:rPr>
        <w:t xml:space="preserve">FIG. 1  </w:t>
      </w:r>
      <w:r>
        <w:rPr>
          <w:rFonts w:ascii="Calibri" w:cs="Calibri" w:eastAsia="Calibri" w:hAnsi="Calibri"/>
          <w:color w:val="64748B"/>
          <w:sz w:val="16"/>
          <w:szCs w:val="16"/>
        </w:rPr>
        <w:t xml:space="preserve">Este es el documento de marco legal del camino mixto.</w:t>
      </w:r>
    </w:p>
    <w:p>
      <w:pPr>
        <w:keepNext/>
        <w:pageBreakBefore/>
        <w:spacing w:after="60"/>
      </w:pPr>
      <w:r>
        <w:rPr>
          <w:rFonts w:ascii="Consolas" w:cs="Consolas" w:eastAsia="Consolas" w:hAnsi="Consolas"/>
          <w:b/>
          <w:bCs/>
          <w:color w:val="0D9488"/>
          <w:spacing w:val="30"/>
          <w:sz w:val="16"/>
          <w:szCs w:val="16"/>
        </w:rPr>
        <w:t xml:space="preserve">DOCUMENTO</w:t>
      </w:r>
      <w:r>
        <w:rPr>
          <w:rFonts w:ascii="Consolas" w:cs="Consolas" w:eastAsia="Consolas" w:hAnsi="Consolas"/>
          <w:color w:val="94A3B8"/>
          <w:sz w:val="16"/>
          <w:szCs w:val="16"/>
        </w:rPr>
        <w:t xml:space="preserve">  /  índice</w:t>
      </w:r>
    </w:p>
    <w:p>
      <w:pPr>
        <w:pStyle w:val="Heading1"/>
        <w:keepNext/>
        <w:pBdr>
          <w:bottom w:val="single" w:color="E2E8F0" w:sz="6" w:space="6"/>
        </w:pBdr>
        <w:spacing w:after="160"/>
      </w:pPr>
      <w:r>
        <w:rPr>
          <w:rFonts w:ascii="Calibri" w:cs="Calibri" w:eastAsia="Calibri" w:hAnsi="Calibri"/>
          <w:b/>
          <w:bCs/>
          <w:color w:val="0F172A"/>
          <w:sz w:val="34"/>
          <w:szCs w:val="34"/>
        </w:rPr>
        <w:t xml:space="preserve">Índice</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8740"/>
      </w:tblGrid>
      <w:tr>
        <w:trPr>
          <w:cantSplit/>
        </w:trPr>
        <w:tc>
          <w:tcPr>
            <w:tcW w:type="dxa" w:w="900"/>
            <w:tcBorders>
              <w:top w:val="none" w:color="FFFFFF" w:sz="0"/>
              <w:left w:val="none" w:color="FFFFFF" w:sz="0"/>
              <w:bottom w:val="single" w:color="E2E8F0" w:sz="4"/>
              <w:right w:val="none" w:color="FFFFFF" w:sz="0"/>
            </w:tcBorders>
            <w:tcMar>
              <w:top w:type="dxa" w:w="70"/>
              <w:left w:type="dxa" w:w="0"/>
              <w:bottom w:type="dxa" w:w="70"/>
              <w:right w:type="dxa" w:w="110"/>
            </w:tcMar>
            <w:vAlign w:val="top"/>
          </w:tcPr>
          <w:p>
            <w:r>
              <w:rPr>
                <w:rFonts w:ascii="Consolas" w:cs="Consolas" w:eastAsia="Consolas" w:hAnsi="Consolas"/>
                <w:b/>
                <w:bCs/>
                <w:color w:val="0D9488"/>
                <w:sz w:val="24"/>
                <w:szCs w:val="24"/>
              </w:rPr>
              <w:t xml:space="preserve">01</w:t>
            </w:r>
          </w:p>
        </w:tc>
        <w:tc>
          <w:tcPr>
            <w:tcW w:type="dxa" w:w="8740"/>
            <w:tcBorders>
              <w:top w:val="none" w:color="FFFFFF" w:sz="0"/>
              <w:left w:val="none" w:color="FFFFFF" w:sz="0"/>
              <w:bottom w:val="single" w:color="E2E8F0" w:sz="4"/>
              <w:right w:val="none" w:color="FFFFFF" w:sz="0"/>
            </w:tcBorders>
            <w:tcMar>
              <w:top w:type="dxa" w:w="70"/>
              <w:left w:type="dxa" w:w="110"/>
              <w:bottom w:type="dxa" w:w="70"/>
              <w:right w:type="dxa" w:w="110"/>
            </w:tcMar>
            <w:vAlign w:val="top"/>
          </w:tcPr>
          <w:p>
            <w:pPr>
              <w:spacing w:after="10"/>
            </w:pPr>
            <w:r>
              <w:rPr>
                <w:b/>
                <w:bCs/>
                <w:color w:val="0F172A"/>
                <w:sz w:val="21"/>
                <w:szCs w:val="21"/>
              </w:rPr>
              <w:t xml:space="preserve">Qué permite y qué no la ley</w:t>
            </w:r>
          </w:p>
          <w:p>
            <w:r>
              <w:rPr>
                <w:color w:val="64748B"/>
                <w:sz w:val="17"/>
                <w:szCs w:val="17"/>
              </w:rPr>
              <w:t xml:space="preserve">Las reglas, en lenguaje simple.</w:t>
            </w:r>
          </w:p>
        </w:tc>
      </w:tr>
      <w:tr>
        <w:trPr>
          <w:cantSplit/>
        </w:trPr>
        <w:tc>
          <w:tcPr>
            <w:tcW w:type="dxa" w:w="900"/>
            <w:tcBorders>
              <w:top w:val="none" w:color="FFFFFF" w:sz="0"/>
              <w:left w:val="none" w:color="FFFFFF" w:sz="0"/>
              <w:bottom w:val="single" w:color="E2E8F0" w:sz="4"/>
              <w:right w:val="none" w:color="FFFFFF" w:sz="0"/>
            </w:tcBorders>
            <w:tcMar>
              <w:top w:type="dxa" w:w="70"/>
              <w:left w:type="dxa" w:w="0"/>
              <w:bottom w:type="dxa" w:w="70"/>
              <w:right w:type="dxa" w:w="110"/>
            </w:tcMar>
            <w:vAlign w:val="top"/>
          </w:tcPr>
          <w:p>
            <w:r>
              <w:rPr>
                <w:rFonts w:ascii="Consolas" w:cs="Consolas" w:eastAsia="Consolas" w:hAnsi="Consolas"/>
                <w:b/>
                <w:bCs/>
                <w:color w:val="0D9488"/>
                <w:sz w:val="24"/>
                <w:szCs w:val="24"/>
              </w:rPr>
              <w:t xml:space="preserve">02</w:t>
            </w:r>
          </w:p>
        </w:tc>
        <w:tc>
          <w:tcPr>
            <w:tcW w:type="dxa" w:w="8740"/>
            <w:tcBorders>
              <w:top w:val="none" w:color="FFFFFF" w:sz="0"/>
              <w:left w:val="none" w:color="FFFFFF" w:sz="0"/>
              <w:bottom w:val="single" w:color="E2E8F0" w:sz="4"/>
              <w:right w:val="none" w:color="FFFFFF" w:sz="0"/>
            </w:tcBorders>
            <w:tcMar>
              <w:top w:type="dxa" w:w="70"/>
              <w:left w:type="dxa" w:w="110"/>
              <w:bottom w:type="dxa" w:w="70"/>
              <w:right w:type="dxa" w:w="110"/>
            </w:tcMar>
            <w:vAlign w:val="top"/>
          </w:tcPr>
          <w:p>
            <w:pPr>
              <w:spacing w:after="10"/>
            </w:pPr>
            <w:r>
              <w:rPr>
                <w:b/>
                <w:bCs/>
                <w:color w:val="0F172A"/>
                <w:sz w:val="21"/>
                <w:szCs w:val="21"/>
              </w:rPr>
              <w:t xml:space="preserve">Marco legal por propuesta</w:t>
            </w:r>
          </w:p>
          <w:p>
            <w:r>
              <w:rPr>
                <w:color w:val="64748B"/>
                <w:sz w:val="17"/>
                <w:szCs w:val="17"/>
              </w:rPr>
              <w:t xml:space="preserve">Qué es factible y qué es riesgoso en cada propuesta, aspecto por aspecto.</w:t>
            </w:r>
          </w:p>
        </w:tc>
      </w:tr>
      <w:tr>
        <w:trPr>
          <w:cantSplit/>
        </w:trPr>
        <w:tc>
          <w:tcPr>
            <w:tcW w:type="dxa" w:w="900"/>
            <w:tcBorders>
              <w:top w:val="none" w:color="FFFFFF" w:sz="0"/>
              <w:left w:val="none" w:color="FFFFFF" w:sz="0"/>
              <w:bottom w:val="single" w:color="E2E8F0" w:sz="4"/>
              <w:right w:val="none" w:color="FFFFFF" w:sz="0"/>
            </w:tcBorders>
            <w:tcMar>
              <w:top w:type="dxa" w:w="70"/>
              <w:left w:type="dxa" w:w="0"/>
              <w:bottom w:type="dxa" w:w="70"/>
              <w:right w:type="dxa" w:w="110"/>
            </w:tcMar>
            <w:vAlign w:val="top"/>
          </w:tcPr>
          <w:p>
            <w:r>
              <w:rPr>
                <w:rFonts w:ascii="Consolas" w:cs="Consolas" w:eastAsia="Consolas" w:hAnsi="Consolas"/>
                <w:b/>
                <w:bCs/>
                <w:color w:val="0D9488"/>
                <w:sz w:val="24"/>
                <w:szCs w:val="24"/>
              </w:rPr>
              <w:t xml:space="preserve">03</w:t>
            </w:r>
          </w:p>
        </w:tc>
        <w:tc>
          <w:tcPr>
            <w:tcW w:type="dxa" w:w="8740"/>
            <w:tcBorders>
              <w:top w:val="none" w:color="FFFFFF" w:sz="0"/>
              <w:left w:val="none" w:color="FFFFFF" w:sz="0"/>
              <w:bottom w:val="single" w:color="E2E8F0" w:sz="4"/>
              <w:right w:val="none" w:color="FFFFFF" w:sz="0"/>
            </w:tcBorders>
            <w:tcMar>
              <w:top w:type="dxa" w:w="70"/>
              <w:left w:type="dxa" w:w="110"/>
              <w:bottom w:type="dxa" w:w="70"/>
              <w:right w:type="dxa" w:w="110"/>
            </w:tcMar>
            <w:vAlign w:val="top"/>
          </w:tcPr>
          <w:p>
            <w:pPr>
              <w:spacing w:after="10"/>
            </w:pPr>
            <w:r>
              <w:rPr>
                <w:b/>
                <w:bCs/>
                <w:color w:val="0F172A"/>
                <w:sz w:val="21"/>
                <w:szCs w:val="21"/>
              </w:rPr>
              <w:t xml:space="preserve">Seguridad y cumplimiento</w:t>
            </w:r>
          </w:p>
          <w:p>
            <w:r>
              <w:rPr>
                <w:color w:val="64748B"/>
                <w:sz w:val="17"/>
                <w:szCs w:val="17"/>
              </w:rPr>
              <w:t xml:space="preserve">Controles por canal y los que agrega el orquestador.</w:t>
            </w:r>
          </w:p>
        </w:tc>
      </w:tr>
      <w:tr>
        <w:trPr>
          <w:cantSplit/>
        </w:trPr>
        <w:tc>
          <w:tcPr>
            <w:tcW w:type="dxa" w:w="900"/>
            <w:tcBorders>
              <w:top w:val="none" w:color="FFFFFF" w:sz="0"/>
              <w:left w:val="none" w:color="FFFFFF" w:sz="0"/>
              <w:bottom w:val="single" w:color="E2E8F0" w:sz="4"/>
              <w:right w:val="none" w:color="FFFFFF" w:sz="0"/>
            </w:tcBorders>
            <w:tcMar>
              <w:top w:type="dxa" w:w="70"/>
              <w:left w:type="dxa" w:w="0"/>
              <w:bottom w:type="dxa" w:w="70"/>
              <w:right w:type="dxa" w:w="110"/>
            </w:tcMar>
            <w:vAlign w:val="top"/>
          </w:tcPr>
          <w:p>
            <w:r>
              <w:rPr>
                <w:rFonts w:ascii="Consolas" w:cs="Consolas" w:eastAsia="Consolas" w:hAnsi="Consolas"/>
                <w:b/>
                <w:bCs/>
                <w:color w:val="0D9488"/>
                <w:sz w:val="24"/>
                <w:szCs w:val="24"/>
              </w:rPr>
              <w:t xml:space="preserve">04</w:t>
            </w:r>
          </w:p>
        </w:tc>
        <w:tc>
          <w:tcPr>
            <w:tcW w:type="dxa" w:w="8740"/>
            <w:tcBorders>
              <w:top w:val="none" w:color="FFFFFF" w:sz="0"/>
              <w:left w:val="none" w:color="FFFFFF" w:sz="0"/>
              <w:bottom w:val="single" w:color="E2E8F0" w:sz="4"/>
              <w:right w:val="none" w:color="FFFFFF" w:sz="0"/>
            </w:tcBorders>
            <w:tcMar>
              <w:top w:type="dxa" w:w="70"/>
              <w:left w:type="dxa" w:w="110"/>
              <w:bottom w:type="dxa" w:w="70"/>
              <w:right w:type="dxa" w:w="110"/>
            </w:tcMar>
            <w:vAlign w:val="top"/>
          </w:tcPr>
          <w:p>
            <w:pPr>
              <w:spacing w:after="10"/>
            </w:pPr>
            <w:r>
              <w:rPr>
                <w:b/>
                <w:bCs/>
                <w:color w:val="0F172A"/>
                <w:sz w:val="21"/>
                <w:szCs w:val="21"/>
              </w:rPr>
              <w:t xml:space="preserve">Qué hay que verificar</w:t>
            </w:r>
          </w:p>
          <w:p>
            <w:r>
              <w:rPr>
                <w:color w:val="64748B"/>
                <w:sz w:val="17"/>
                <w:szCs w:val="17"/>
              </w:rPr>
              <w:t xml:space="preserve">Lo que se hereda de los tres caminos y lo propio del mixto.</w:t>
            </w:r>
          </w:p>
        </w:tc>
      </w:tr>
      <w:tr>
        <w:trPr>
          <w:cantSplit/>
        </w:trPr>
        <w:tc>
          <w:tcPr>
            <w:tcW w:type="dxa" w:w="900"/>
            <w:tcBorders>
              <w:top w:val="none" w:color="FFFFFF" w:sz="0"/>
              <w:left w:val="none" w:color="FFFFFF" w:sz="0"/>
              <w:bottom w:val="single" w:color="E2E8F0" w:sz="4"/>
              <w:right w:val="none" w:color="FFFFFF" w:sz="0"/>
            </w:tcBorders>
            <w:tcMar>
              <w:top w:type="dxa" w:w="70"/>
              <w:left w:type="dxa" w:w="0"/>
              <w:bottom w:type="dxa" w:w="70"/>
              <w:right w:type="dxa" w:w="110"/>
            </w:tcMar>
            <w:vAlign w:val="top"/>
          </w:tcPr>
          <w:p>
            <w:r>
              <w:rPr>
                <w:rFonts w:ascii="Consolas" w:cs="Consolas" w:eastAsia="Consolas" w:hAnsi="Consolas"/>
                <w:b/>
                <w:bCs/>
                <w:color w:val="0D9488"/>
                <w:sz w:val="24"/>
                <w:szCs w:val="24"/>
              </w:rPr>
              <w:t xml:space="preserve">05</w:t>
            </w:r>
          </w:p>
        </w:tc>
        <w:tc>
          <w:tcPr>
            <w:tcW w:type="dxa" w:w="8740"/>
            <w:tcBorders>
              <w:top w:val="none" w:color="FFFFFF" w:sz="0"/>
              <w:left w:val="none" w:color="FFFFFF" w:sz="0"/>
              <w:bottom w:val="single" w:color="E2E8F0" w:sz="4"/>
              <w:right w:val="none" w:color="FFFFFF" w:sz="0"/>
            </w:tcBorders>
            <w:tcMar>
              <w:top w:type="dxa" w:w="70"/>
              <w:left w:type="dxa" w:w="110"/>
              <w:bottom w:type="dxa" w:w="70"/>
              <w:right w:type="dxa" w:w="110"/>
            </w:tcMar>
            <w:vAlign w:val="top"/>
          </w:tcPr>
          <w:p>
            <w:pPr>
              <w:spacing w:after="10"/>
            </w:pPr>
            <w:r>
              <w:rPr>
                <w:b/>
                <w:bCs/>
                <w:color w:val="0F172A"/>
                <w:sz w:val="21"/>
                <w:szCs w:val="21"/>
              </w:rPr>
              <w:t xml:space="preserve">Conclusión y requisitos para avanzar</w:t>
            </w:r>
          </w:p>
          <w:p>
            <w:r>
              <w:rPr>
                <w:color w:val="64748B"/>
                <w:sz w:val="17"/>
                <w:szCs w:val="17"/>
              </w:rPr>
              <w:t xml:space="preserve">Por qué el marco legal condiciona el desarrollo en la DEP y los SLEP, y qué falta.</w:t>
            </w:r>
          </w:p>
        </w:tc>
      </w:tr>
    </w:tbl>
    <w:p>
      <w:pPr>
        <w:keepNext/>
        <w:pageBreakBefore/>
        <w:spacing w:after="60"/>
      </w:pPr>
      <w:r>
        <w:rPr>
          <w:rFonts w:ascii="Consolas" w:cs="Consolas" w:eastAsia="Consolas" w:hAnsi="Consolas"/>
          <w:b/>
          <w:bCs/>
          <w:color w:val="0D9488"/>
          <w:spacing w:val="30"/>
          <w:sz w:val="16"/>
          <w:szCs w:val="16"/>
        </w:rPr>
        <w:t xml:space="preserve">SECCIÓN 01</w:t>
      </w:r>
      <w:r>
        <w:rPr>
          <w:rFonts w:ascii="Consolas" w:cs="Consolas" w:eastAsia="Consolas" w:hAnsi="Consolas"/>
          <w:color w:val="94A3B8"/>
          <w:sz w:val="16"/>
          <w:szCs w:val="16"/>
        </w:rPr>
        <w:t xml:space="preserve">  /  reglas</w:t>
      </w:r>
    </w:p>
    <w:p>
      <w:pPr>
        <w:pStyle w:val="Heading1"/>
        <w:keepNext/>
        <w:pBdr>
          <w:bottom w:val="single" w:color="E2E8F0" w:sz="6" w:space="6"/>
        </w:pBdr>
        <w:spacing w:after="160"/>
      </w:pPr>
      <w:r>
        <w:rPr>
          <w:rFonts w:ascii="Calibri" w:cs="Calibri" w:eastAsia="Calibri" w:hAnsi="Calibri"/>
          <w:b/>
          <w:bCs/>
          <w:color w:val="0F172A"/>
          <w:sz w:val="34"/>
          <w:szCs w:val="34"/>
        </w:rPr>
        <w:t xml:space="preserve">Qué permite y qué no la ley</w:t>
      </w:r>
    </w:p>
    <w:p>
      <w:pPr>
        <w:spacing w:after="140" w:before="0" w:line="276"/>
        <w:jc w:val="left"/>
      </w:pPr>
      <w:r>
        <w:rPr>
          <w:rFonts w:ascii="Calibri" w:cs="Calibri" w:eastAsia="Calibri" w:hAnsi="Calibri"/>
          <w:color w:val="334155"/>
          <w:sz w:val="19"/>
          <w:szCs w:val="19"/>
        </w:rPr>
        <w:t xml:space="preserve">El mixto respeta las reglas de </w:t>
      </w:r>
      <w:r>
        <w:rPr>
          <w:rFonts w:ascii="Calibri" w:cs="Calibri" w:eastAsia="Calibri" w:hAnsi="Calibri"/>
          <w:b/>
          <w:bCs/>
          <w:color w:val="0F172A"/>
          <w:sz w:val="19"/>
          <w:szCs w:val="19"/>
        </w:rPr>
        <w:t xml:space="preserve">cada canal que usa</w:t>
      </w:r>
      <w:r>
        <w:rPr>
          <w:rFonts w:ascii="Calibri" w:cs="Calibri" w:eastAsia="Calibri" w:hAnsi="Calibri"/>
          <w:color w:val="334155"/>
          <w:sz w:val="19"/>
          <w:szCs w:val="19"/>
        </w:rPr>
        <w:t xml:space="preserve">, sin mezclarlas, y agrega una regla propia: la de respaldo seguro, que impide que una falla lleve a usar un canal no autorizado.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00"/>
        <w:gridCol w:w="5940"/>
      </w:tblGrid>
      <w:tr>
        <w:trPr>
          <w:tblHeader/>
        </w:trPr>
        <w:tc>
          <w:tcPr>
            <w:tcW w:type="dxa" w:w="37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REGLA</w:t>
            </w:r>
          </w:p>
        </w:tc>
        <w:tc>
          <w:tcPr>
            <w:tcW w:type="dxa" w:w="59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QUÉ SIGNIFICA PARA ESTE CAMINO</w:t>
            </w:r>
          </w:p>
        </w:tc>
      </w:tr>
      <w:tr>
        <w:trPr>
          <w:cantSplit/>
        </w:trPr>
        <w:tc>
          <w:tcPr>
            <w:tcW w:type="dxa" w:w="3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Cada canal conserva sus propias reglas legales</w:t>
            </w:r>
          </w:p>
        </w:tc>
        <w:tc>
          <w:tcPr>
            <w:tcW w:type="dxa" w:w="59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El portal no mezcla: usa cada canal con las condiciones que le corresponden</w:t>
            </w:r>
          </w:p>
        </w:tc>
      </w:tr>
      <w:tr>
        <w:trPr>
          <w:cantSplit/>
        </w:trPr>
        <w:tc>
          <w:tcPr>
            <w:tcW w:type="dxa" w:w="3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Nunca se baja a un canal no autorizado</w:t>
            </w:r>
          </w:p>
        </w:tc>
        <w:tc>
          <w:tcPr>
            <w:tcW w:type="dxa" w:w="59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La regla de respaldo seguro: si un canal falla, solo se pasa a otro permitido o a manual</w:t>
            </w:r>
          </w:p>
        </w:tc>
      </w:tr>
      <w:tr>
        <w:trPr>
          <w:cantSplit/>
        </w:trPr>
        <w:tc>
          <w:tcPr>
            <w:tcW w:type="dxa" w:w="3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El empleador no puede ver el diagnóstico médico</w:t>
            </w:r>
          </w:p>
        </w:tc>
        <w:tc>
          <w:tcPr>
            <w:tcW w:type="dxa" w:w="59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Ningún canal lee ni guarda esa parte, y el registro común tampoco</w:t>
            </w:r>
          </w:p>
        </w:tc>
      </w:tr>
      <w:tr>
        <w:trPr>
          <w:cantSplit/>
        </w:trPr>
        <w:tc>
          <w:tcPr>
            <w:tcW w:type="dxa" w:w="3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Los datos deben estar protegidos y en Chile</w:t>
            </w:r>
          </w:p>
        </w:tc>
        <w:tc>
          <w:tcPr>
            <w:tcW w:type="dxa" w:w="59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La IA es una sola, local, dentro de la DEP</w:t>
            </w:r>
          </w:p>
        </w:tc>
      </w:tr>
      <w:tr>
        <w:trPr>
          <w:cantSplit/>
        </w:trPr>
        <w:tc>
          <w:tcPr>
            <w:tcW w:type="dxa" w:w="3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Una persona debe decidir</w:t>
            </w:r>
          </w:p>
        </w:tc>
        <w:tc>
          <w:tcPr>
            <w:tcW w:type="dxa" w:w="59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La aprobación del encargado es única y vale para el canal que se use</w:t>
            </w:r>
          </w:p>
        </w:tc>
      </w:tr>
      <w:tr>
        <w:trPr>
          <w:cantSplit/>
        </w:trPr>
        <w:tc>
          <w:tcPr>
            <w:tcW w:type="dxa" w:w="3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0F172A"/>
                <w:sz w:val="16"/>
                <w:szCs w:val="16"/>
              </w:rPr>
              <w:t xml:space="preserve">La IA en la nube nunca recibe datos personales</w:t>
            </w:r>
          </w:p>
        </w:tc>
        <w:tc>
          <w:tcPr>
            <w:tcW w:type="dxa" w:w="59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6"/>
                <w:szCs w:val="16"/>
              </w:rPr>
              <w:t xml:space="preserve">Claude solo se usa para normativa, redacción y código; los datos de licencias, de salud y de remuneraciones quedan en la IA local</w:t>
            </w:r>
          </w:p>
        </w:tc>
      </w:tr>
      <w:tr>
        <w:trPr>
          <w:cantSplit/>
        </w:trPr>
        <w:tc>
          <w:tcPr>
            <w:tcW w:type="dxa" w:w="3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0F172A"/>
                <w:sz w:val="16"/>
                <w:szCs w:val="16"/>
              </w:rPr>
              <w:t xml:space="preserve">El plazo de tramitación es legal: 3 días hábiles</w:t>
            </w:r>
          </w:p>
        </w:tc>
        <w:tc>
          <w:tcPr>
            <w:tcW w:type="dxa" w:w="59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6"/>
                <w:szCs w:val="16"/>
              </w:rPr>
              <w:t xml:space="preserve">El sistema calcula el vencimiento de cada licencia y alerta antes; ninguna debe quedar fuera de plazo</w:t>
            </w:r>
          </w:p>
        </w:tc>
      </w:tr>
      <w:tr>
        <w:trPr>
          <w:cantSplit/>
        </w:trPr>
        <w:tc>
          <w:tcPr>
            <w:tcW w:type="dxa" w:w="3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0F172A"/>
                <w:sz w:val="16"/>
                <w:szCs w:val="16"/>
              </w:rPr>
              <w:t xml:space="preserve">Solo se usan los datos que pide la zona C</w:t>
            </w:r>
          </w:p>
        </w:tc>
        <w:tc>
          <w:tcPr>
            <w:tcW w:type="dxa" w:w="59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6"/>
                <w:szCs w:val="16"/>
              </w:rPr>
              <w:t xml:space="preserve">Del ERP se toman únicamente los haberes que exige FONASA; nada más se copia ni se guarda</w:t>
            </w:r>
          </w:p>
        </w:tc>
      </w:tr>
      <w:tr>
        <w:trPr>
          <w:cantSplit/>
        </w:trPr>
        <w:tc>
          <w:tcPr>
            <w:tcW w:type="dxa" w:w="3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0F172A"/>
                <w:sz w:val="16"/>
                <w:szCs w:val="16"/>
              </w:rPr>
              <w:t xml:space="preserve">Cada SLEP responde por los datos de su personal</w:t>
            </w:r>
          </w:p>
        </w:tc>
        <w:tc>
          <w:tcPr>
            <w:tcW w:type="dxa" w:w="59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6"/>
                <w:szCs w:val="16"/>
              </w:rPr>
              <w:t xml:space="preserve">El SLEP es el empleador y decide; la DEP entrega la herramienta y opera solo lo que se le encargue formalmente</w:t>
            </w:r>
          </w:p>
        </w:tc>
      </w:tr>
      <w:tr>
        <w:trPr>
          <w:cantSplit/>
        </w:trPr>
        <w:tc>
          <w:tcPr>
            <w:tcW w:type="dxa" w:w="3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0F172A"/>
                <w:sz w:val="16"/>
                <w:szCs w:val="16"/>
              </w:rPr>
              <w:t xml:space="preserve">Antes de usar datos reales, evaluación de impacto</w:t>
            </w:r>
          </w:p>
        </w:tc>
        <w:tc>
          <w:tcPr>
            <w:tcW w:type="dxa" w:w="59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6"/>
                <w:szCs w:val="16"/>
              </w:rPr>
              <w:t xml:space="preserve">Con la Ley 21.719 vigente desde el 1 de diciembre de 2026, el piloto con datos reales exige esa evaluación</w:t>
            </w:r>
          </w:p>
        </w:tc>
      </w:tr>
      <w:tr>
        <w:trPr>
          <w:cantSplit/>
        </w:trPr>
        <w:tc>
          <w:tcPr>
            <w:tcW w:type="dxa" w:w="3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0F172A"/>
                <w:sz w:val="16"/>
                <w:szCs w:val="16"/>
              </w:rPr>
              <w:t xml:space="preserve">Todo queda registrado, sin datos clínicos</w:t>
            </w:r>
          </w:p>
        </w:tc>
        <w:tc>
          <w:tcPr>
            <w:tcW w:type="dxa" w:w="59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6"/>
                <w:szCs w:val="16"/>
              </w:rPr>
              <w:t xml:space="preserve">Cada acción deja constancia de quién, cuándo y qué hizo, para auditoría</w:t>
            </w:r>
          </w:p>
        </w:tc>
      </w:tr>
      <w:tr>
        <w:trPr>
          <w:cantSplit/>
        </w:trPr>
        <w:tc>
          <w:tcPr>
            <w:tcW w:type="dxa" w:w="3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0F172A"/>
                <w:sz w:val="16"/>
                <w:szCs w:val="16"/>
              </w:rPr>
              <w:t xml:space="preserve">Los incidentes se informan en plazo</w:t>
            </w:r>
          </w:p>
        </w:tc>
        <w:tc>
          <w:tcPr>
            <w:tcW w:type="dxa" w:w="59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6"/>
                <w:szCs w:val="16"/>
              </w:rPr>
              <w:t xml:space="preserve">Una filtración o una caída se reporta según el protocolo de la Ley 21.663 (3 horas, 72 horas y 15 días)</w:t>
            </w:r>
          </w:p>
        </w:tc>
      </w:tr>
      <w:tr>
        <w:trPr>
          <w:cantSplit/>
        </w:trPr>
        <w:tc>
          <w:tcPr>
            <w:tcW w:type="dxa" w:w="3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0F172A"/>
                <w:sz w:val="16"/>
                <w:szCs w:val="16"/>
              </w:rPr>
              <w:t xml:space="preserve">El código es de la institución</w:t>
            </w:r>
          </w:p>
        </w:tc>
        <w:tc>
          <w:tcPr>
            <w:tcW w:type="dxa" w:w="59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6"/>
                <w:szCs w:val="16"/>
              </w:rPr>
              <w:t xml:space="preserve">Se formaliza la cesión de derechos del código para que la DEP pueda usarlo, cambiarlo y mantenerlo</w:t>
            </w:r>
          </w:p>
        </w:tc>
      </w:tr>
    </w:tbl>
    <w:p>
      <w:pPr>
        <w:spacing w:after="120" w:before="0" w:line="120"/>
      </w:pP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0D9488" w:sz="24"/>
              <w:bottom w:val="none" w:color="FFFFFF" w:sz="0"/>
              <w:right w:val="none" w:color="FFFFFF" w:sz="0"/>
            </w:tcBorders>
            <w:shd w:fill="F0FDFA" w:color="auto" w:val="clear"/>
            <w:tcMar>
              <w:top w:type="dxa" w:w="110"/>
              <w:left w:type="dxa" w:w="220"/>
              <w:bottom w:type="dxa" w:w="110"/>
              <w:right w:type="dxa" w:w="110"/>
            </w:tcMar>
            <w:vAlign w:val="top"/>
          </w:tcPr>
          <w:p>
            <w:pPr>
              <w:spacing w:after="60"/>
            </w:pPr>
            <w:r>
              <w:rPr>
                <w:rFonts w:ascii="Consolas" w:cs="Consolas" w:eastAsia="Consolas" w:hAnsi="Consolas"/>
                <w:b/>
                <w:bCs/>
                <w:color w:val="0D9488"/>
                <w:spacing w:val="20"/>
                <w:sz w:val="15"/>
                <w:szCs w:val="15"/>
              </w:rPr>
              <w:t xml:space="preserve">EN UNA FRASE</w:t>
            </w:r>
          </w:p>
          <w:p>
            <w:pPr>
              <w:spacing w:after="50" w:line="260"/>
            </w:pPr>
            <w:r>
              <w:rPr>
                <w:color w:val="334155"/>
                <w:sz w:val="19"/>
                <w:szCs w:val="19"/>
              </w:rPr>
              <w:t xml:space="preserve">El mixto es tan legal como el canal que use en cada momento, y su regla de respaldo seguro garantiza que </w:t>
            </w:r>
            <w:r>
              <w:rPr>
                <w:b/>
                <w:bCs/>
                <w:color w:val="0F172A"/>
                <w:sz w:val="19"/>
                <w:szCs w:val="19"/>
              </w:rPr>
              <w:t xml:space="preserve">nunca</w:t>
            </w:r>
            <w:r>
              <w:rPr>
                <w:color w:val="334155"/>
                <w:sz w:val="19"/>
                <w:szCs w:val="19"/>
              </w:rPr>
              <w:t xml:space="preserve"> caiga en uno prohibido. El detalle legal de cada propuesta está en la sección 02.</w:t>
            </w:r>
          </w:p>
        </w:tc>
      </w:tr>
    </w:tbl>
    <w:p>
      <w:pPr>
        <w:spacing w:after="140" w:before="0" w:line="120"/>
      </w:pPr>
    </w:p>
    <w:p>
      <w:pPr>
        <w:keepNext/>
        <w:pageBreakBefore/>
        <w:spacing w:after="60"/>
      </w:pPr>
      <w:r>
        <w:rPr>
          <w:rFonts w:ascii="Consolas" w:cs="Consolas" w:eastAsia="Consolas" w:hAnsi="Consolas"/>
          <w:b/>
          <w:bCs/>
          <w:color w:val="0D9488"/>
          <w:spacing w:val="30"/>
          <w:sz w:val="16"/>
          <w:szCs w:val="16"/>
        </w:rPr>
        <w:t xml:space="preserve">SECCIÓN 02</w:t>
      </w:r>
      <w:r>
        <w:rPr>
          <w:rFonts w:ascii="Consolas" w:cs="Consolas" w:eastAsia="Consolas" w:hAnsi="Consolas"/>
          <w:color w:val="94A3B8"/>
          <w:sz w:val="16"/>
          <w:szCs w:val="16"/>
        </w:rPr>
        <w:t xml:space="preserve">  /  legal</w:t>
      </w:r>
    </w:p>
    <w:p>
      <w:pPr>
        <w:pStyle w:val="Heading1"/>
        <w:keepNext/>
        <w:pBdr>
          <w:bottom w:val="single" w:color="E2E8F0" w:sz="6" w:space="6"/>
        </w:pBdr>
        <w:spacing w:after="160"/>
      </w:pPr>
      <w:r>
        <w:rPr>
          <w:rFonts w:ascii="Calibri" w:cs="Calibri" w:eastAsia="Calibri" w:hAnsi="Calibri"/>
          <w:b/>
          <w:bCs/>
          <w:color w:val="0F172A"/>
          <w:sz w:val="34"/>
          <w:szCs w:val="34"/>
        </w:rPr>
        <w:t xml:space="preserve">Marco legal por propuesta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El mixto hereda las condiciones de los canales que usa, en proporción a cuánto usa cada uno.</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Mostrar, para cada propuesta, qué es factible, qué es riesgoso y por qué.</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Tabla aspecto × propuesta con semáforo, a partir del Informe 00, la sección 03 y los Informes 08.1, 08.2 y 08.3.</w:t>
            </w:r>
          </w:p>
        </w:tc>
      </w:tr>
    </w:tbl>
    <w:p>
      <w:pPr>
        <w:spacing w:after="140" w:before="0" w:line="120"/>
      </w:pP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00"/>
        <w:gridCol w:w="2510"/>
        <w:gridCol w:w="2510"/>
        <w:gridCol w:w="2520"/>
      </w:tblGrid>
      <w:tr>
        <w:trPr>
          <w:tblHeader/>
        </w:trPr>
        <w:tc>
          <w:tcPr>
            <w:tcW w:type="dxa" w:w="21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ASPECTO Y NORMA</w:t>
            </w:r>
          </w:p>
        </w:tc>
        <w:tc>
          <w:tcPr>
            <w:tcW w:type="dxa" w:w="2510"/>
            <w:tcBorders>
              <w:top w:val="none" w:color="FFFFFF" w:sz="0"/>
              <w:left w:val="none" w:color="FFFFFF" w:sz="0"/>
              <w:bottom w:val="none" w:color="FFFFFF" w:sz="0"/>
              <w:right w:val="none" w:color="FFFFFF" w:sz="0"/>
            </w:tcBorders>
            <w:shd w:fill="15803D"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MIX1 · COSTO CERO</w:t>
            </w:r>
          </w:p>
        </w:tc>
        <w:tc>
          <w:tcPr>
            <w:tcW w:type="dxa" w:w="2510"/>
            <w:tcBorders>
              <w:top w:val="none" w:color="FFFFFF" w:sz="0"/>
              <w:left w:val="none" w:color="FFFFFF" w:sz="0"/>
              <w:bottom w:val="none" w:color="FFFFFF" w:sz="0"/>
              <w:right w:val="none" w:color="FFFFFF" w:sz="0"/>
            </w:tcBorders>
            <w:shd w:fill="0D9488"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MIX2 · ÓPTIMA</w:t>
            </w:r>
          </w:p>
        </w:tc>
        <w:tc>
          <w:tcPr>
            <w:tcW w:type="dxa" w:w="2520"/>
            <w:tcBorders>
              <w:top w:val="none" w:color="FFFFFF" w:sz="0"/>
              <w:left w:val="none" w:color="FFFFFF" w:sz="0"/>
              <w:bottom w:val="none" w:color="FFFFFF" w:sz="0"/>
              <w:right w:val="none" w:color="FFFFFF" w:sz="0"/>
            </w:tcBorders>
            <w:shd w:fill="B45309"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MIX3 · AVANZADA</w:t>
            </w:r>
          </w:p>
        </w:tc>
      </w:tr>
      <w:tr>
        <w:trPr>
          <w:cantSplit/>
        </w:trPr>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30" w:line="236"/>
            </w:pPr>
            <w:r>
              <w:rPr>
                <w:b/>
                <w:bCs/>
                <w:color w:val="0F172A"/>
                <w:sz w:val="14"/>
                <w:szCs w:val="14"/>
              </w:rPr>
              <w:t xml:space="preserve">Canales y autorizaciones</w:t>
            </w:r>
          </w:p>
          <w:p>
            <w:pPr>
              <w:spacing w:after="30" w:line="236"/>
            </w:pPr>
            <w:r>
              <w:rPr>
                <w:color w:val="334155"/>
                <w:sz w:val="14"/>
                <w:szCs w:val="14"/>
              </w:rPr>
              <w:t xml:space="preserve">DS 12/2023 · Res. Ex. 733/2025 · Ley 21.459</w:t>
            </w:r>
          </w:p>
        </w:tc>
        <w:tc>
          <w:tcPr>
            <w:tcW w:type="dxa" w:w="2510"/>
            <w:tcBorders>
              <w:top w:val="none" w:color="FFFFFF" w:sz="0"/>
              <w:left w:val="none" w:color="FFFFFF" w:sz="0"/>
              <w:bottom w:val="single" w:color="E2E8F0" w:sz="4"/>
              <w:right w:val="none" w:color="FFFFFF" w:sz="0"/>
            </w:tcBorders>
            <w:shd w:val="clear" w:color="auto" w:fill="F0FDF4"/>
            <w:tcMar>
              <w:top w:type="dxa" w:w="80"/>
              <w:left w:type="dxa" w:w="110"/>
              <w:bottom w:type="dxa" w:w="80"/>
              <w:right w:type="dxa" w:w="110"/>
            </w:tcMar>
            <w:vAlign w:val="top"/>
          </w:tcPr>
          <w:p>
            <w:pPr>
              <w:spacing w:after="20" w:line="240"/>
            </w:pPr>
            <w:r>
              <w:rPr>
                <w:rFonts w:ascii="Calibri" w:cs="Calibri" w:eastAsia="Calibri" w:hAnsi="Calibri"/>
                <w:b/>
                <w:bCs/>
                <w:color w:val="B45309"/>
                <w:sz w:val="15"/>
                <w:szCs w:val="15"/>
              </w:rPr>
              <w:t xml:space="preserve">● Con condiciones</w:t>
            </w:r>
          </w:p>
          <w:p>
            <w:pPr>
              <w:spacing w:after="20" w:line="236"/>
            </w:pPr>
            <w:r>
              <w:rPr>
                <w:color w:val="334155"/>
                <w:sz w:val="14"/>
                <w:szCs w:val="14"/>
              </w:rPr>
              <w:t xml:space="preserve">Cada canal opera solo con su condición cumplida; el robot (respaldo) requiere autorización de FONASA.</w:t>
            </w:r>
          </w:p>
        </w:tc>
        <w:tc>
          <w:tcPr>
            <w:tcW w:type="dxa" w:w="2510"/>
            <w:tcBorders>
              <w:top w:val="none" w:color="FFFFFF" w:sz="0"/>
              <w:left w:val="none" w:color="FFFFFF" w:sz="0"/>
              <w:bottom w:val="single" w:color="E2E8F0" w:sz="4"/>
              <w:right w:val="none" w:color="FFFFFF" w:sz="0"/>
            </w:tcBorders>
            <w:shd w:val="clear" w:color="auto" w:fill="F0FDFA"/>
            <w:tcMar>
              <w:top w:type="dxa" w:w="80"/>
              <w:left w:type="dxa" w:w="110"/>
              <w:bottom w:type="dxa" w:w="80"/>
              <w:right w:type="dxa" w:w="110"/>
            </w:tcMar>
            <w:vAlign w:val="top"/>
          </w:tcPr>
          <w:p>
            <w:pPr>
              <w:spacing w:after="20" w:line="240"/>
            </w:pPr>
            <w:r>
              <w:rPr>
                <w:rFonts w:ascii="Calibri" w:cs="Calibri" w:eastAsia="Calibri" w:hAnsi="Calibri"/>
                <w:b/>
                <w:bCs/>
                <w:color w:val="B45309"/>
                <w:sz w:val="15"/>
                <w:szCs w:val="15"/>
              </w:rPr>
              <w:t xml:space="preserve">● Con condiciones</w:t>
            </w:r>
          </w:p>
          <w:p>
            <w:pPr>
              <w:spacing w:after="20" w:line="236"/>
            </w:pPr>
            <w:r>
              <w:rPr>
                <w:color w:val="334155"/>
                <w:sz w:val="14"/>
                <w:szCs w:val="14"/>
              </w:rPr>
              <w:t xml:space="preserve">Igual que MIX1.</w:t>
            </w:r>
          </w:p>
        </w:tc>
        <w:tc>
          <w:tcPr>
            <w:tcW w:type="dxa" w:w="2520"/>
            <w:tcBorders>
              <w:top w:val="none" w:color="FFFFFF" w:sz="0"/>
              <w:left w:val="none" w:color="FFFFFF" w:sz="0"/>
              <w:bottom w:val="single" w:color="E2E8F0" w:sz="4"/>
              <w:right w:val="none" w:color="FFFFFF" w:sz="0"/>
            </w:tcBorders>
            <w:shd w:val="clear" w:color="auto" w:fill="FFFBEB"/>
            <w:tcMar>
              <w:top w:type="dxa" w:w="80"/>
              <w:left w:type="dxa" w:w="110"/>
              <w:bottom w:type="dxa" w:w="80"/>
              <w:right w:type="dxa" w:w="110"/>
            </w:tcMar>
            <w:vAlign w:val="top"/>
          </w:tcPr>
          <w:p>
            <w:pPr>
              <w:spacing w:after="20" w:line="240"/>
            </w:pPr>
            <w:r>
              <w:rPr>
                <w:rFonts w:ascii="Calibri" w:cs="Calibri" w:eastAsia="Calibri" w:hAnsi="Calibri"/>
                <w:b/>
                <w:bCs/>
                <w:color w:val="B45309"/>
                <w:sz w:val="15"/>
                <w:szCs w:val="15"/>
              </w:rPr>
              <w:t xml:space="preserve">● Con condiciones</w:t>
            </w:r>
          </w:p>
          <w:p>
            <w:pPr>
              <w:spacing w:after="20" w:line="236"/>
            </w:pPr>
            <w:r>
              <w:rPr>
                <w:color w:val="334155"/>
                <w:sz w:val="14"/>
                <w:szCs w:val="14"/>
              </w:rPr>
              <w:t xml:space="preserve">Igual que MIX1.</w:t>
            </w:r>
          </w:p>
        </w:tc>
      </w:tr>
      <w:tr>
        <w:trPr>
          <w:cantSplit/>
        </w:trPr>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30" w:line="236"/>
            </w:pPr>
            <w:r>
              <w:rPr>
                <w:b/>
                <w:bCs/>
                <w:color w:val="0F172A"/>
                <w:sz w:val="14"/>
                <w:szCs w:val="14"/>
              </w:rPr>
              <w:t xml:space="preserve">Regla de respaldo seguro</w:t>
            </w:r>
          </w:p>
          <w:p>
            <w:pPr>
              <w:spacing w:after="30" w:line="236"/>
            </w:pPr>
            <w:r>
              <w:rPr>
                <w:color w:val="334155"/>
                <w:sz w:val="14"/>
                <w:szCs w:val="14"/>
              </w:rPr>
              <w:t xml:space="preserve">Res. Ex. 733/2025 · Ley 21.459</w:t>
            </w:r>
          </w:p>
        </w:tc>
        <w:tc>
          <w:tcPr>
            <w:tcW w:type="dxa" w:w="2510"/>
            <w:tcBorders>
              <w:top w:val="none" w:color="FFFFFF" w:sz="0"/>
              <w:left w:val="none" w:color="FFFFFF" w:sz="0"/>
              <w:bottom w:val="single" w:color="E2E8F0" w:sz="4"/>
              <w:right w:val="none" w:color="FFFFFF" w:sz="0"/>
            </w:tcBorders>
            <w:shd w:val="clear" w:color="auto" w:fill="F0FDF4"/>
            <w:tcMar>
              <w:top w:type="dxa" w:w="80"/>
              <w:left w:type="dxa" w:w="110"/>
              <w:bottom w:type="dxa" w:w="80"/>
              <w:right w:type="dxa" w:w="110"/>
            </w:tcMar>
            <w:vAlign w:val="top"/>
          </w:tcPr>
          <w:p>
            <w:pPr>
              <w:spacing w:after="20" w:line="240"/>
            </w:pPr>
            <w:r>
              <w:rPr>
                <w:rFonts w:ascii="Calibri" w:cs="Calibri" w:eastAsia="Calibri" w:hAnsi="Calibri"/>
                <w:b/>
                <w:bCs/>
                <w:color w:val="15803D"/>
                <w:sz w:val="15"/>
                <w:szCs w:val="15"/>
              </w:rPr>
              <w:t xml:space="preserve">● Viable</w:t>
            </w:r>
          </w:p>
          <w:p>
            <w:pPr>
              <w:spacing w:after="20" w:line="236"/>
            </w:pPr>
            <w:r>
              <w:rPr>
                <w:color w:val="334155"/>
                <w:sz w:val="14"/>
                <w:szCs w:val="14"/>
              </w:rPr>
              <w:t xml:space="preserve">Codificada y probada: nunca se baja a un canal no autorizado.</w:t>
            </w:r>
          </w:p>
        </w:tc>
        <w:tc>
          <w:tcPr>
            <w:tcW w:type="dxa" w:w="2510"/>
            <w:tcBorders>
              <w:top w:val="none" w:color="FFFFFF" w:sz="0"/>
              <w:left w:val="none" w:color="FFFFFF" w:sz="0"/>
              <w:bottom w:val="single" w:color="E2E8F0" w:sz="4"/>
              <w:right w:val="none" w:color="FFFFFF" w:sz="0"/>
            </w:tcBorders>
            <w:shd w:val="clear" w:color="auto" w:fill="F0FDFA"/>
            <w:tcMar>
              <w:top w:type="dxa" w:w="80"/>
              <w:left w:type="dxa" w:w="110"/>
              <w:bottom w:type="dxa" w:w="80"/>
              <w:right w:type="dxa" w:w="110"/>
            </w:tcMar>
            <w:vAlign w:val="top"/>
          </w:tcPr>
          <w:p>
            <w:pPr>
              <w:spacing w:after="20" w:line="240"/>
            </w:pPr>
            <w:r>
              <w:rPr>
                <w:rFonts w:ascii="Calibri" w:cs="Calibri" w:eastAsia="Calibri" w:hAnsi="Calibri"/>
                <w:b/>
                <w:bCs/>
                <w:color w:val="15803D"/>
                <w:sz w:val="15"/>
                <w:szCs w:val="15"/>
              </w:rPr>
              <w:t xml:space="preserve">● Viable</w:t>
            </w:r>
          </w:p>
          <w:p>
            <w:pPr>
              <w:spacing w:after="20" w:line="236"/>
            </w:pPr>
            <w:r>
              <w:rPr>
                <w:color w:val="334155"/>
                <w:sz w:val="14"/>
                <w:szCs w:val="14"/>
              </w:rPr>
              <w:t xml:space="preserve">Igual que MIX1.</w:t>
            </w:r>
          </w:p>
        </w:tc>
        <w:tc>
          <w:tcPr>
            <w:tcW w:type="dxa" w:w="2520"/>
            <w:tcBorders>
              <w:top w:val="none" w:color="FFFFFF" w:sz="0"/>
              <w:left w:val="none" w:color="FFFFFF" w:sz="0"/>
              <w:bottom w:val="single" w:color="E2E8F0" w:sz="4"/>
              <w:right w:val="none" w:color="FFFFFF" w:sz="0"/>
            </w:tcBorders>
            <w:shd w:val="clear" w:color="auto" w:fill="FFFBEB"/>
            <w:tcMar>
              <w:top w:type="dxa" w:w="80"/>
              <w:left w:type="dxa" w:w="110"/>
              <w:bottom w:type="dxa" w:w="80"/>
              <w:right w:type="dxa" w:w="110"/>
            </w:tcMar>
            <w:vAlign w:val="top"/>
          </w:tcPr>
          <w:p>
            <w:pPr>
              <w:spacing w:after="20" w:line="240"/>
            </w:pPr>
            <w:r>
              <w:rPr>
                <w:rFonts w:ascii="Calibri" w:cs="Calibri" w:eastAsia="Calibri" w:hAnsi="Calibri"/>
                <w:b/>
                <w:bCs/>
                <w:color w:val="15803D"/>
                <w:sz w:val="15"/>
                <w:szCs w:val="15"/>
              </w:rPr>
              <w:t xml:space="preserve">● Viable</w:t>
            </w:r>
          </w:p>
          <w:p>
            <w:pPr>
              <w:spacing w:after="20" w:line="236"/>
            </w:pPr>
            <w:r>
              <w:rPr>
                <w:color w:val="334155"/>
                <w:sz w:val="14"/>
                <w:szCs w:val="14"/>
              </w:rPr>
              <w:t xml:space="preserve">Igual que MIX1.</w:t>
            </w:r>
          </w:p>
        </w:tc>
      </w:tr>
      <w:tr>
        <w:trPr>
          <w:cantSplit/>
        </w:trPr>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30" w:line="236"/>
            </w:pPr>
            <w:r>
              <w:rPr>
                <w:b/>
                <w:bCs/>
                <w:color w:val="0F172A"/>
                <w:sz w:val="14"/>
                <w:szCs w:val="14"/>
              </w:rPr>
              <w:t xml:space="preserve">ClaveÚnica</w:t>
            </w:r>
          </w:p>
          <w:p>
            <w:pPr>
              <w:spacing w:after="30" w:line="236"/>
            </w:pPr>
            <w:r>
              <w:rPr>
                <w:color w:val="334155"/>
                <w:sz w:val="14"/>
                <w:szCs w:val="14"/>
              </w:rPr>
              <w:t xml:space="preserve">Res. Ex. 733/2025 §6.5</w:t>
            </w:r>
          </w:p>
        </w:tc>
        <w:tc>
          <w:tcPr>
            <w:tcW w:type="dxa" w:w="2510"/>
            <w:tcBorders>
              <w:top w:val="none" w:color="FFFFFF" w:sz="0"/>
              <w:left w:val="none" w:color="FFFFFF" w:sz="0"/>
              <w:bottom w:val="single" w:color="E2E8F0" w:sz="4"/>
              <w:right w:val="none" w:color="FFFFFF" w:sz="0"/>
            </w:tcBorders>
            <w:shd w:val="clear" w:color="auto" w:fill="F0FDF4"/>
            <w:tcMar>
              <w:top w:type="dxa" w:w="80"/>
              <w:left w:type="dxa" w:w="110"/>
              <w:bottom w:type="dxa" w:w="80"/>
              <w:right w:type="dxa" w:w="110"/>
            </w:tcMar>
            <w:vAlign w:val="top"/>
          </w:tcPr>
          <w:p>
            <w:pPr>
              <w:spacing w:after="20" w:line="240"/>
            </w:pPr>
            <w:r>
              <w:rPr>
                <w:rFonts w:ascii="Calibri" w:cs="Calibri" w:eastAsia="Calibri" w:hAnsi="Calibri"/>
                <w:b/>
                <w:bCs/>
                <w:color w:val="15803D"/>
                <w:sz w:val="15"/>
                <w:szCs w:val="15"/>
              </w:rPr>
              <w:t xml:space="preserve">● Viable</w:t>
            </w:r>
          </w:p>
          <w:p>
            <w:pPr>
              <w:spacing w:after="20" w:line="236"/>
            </w:pPr>
            <w:r>
              <w:rPr>
                <w:color w:val="334155"/>
                <w:sz w:val="14"/>
                <w:szCs w:val="14"/>
              </w:rPr>
              <w:t xml:space="preserve">El servicio y la API usan credenciales de servicio o sesión de la persona; nunca se automatiza la clave.</w:t>
            </w:r>
          </w:p>
        </w:tc>
        <w:tc>
          <w:tcPr>
            <w:tcW w:type="dxa" w:w="2510"/>
            <w:tcBorders>
              <w:top w:val="none" w:color="FFFFFF" w:sz="0"/>
              <w:left w:val="none" w:color="FFFFFF" w:sz="0"/>
              <w:bottom w:val="single" w:color="E2E8F0" w:sz="4"/>
              <w:right w:val="none" w:color="FFFFFF" w:sz="0"/>
            </w:tcBorders>
            <w:shd w:val="clear" w:color="auto" w:fill="F0FDFA"/>
            <w:tcMar>
              <w:top w:type="dxa" w:w="80"/>
              <w:left w:type="dxa" w:w="110"/>
              <w:bottom w:type="dxa" w:w="80"/>
              <w:right w:type="dxa" w:w="110"/>
            </w:tcMar>
            <w:vAlign w:val="top"/>
          </w:tcPr>
          <w:p>
            <w:pPr>
              <w:spacing w:after="20" w:line="240"/>
            </w:pPr>
            <w:r>
              <w:rPr>
                <w:rFonts w:ascii="Calibri" w:cs="Calibri" w:eastAsia="Calibri" w:hAnsi="Calibri"/>
                <w:b/>
                <w:bCs/>
                <w:color w:val="15803D"/>
                <w:sz w:val="15"/>
                <w:szCs w:val="15"/>
              </w:rPr>
              <w:t xml:space="preserve">● Viable</w:t>
            </w:r>
          </w:p>
          <w:p>
            <w:pPr>
              <w:spacing w:after="20" w:line="236"/>
            </w:pPr>
            <w:r>
              <w:rPr>
                <w:color w:val="334155"/>
                <w:sz w:val="14"/>
                <w:szCs w:val="14"/>
              </w:rPr>
              <w:t xml:space="preserve">Igual que MIX1.</w:t>
            </w:r>
          </w:p>
        </w:tc>
        <w:tc>
          <w:tcPr>
            <w:tcW w:type="dxa" w:w="2520"/>
            <w:tcBorders>
              <w:top w:val="none" w:color="FFFFFF" w:sz="0"/>
              <w:left w:val="none" w:color="FFFFFF" w:sz="0"/>
              <w:bottom w:val="single" w:color="E2E8F0" w:sz="4"/>
              <w:right w:val="none" w:color="FFFFFF" w:sz="0"/>
            </w:tcBorders>
            <w:shd w:val="clear" w:color="auto" w:fill="FFFBEB"/>
            <w:tcMar>
              <w:top w:type="dxa" w:w="80"/>
              <w:left w:type="dxa" w:w="110"/>
              <w:bottom w:type="dxa" w:w="80"/>
              <w:right w:type="dxa" w:w="110"/>
            </w:tcMar>
            <w:vAlign w:val="top"/>
          </w:tcPr>
          <w:p>
            <w:pPr>
              <w:spacing w:after="20" w:line="240"/>
            </w:pPr>
            <w:r>
              <w:rPr>
                <w:rFonts w:ascii="Calibri" w:cs="Calibri" w:eastAsia="Calibri" w:hAnsi="Calibri"/>
                <w:b/>
                <w:bCs/>
                <w:color w:val="15803D"/>
                <w:sz w:val="15"/>
                <w:szCs w:val="15"/>
              </w:rPr>
              <w:t xml:space="preserve">● Viable</w:t>
            </w:r>
          </w:p>
          <w:p>
            <w:pPr>
              <w:spacing w:after="20" w:line="236"/>
            </w:pPr>
            <w:r>
              <w:rPr>
                <w:color w:val="334155"/>
                <w:sz w:val="14"/>
                <w:szCs w:val="14"/>
              </w:rPr>
              <w:t xml:space="preserve">Igual que MIX1.</w:t>
            </w:r>
          </w:p>
        </w:tc>
      </w:tr>
      <w:tr>
        <w:trPr>
          <w:cantSplit/>
        </w:trPr>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30" w:line="236"/>
            </w:pPr>
            <w:r>
              <w:rPr>
                <w:b/>
                <w:bCs/>
                <w:color w:val="0F172A"/>
                <w:sz w:val="14"/>
                <w:szCs w:val="14"/>
              </w:rPr>
              <w:t xml:space="preserve">Datos clínicos</w:t>
            </w:r>
          </w:p>
          <w:p>
            <w:pPr>
              <w:spacing w:after="30" w:line="236"/>
            </w:pPr>
            <w:r>
              <w:rPr>
                <w:color w:val="334155"/>
                <w:sz w:val="14"/>
                <w:szCs w:val="14"/>
              </w:rPr>
              <w:t xml:space="preserve">Ley 19.628 · SUSESO 3779</w:t>
            </w:r>
          </w:p>
        </w:tc>
        <w:tc>
          <w:tcPr>
            <w:tcW w:type="dxa" w:w="2510"/>
            <w:tcBorders>
              <w:top w:val="none" w:color="FFFFFF" w:sz="0"/>
              <w:left w:val="none" w:color="FFFFFF" w:sz="0"/>
              <w:bottom w:val="single" w:color="E2E8F0" w:sz="4"/>
              <w:right w:val="none" w:color="FFFFFF" w:sz="0"/>
            </w:tcBorders>
            <w:shd w:val="clear" w:color="auto" w:fill="F0FDF4"/>
            <w:tcMar>
              <w:top w:type="dxa" w:w="80"/>
              <w:left w:type="dxa" w:w="110"/>
              <w:bottom w:type="dxa" w:w="80"/>
              <w:right w:type="dxa" w:w="110"/>
            </w:tcMar>
            <w:vAlign w:val="top"/>
          </w:tcPr>
          <w:p>
            <w:pPr>
              <w:spacing w:after="20" w:line="240"/>
            </w:pPr>
            <w:r>
              <w:rPr>
                <w:rFonts w:ascii="Calibri" w:cs="Calibri" w:eastAsia="Calibri" w:hAnsi="Calibri"/>
                <w:b/>
                <w:bCs/>
                <w:color w:val="15803D"/>
                <w:sz w:val="15"/>
                <w:szCs w:val="15"/>
              </w:rPr>
              <w:t xml:space="preserve">● Viable</w:t>
            </w:r>
          </w:p>
          <w:p>
            <w:pPr>
              <w:spacing w:after="20" w:line="236"/>
            </w:pPr>
            <w:r>
              <w:rPr>
                <w:color w:val="334155"/>
                <w:sz w:val="14"/>
                <w:szCs w:val="14"/>
              </w:rPr>
              <w:t xml:space="preserve">Ningún canal lee la zona A; lista blanca común.</w:t>
            </w:r>
          </w:p>
        </w:tc>
        <w:tc>
          <w:tcPr>
            <w:tcW w:type="dxa" w:w="2510"/>
            <w:tcBorders>
              <w:top w:val="none" w:color="FFFFFF" w:sz="0"/>
              <w:left w:val="none" w:color="FFFFFF" w:sz="0"/>
              <w:bottom w:val="single" w:color="E2E8F0" w:sz="4"/>
              <w:right w:val="none" w:color="FFFFFF" w:sz="0"/>
            </w:tcBorders>
            <w:shd w:val="clear" w:color="auto" w:fill="F0FDFA"/>
            <w:tcMar>
              <w:top w:type="dxa" w:w="80"/>
              <w:left w:type="dxa" w:w="110"/>
              <w:bottom w:type="dxa" w:w="80"/>
              <w:right w:type="dxa" w:w="110"/>
            </w:tcMar>
            <w:vAlign w:val="top"/>
          </w:tcPr>
          <w:p>
            <w:pPr>
              <w:spacing w:after="20" w:line="240"/>
            </w:pPr>
            <w:r>
              <w:rPr>
                <w:rFonts w:ascii="Calibri" w:cs="Calibri" w:eastAsia="Calibri" w:hAnsi="Calibri"/>
                <w:b/>
                <w:bCs/>
                <w:color w:val="15803D"/>
                <w:sz w:val="15"/>
                <w:szCs w:val="15"/>
              </w:rPr>
              <w:t xml:space="preserve">● Viable</w:t>
            </w:r>
          </w:p>
          <w:p>
            <w:pPr>
              <w:spacing w:after="20" w:line="236"/>
            </w:pPr>
            <w:r>
              <w:rPr>
                <w:color w:val="334155"/>
                <w:sz w:val="14"/>
                <w:szCs w:val="14"/>
              </w:rPr>
              <w:t xml:space="preserve">Igual que MIX1.</w:t>
            </w:r>
          </w:p>
        </w:tc>
        <w:tc>
          <w:tcPr>
            <w:tcW w:type="dxa" w:w="2520"/>
            <w:tcBorders>
              <w:top w:val="none" w:color="FFFFFF" w:sz="0"/>
              <w:left w:val="none" w:color="FFFFFF" w:sz="0"/>
              <w:bottom w:val="single" w:color="E2E8F0" w:sz="4"/>
              <w:right w:val="none" w:color="FFFFFF" w:sz="0"/>
            </w:tcBorders>
            <w:shd w:val="clear" w:color="auto" w:fill="FFFBEB"/>
            <w:tcMar>
              <w:top w:type="dxa" w:w="80"/>
              <w:left w:type="dxa" w:w="110"/>
              <w:bottom w:type="dxa" w:w="80"/>
              <w:right w:type="dxa" w:w="110"/>
            </w:tcMar>
            <w:vAlign w:val="top"/>
          </w:tcPr>
          <w:p>
            <w:pPr>
              <w:spacing w:after="20" w:line="240"/>
            </w:pPr>
            <w:r>
              <w:rPr>
                <w:rFonts w:ascii="Calibri" w:cs="Calibri" w:eastAsia="Calibri" w:hAnsi="Calibri"/>
                <w:b/>
                <w:bCs/>
                <w:color w:val="15803D"/>
                <w:sz w:val="15"/>
                <w:szCs w:val="15"/>
              </w:rPr>
              <w:t xml:space="preserve">● Viable</w:t>
            </w:r>
          </w:p>
          <w:p>
            <w:pPr>
              <w:spacing w:after="20" w:line="236"/>
            </w:pPr>
            <w:r>
              <w:rPr>
                <w:color w:val="334155"/>
                <w:sz w:val="14"/>
                <w:szCs w:val="14"/>
              </w:rPr>
              <w:t xml:space="preserve">Igual que MIX1.</w:t>
            </w:r>
          </w:p>
        </w:tc>
      </w:tr>
      <w:tr>
        <w:trPr>
          <w:cantSplit/>
        </w:trPr>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30" w:line="236"/>
            </w:pPr>
            <w:r>
              <w:rPr>
                <w:b/>
                <w:bCs/>
                <w:color w:val="0F172A"/>
                <w:sz w:val="14"/>
                <w:szCs w:val="14"/>
              </w:rPr>
              <w:t xml:space="preserve">IA sobre datos</w:t>
            </w:r>
          </w:p>
          <w:p>
            <w:pPr>
              <w:spacing w:after="30" w:line="236"/>
            </w:pPr>
            <w:r>
              <w:rPr>
                <w:color w:val="334155"/>
                <w:sz w:val="14"/>
                <w:szCs w:val="14"/>
              </w:rPr>
              <w:t xml:space="preserve">Ley 21.719 · CPLT</w:t>
            </w:r>
          </w:p>
        </w:tc>
        <w:tc>
          <w:tcPr>
            <w:tcW w:type="dxa" w:w="2510"/>
            <w:tcBorders>
              <w:top w:val="none" w:color="FFFFFF" w:sz="0"/>
              <w:left w:val="none" w:color="FFFFFF" w:sz="0"/>
              <w:bottom w:val="single" w:color="E2E8F0" w:sz="4"/>
              <w:right w:val="none" w:color="FFFFFF" w:sz="0"/>
            </w:tcBorders>
            <w:shd w:val="clear" w:color="auto" w:fill="F0FDF4"/>
            <w:tcMar>
              <w:top w:type="dxa" w:w="80"/>
              <w:left w:type="dxa" w:w="110"/>
              <w:bottom w:type="dxa" w:w="80"/>
              <w:right w:type="dxa" w:w="110"/>
            </w:tcMar>
            <w:vAlign w:val="top"/>
          </w:tcPr>
          <w:p>
            <w:pPr>
              <w:spacing w:after="20" w:line="240"/>
            </w:pPr>
            <w:r>
              <w:rPr>
                <w:rFonts w:ascii="Calibri" w:cs="Calibri" w:eastAsia="Calibri" w:hAnsi="Calibri"/>
                <w:b/>
                <w:bCs/>
                <w:color w:val="15803D"/>
                <w:sz w:val="15"/>
                <w:szCs w:val="15"/>
              </w:rPr>
              <w:t xml:space="preserve">● Viable</w:t>
            </w:r>
          </w:p>
          <w:p>
            <w:pPr>
              <w:spacing w:after="20" w:line="236"/>
            </w:pPr>
            <w:r>
              <w:rPr>
                <w:color w:val="334155"/>
                <w:sz w:val="14"/>
                <w:szCs w:val="14"/>
              </w:rPr>
              <w:t xml:space="preserve">Una sola IA local, seudonimizada; la persona decide.</w:t>
            </w:r>
          </w:p>
        </w:tc>
        <w:tc>
          <w:tcPr>
            <w:tcW w:type="dxa" w:w="2510"/>
            <w:tcBorders>
              <w:top w:val="none" w:color="FFFFFF" w:sz="0"/>
              <w:left w:val="none" w:color="FFFFFF" w:sz="0"/>
              <w:bottom w:val="single" w:color="E2E8F0" w:sz="4"/>
              <w:right w:val="none" w:color="FFFFFF" w:sz="0"/>
            </w:tcBorders>
            <w:shd w:val="clear" w:color="auto" w:fill="F0FDFA"/>
            <w:tcMar>
              <w:top w:type="dxa" w:w="80"/>
              <w:left w:type="dxa" w:w="110"/>
              <w:bottom w:type="dxa" w:w="80"/>
              <w:right w:type="dxa" w:w="110"/>
            </w:tcMar>
            <w:vAlign w:val="top"/>
          </w:tcPr>
          <w:p>
            <w:pPr>
              <w:spacing w:after="20" w:line="240"/>
            </w:pPr>
            <w:r>
              <w:rPr>
                <w:rFonts w:ascii="Calibri" w:cs="Calibri" w:eastAsia="Calibri" w:hAnsi="Calibri"/>
                <w:b/>
                <w:bCs/>
                <w:color w:val="15803D"/>
                <w:sz w:val="15"/>
                <w:szCs w:val="15"/>
              </w:rPr>
              <w:t xml:space="preserve">● Viable</w:t>
            </w:r>
          </w:p>
          <w:p>
            <w:pPr>
              <w:spacing w:after="20" w:line="236"/>
            </w:pPr>
            <w:r>
              <w:rPr>
                <w:color w:val="334155"/>
                <w:sz w:val="14"/>
                <w:szCs w:val="14"/>
              </w:rPr>
              <w:t xml:space="preserve">Igual que MIX1.</w:t>
            </w:r>
          </w:p>
        </w:tc>
        <w:tc>
          <w:tcPr>
            <w:tcW w:type="dxa" w:w="2520"/>
            <w:tcBorders>
              <w:top w:val="none" w:color="FFFFFF" w:sz="0"/>
              <w:left w:val="none" w:color="FFFFFF" w:sz="0"/>
              <w:bottom w:val="single" w:color="E2E8F0" w:sz="4"/>
              <w:right w:val="none" w:color="FFFFFF" w:sz="0"/>
            </w:tcBorders>
            <w:shd w:val="clear" w:color="auto" w:fill="FFFBEB"/>
            <w:tcMar>
              <w:top w:type="dxa" w:w="80"/>
              <w:left w:type="dxa" w:w="110"/>
              <w:bottom w:type="dxa" w:w="80"/>
              <w:right w:type="dxa" w:w="110"/>
            </w:tcMar>
            <w:vAlign w:val="top"/>
          </w:tcPr>
          <w:p>
            <w:pPr>
              <w:spacing w:after="20" w:line="240"/>
            </w:pPr>
            <w:r>
              <w:rPr>
                <w:rFonts w:ascii="Calibri" w:cs="Calibri" w:eastAsia="Calibri" w:hAnsi="Calibri"/>
                <w:b/>
                <w:bCs/>
                <w:color w:val="15803D"/>
                <w:sz w:val="15"/>
                <w:szCs w:val="15"/>
              </w:rPr>
              <w:t xml:space="preserve">● Viable</w:t>
            </w:r>
          </w:p>
          <w:p>
            <w:pPr>
              <w:spacing w:after="20" w:line="236"/>
            </w:pPr>
            <w:r>
              <w:rPr>
                <w:color w:val="334155"/>
                <w:sz w:val="14"/>
                <w:szCs w:val="14"/>
              </w:rPr>
              <w:t xml:space="preserve">Igual que MIX1; IA avanzada sigue local.</w:t>
            </w:r>
          </w:p>
        </w:tc>
      </w:tr>
      <w:tr>
        <w:trPr>
          <w:cantSplit/>
        </w:trPr>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30" w:line="236"/>
            </w:pPr>
            <w:r>
              <w:rPr>
                <w:b/>
                <w:bCs/>
                <w:color w:val="0F172A"/>
                <w:sz w:val="14"/>
                <w:szCs w:val="14"/>
              </w:rPr>
              <w:t xml:space="preserve">Ubicación de los datos</w:t>
            </w:r>
          </w:p>
          <w:p>
            <w:pPr>
              <w:spacing w:after="30" w:line="236"/>
            </w:pPr>
            <w:r>
              <w:rPr>
                <w:color w:val="334155"/>
                <w:sz w:val="14"/>
                <w:szCs w:val="14"/>
              </w:rPr>
              <w:t xml:space="preserve">Ley 21.719</w:t>
            </w:r>
          </w:p>
        </w:tc>
        <w:tc>
          <w:tcPr>
            <w:tcW w:type="dxa" w:w="2510"/>
            <w:tcBorders>
              <w:top w:val="none" w:color="FFFFFF" w:sz="0"/>
              <w:left w:val="none" w:color="FFFFFF" w:sz="0"/>
              <w:bottom w:val="single" w:color="E2E8F0" w:sz="4"/>
              <w:right w:val="none" w:color="FFFFFF" w:sz="0"/>
            </w:tcBorders>
            <w:shd w:val="clear" w:color="auto" w:fill="F0FDF4"/>
            <w:tcMar>
              <w:top w:type="dxa" w:w="80"/>
              <w:left w:type="dxa" w:w="110"/>
              <w:bottom w:type="dxa" w:w="80"/>
              <w:right w:type="dxa" w:w="110"/>
            </w:tcMar>
            <w:vAlign w:val="top"/>
          </w:tcPr>
          <w:p>
            <w:pPr>
              <w:spacing w:after="20" w:line="240"/>
            </w:pPr>
            <w:r>
              <w:rPr>
                <w:rFonts w:ascii="Calibri" w:cs="Calibri" w:eastAsia="Calibri" w:hAnsi="Calibri"/>
                <w:b/>
                <w:bCs/>
                <w:color w:val="15803D"/>
                <w:sz w:val="15"/>
                <w:szCs w:val="15"/>
              </w:rPr>
              <w:t xml:space="preserve">● Viable</w:t>
            </w:r>
          </w:p>
          <w:p>
            <w:pPr>
              <w:spacing w:after="20" w:line="236"/>
            </w:pPr>
            <w:r>
              <w:rPr>
                <w:color w:val="334155"/>
                <w:sz w:val="14"/>
                <w:szCs w:val="14"/>
              </w:rPr>
              <w:t xml:space="preserve">Todo en el servidor de TI, en Chile.</w:t>
            </w:r>
          </w:p>
        </w:tc>
        <w:tc>
          <w:tcPr>
            <w:tcW w:type="dxa" w:w="2510"/>
            <w:tcBorders>
              <w:top w:val="none" w:color="FFFFFF" w:sz="0"/>
              <w:left w:val="none" w:color="FFFFFF" w:sz="0"/>
              <w:bottom w:val="single" w:color="E2E8F0" w:sz="4"/>
              <w:right w:val="none" w:color="FFFFFF" w:sz="0"/>
            </w:tcBorders>
            <w:shd w:val="clear" w:color="auto" w:fill="F0FDFA"/>
            <w:tcMar>
              <w:top w:type="dxa" w:w="80"/>
              <w:left w:type="dxa" w:w="110"/>
              <w:bottom w:type="dxa" w:w="80"/>
              <w:right w:type="dxa" w:w="110"/>
            </w:tcMar>
            <w:vAlign w:val="top"/>
          </w:tcPr>
          <w:p>
            <w:pPr>
              <w:spacing w:after="20" w:line="240"/>
            </w:pPr>
            <w:r>
              <w:rPr>
                <w:rFonts w:ascii="Calibri" w:cs="Calibri" w:eastAsia="Calibri" w:hAnsi="Calibri"/>
                <w:b/>
                <w:bCs/>
                <w:color w:val="15803D"/>
                <w:sz w:val="15"/>
                <w:szCs w:val="15"/>
              </w:rPr>
              <w:t xml:space="preserve">● Viable</w:t>
            </w:r>
          </w:p>
          <w:p>
            <w:pPr>
              <w:spacing w:after="20" w:line="236"/>
            </w:pPr>
            <w:r>
              <w:rPr>
                <w:color w:val="334155"/>
                <w:sz w:val="14"/>
                <w:szCs w:val="14"/>
              </w:rPr>
              <w:t xml:space="preserve">Servidor y estación en la DEP.</w:t>
            </w:r>
          </w:p>
        </w:tc>
        <w:tc>
          <w:tcPr>
            <w:tcW w:type="dxa" w:w="2520"/>
            <w:tcBorders>
              <w:top w:val="none" w:color="FFFFFF" w:sz="0"/>
              <w:left w:val="none" w:color="FFFFFF" w:sz="0"/>
              <w:bottom w:val="single" w:color="E2E8F0" w:sz="4"/>
              <w:right w:val="none" w:color="FFFFFF" w:sz="0"/>
            </w:tcBorders>
            <w:shd w:val="clear" w:color="auto" w:fill="FFFBEB"/>
            <w:tcMar>
              <w:top w:type="dxa" w:w="80"/>
              <w:left w:type="dxa" w:w="110"/>
              <w:bottom w:type="dxa" w:w="80"/>
              <w:right w:type="dxa" w:w="110"/>
            </w:tcMar>
            <w:vAlign w:val="top"/>
          </w:tcPr>
          <w:p>
            <w:pPr>
              <w:spacing w:after="20" w:line="240"/>
            </w:pPr>
            <w:r>
              <w:rPr>
                <w:rFonts w:ascii="Calibri" w:cs="Calibri" w:eastAsia="Calibri" w:hAnsi="Calibri"/>
                <w:b/>
                <w:bCs/>
                <w:color w:val="B45309"/>
                <w:sz w:val="15"/>
                <w:szCs w:val="15"/>
              </w:rPr>
              <w:t xml:space="preserve">● Con condiciones</w:t>
            </w:r>
          </w:p>
          <w:p>
            <w:pPr>
              <w:spacing w:after="20" w:line="236"/>
            </w:pPr>
            <w:r>
              <w:rPr>
                <w:color w:val="334155"/>
                <w:sz w:val="14"/>
                <w:szCs w:val="14"/>
              </w:rPr>
              <w:t xml:space="preserve">Respaldo en </w:t>
            </w:r>
            <w:r>
              <w:rPr>
                <w:b/>
                <w:bCs/>
                <w:color w:val="0F172A"/>
                <w:sz w:val="14"/>
                <w:szCs w:val="14"/>
              </w:rPr>
              <w:t xml:space="preserve">Azure Chile Central</w:t>
            </w:r>
            <w:r>
              <w:rPr>
                <w:color w:val="334155"/>
                <w:sz w:val="14"/>
                <w:szCs w:val="14"/>
              </w:rPr>
              <w:t xml:space="preserve">: en Chile, proveedor externo; contrato de tratamiento.</w:t>
            </w:r>
          </w:p>
        </w:tc>
      </w:tr>
      <w:tr>
        <w:trPr>
          <w:cantSplit/>
        </w:trPr>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30" w:line="236"/>
            </w:pPr>
            <w:r>
              <w:rPr>
                <w:b/>
                <w:bCs/>
                <w:color w:val="0F172A"/>
                <w:sz w:val="14"/>
                <w:szCs w:val="14"/>
              </w:rPr>
              <w:t xml:space="preserve">Compras públicas</w:t>
            </w:r>
          </w:p>
          <w:p>
            <w:pPr>
              <w:spacing w:after="30" w:line="236"/>
            </w:pPr>
            <w:r>
              <w:rPr>
                <w:color w:val="334155"/>
                <w:sz w:val="14"/>
                <w:szCs w:val="14"/>
              </w:rPr>
              <w:t xml:space="preserve">Ley 19.886 (mod. 21.634)</w:t>
            </w:r>
          </w:p>
        </w:tc>
        <w:tc>
          <w:tcPr>
            <w:tcW w:type="dxa" w:w="2510"/>
            <w:tcBorders>
              <w:top w:val="none" w:color="FFFFFF" w:sz="0"/>
              <w:left w:val="none" w:color="FFFFFF" w:sz="0"/>
              <w:bottom w:val="single" w:color="E2E8F0" w:sz="4"/>
              <w:right w:val="none" w:color="FFFFFF" w:sz="0"/>
            </w:tcBorders>
            <w:shd w:val="clear" w:color="auto" w:fill="F0FDF4"/>
            <w:tcMar>
              <w:top w:type="dxa" w:w="80"/>
              <w:left w:type="dxa" w:w="110"/>
              <w:bottom w:type="dxa" w:w="80"/>
              <w:right w:type="dxa" w:w="110"/>
            </w:tcMar>
            <w:vAlign w:val="top"/>
          </w:tcPr>
          <w:p>
            <w:pPr>
              <w:spacing w:after="20" w:line="240"/>
            </w:pPr>
            <w:r>
              <w:rPr>
                <w:rFonts w:ascii="Calibri" w:cs="Calibri" w:eastAsia="Calibri" w:hAnsi="Calibri"/>
                <w:b/>
                <w:bCs/>
                <w:color w:val="15803D"/>
                <w:sz w:val="15"/>
                <w:szCs w:val="15"/>
              </w:rPr>
              <w:t xml:space="preserve">● Viable</w:t>
            </w:r>
          </w:p>
          <w:p>
            <w:pPr>
              <w:spacing w:after="20" w:line="236"/>
            </w:pPr>
            <w:r>
              <w:rPr>
                <w:color w:val="334155"/>
                <w:sz w:val="14"/>
                <w:szCs w:val="14"/>
              </w:rPr>
              <w:t xml:space="preserve">Sin compras.</w:t>
            </w:r>
          </w:p>
        </w:tc>
        <w:tc>
          <w:tcPr>
            <w:tcW w:type="dxa" w:w="2510"/>
            <w:tcBorders>
              <w:top w:val="none" w:color="FFFFFF" w:sz="0"/>
              <w:left w:val="none" w:color="FFFFFF" w:sz="0"/>
              <w:bottom w:val="single" w:color="E2E8F0" w:sz="4"/>
              <w:right w:val="none" w:color="FFFFFF" w:sz="0"/>
            </w:tcBorders>
            <w:shd w:val="clear" w:color="auto" w:fill="F0FDFA"/>
            <w:tcMar>
              <w:top w:type="dxa" w:w="80"/>
              <w:left w:type="dxa" w:w="110"/>
              <w:bottom w:type="dxa" w:w="80"/>
              <w:right w:type="dxa" w:w="110"/>
            </w:tcMar>
            <w:vAlign w:val="top"/>
          </w:tcPr>
          <w:p>
            <w:pPr>
              <w:spacing w:after="20" w:line="240"/>
            </w:pPr>
            <w:r>
              <w:rPr>
                <w:rFonts w:ascii="Calibri" w:cs="Calibri" w:eastAsia="Calibri" w:hAnsi="Calibri"/>
                <w:b/>
                <w:bCs/>
                <w:color w:val="B45309"/>
                <w:sz w:val="15"/>
                <w:szCs w:val="15"/>
              </w:rPr>
              <w:t xml:space="preserve">● Con condiciones</w:t>
            </w:r>
          </w:p>
          <w:p>
            <w:pPr>
              <w:spacing w:after="20" w:line="236"/>
            </w:pPr>
            <w:r>
              <w:rPr>
                <w:color w:val="334155"/>
                <w:sz w:val="14"/>
                <w:szCs w:val="14"/>
              </w:rPr>
              <w:t xml:space="preserve">Estación básica en </w:t>
            </w:r>
            <w:r>
              <w:rPr>
                <w:b/>
                <w:bCs/>
                <w:color w:val="0F172A"/>
                <w:sz w:val="14"/>
                <w:szCs w:val="14"/>
              </w:rPr>
              <w:t xml:space="preserve">compra ágil</w:t>
            </w:r>
            <w:r>
              <w:rPr>
                <w:color w:val="334155"/>
                <w:sz w:val="14"/>
                <w:szCs w:val="14"/>
              </w:rPr>
              <w:t xml:space="preserve"> (bajo 100 UTM).</w:t>
            </w:r>
          </w:p>
        </w:tc>
        <w:tc>
          <w:tcPr>
            <w:tcW w:type="dxa" w:w="2520"/>
            <w:tcBorders>
              <w:top w:val="none" w:color="FFFFFF" w:sz="0"/>
              <w:left w:val="none" w:color="FFFFFF" w:sz="0"/>
              <w:bottom w:val="single" w:color="E2E8F0" w:sz="4"/>
              <w:right w:val="none" w:color="FFFFFF" w:sz="0"/>
            </w:tcBorders>
            <w:shd w:val="clear" w:color="auto" w:fill="FFFBEB"/>
            <w:tcMar>
              <w:top w:type="dxa" w:w="80"/>
              <w:left w:type="dxa" w:w="110"/>
              <w:bottom w:type="dxa" w:w="80"/>
              <w:right w:type="dxa" w:w="110"/>
            </w:tcMar>
            <w:vAlign w:val="top"/>
          </w:tcPr>
          <w:p>
            <w:pPr>
              <w:spacing w:after="20" w:line="240"/>
            </w:pPr>
            <w:r>
              <w:rPr>
                <w:rFonts w:ascii="Calibri" w:cs="Calibri" w:eastAsia="Calibri" w:hAnsi="Calibri"/>
                <w:b/>
                <w:bCs/>
                <w:color w:val="B45309"/>
                <w:sz w:val="15"/>
                <w:szCs w:val="15"/>
              </w:rPr>
              <w:t xml:space="preserve">● Riesgoso</w:t>
            </w:r>
          </w:p>
          <w:p>
            <w:pPr>
              <w:spacing w:after="20" w:line="236"/>
            </w:pPr>
            <w:r>
              <w:rPr>
                <w:color w:val="334155"/>
                <w:sz w:val="14"/>
                <w:szCs w:val="14"/>
              </w:rPr>
              <w:t xml:space="preserve">Estación avanzada sobre 100 UTM: </w:t>
            </w:r>
            <w:r>
              <w:rPr>
                <w:b/>
                <w:bCs/>
                <w:color w:val="0F172A"/>
                <w:sz w:val="14"/>
                <w:szCs w:val="14"/>
              </w:rPr>
              <w:t xml:space="preserve">convenio marco o licitación</w:t>
            </w:r>
            <w:r>
              <w:rPr>
                <w:color w:val="334155"/>
                <w:sz w:val="14"/>
                <w:szCs w:val="14"/>
              </w:rPr>
              <w:t xml:space="preserve">; más Azure.</w:t>
            </w:r>
          </w:p>
        </w:tc>
      </w:tr>
      <w:tr>
        <w:trPr>
          <w:cantSplit/>
        </w:trPr>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30" w:line="236"/>
            </w:pPr>
            <w:r>
              <w:rPr>
                <w:b/>
                <w:bCs/>
                <w:color w:val="0F172A"/>
                <w:sz w:val="14"/>
                <w:szCs w:val="14"/>
              </w:rPr>
              <w:t xml:space="preserve">Continuidad y complejidad</w:t>
            </w:r>
          </w:p>
          <w:p>
            <w:pPr>
              <w:spacing w:after="30" w:line="236"/>
            </w:pPr>
            <w:r>
              <w:rPr>
                <w:color w:val="334155"/>
                <w:sz w:val="14"/>
                <w:szCs w:val="14"/>
              </w:rPr>
              <w:t xml:space="preserve">DS 7/2023 · Ley 21.663</w:t>
            </w:r>
          </w:p>
        </w:tc>
        <w:tc>
          <w:tcPr>
            <w:tcW w:type="dxa" w:w="2510"/>
            <w:tcBorders>
              <w:top w:val="none" w:color="FFFFFF" w:sz="0"/>
              <w:left w:val="none" w:color="FFFFFF" w:sz="0"/>
              <w:bottom w:val="single" w:color="E2E8F0" w:sz="4"/>
              <w:right w:val="none" w:color="FFFFFF" w:sz="0"/>
            </w:tcBorders>
            <w:shd w:val="clear" w:color="auto" w:fill="F0FDF4"/>
            <w:tcMar>
              <w:top w:type="dxa" w:w="80"/>
              <w:left w:type="dxa" w:w="110"/>
              <w:bottom w:type="dxa" w:w="80"/>
              <w:right w:type="dxa" w:w="110"/>
            </w:tcMar>
            <w:vAlign w:val="top"/>
          </w:tcPr>
          <w:p>
            <w:pPr>
              <w:spacing w:after="20" w:line="240"/>
            </w:pPr>
            <w:r>
              <w:rPr>
                <w:rFonts w:ascii="Calibri" w:cs="Calibri" w:eastAsia="Calibri" w:hAnsi="Calibri"/>
                <w:b/>
                <w:bCs/>
                <w:color w:val="B45309"/>
                <w:sz w:val="15"/>
                <w:szCs w:val="15"/>
              </w:rPr>
              <w:t xml:space="preserve">● Con condiciones</w:t>
            </w:r>
          </w:p>
          <w:p>
            <w:pPr>
              <w:spacing w:after="20" w:line="236"/>
            </w:pPr>
            <w:r>
              <w:rPr>
                <w:color w:val="334155"/>
                <w:sz w:val="14"/>
                <w:szCs w:val="14"/>
              </w:rPr>
              <w:t xml:space="preserve">Más piezas que mantener; el orquestador es pieza clave: documentación y traspaso a TI.</w:t>
            </w:r>
          </w:p>
        </w:tc>
        <w:tc>
          <w:tcPr>
            <w:tcW w:type="dxa" w:w="2510"/>
            <w:tcBorders>
              <w:top w:val="none" w:color="FFFFFF" w:sz="0"/>
              <w:left w:val="none" w:color="FFFFFF" w:sz="0"/>
              <w:bottom w:val="single" w:color="E2E8F0" w:sz="4"/>
              <w:right w:val="none" w:color="FFFFFF" w:sz="0"/>
            </w:tcBorders>
            <w:shd w:val="clear" w:color="auto" w:fill="F0FDFA"/>
            <w:tcMar>
              <w:top w:type="dxa" w:w="80"/>
              <w:left w:type="dxa" w:w="110"/>
              <w:bottom w:type="dxa" w:w="80"/>
              <w:right w:type="dxa" w:w="110"/>
            </w:tcMar>
            <w:vAlign w:val="top"/>
          </w:tcPr>
          <w:p>
            <w:pPr>
              <w:spacing w:after="20" w:line="240"/>
            </w:pPr>
            <w:r>
              <w:rPr>
                <w:rFonts w:ascii="Calibri" w:cs="Calibri" w:eastAsia="Calibri" w:hAnsi="Calibri"/>
                <w:b/>
                <w:bCs/>
                <w:color w:val="B45309"/>
                <w:sz w:val="15"/>
                <w:szCs w:val="15"/>
              </w:rPr>
              <w:t xml:space="preserve">● Con condiciones</w:t>
            </w:r>
          </w:p>
          <w:p>
            <w:pPr>
              <w:spacing w:after="20" w:line="236"/>
            </w:pPr>
            <w:r>
              <w:rPr>
                <w:color w:val="334155"/>
                <w:sz w:val="14"/>
                <w:szCs w:val="14"/>
              </w:rPr>
              <w:t xml:space="preserve">Igual que MIX1 + monitoreo.</w:t>
            </w:r>
          </w:p>
        </w:tc>
        <w:tc>
          <w:tcPr>
            <w:tcW w:type="dxa" w:w="2520"/>
            <w:tcBorders>
              <w:top w:val="none" w:color="FFFFFF" w:sz="0"/>
              <w:left w:val="none" w:color="FFFFFF" w:sz="0"/>
              <w:bottom w:val="single" w:color="E2E8F0" w:sz="4"/>
              <w:right w:val="none" w:color="FFFFFF" w:sz="0"/>
            </w:tcBorders>
            <w:shd w:val="clear" w:color="auto" w:fill="FFFBEB"/>
            <w:tcMar>
              <w:top w:type="dxa" w:w="80"/>
              <w:left w:type="dxa" w:w="110"/>
              <w:bottom w:type="dxa" w:w="80"/>
              <w:right w:type="dxa" w:w="110"/>
            </w:tcMar>
            <w:vAlign w:val="top"/>
          </w:tcPr>
          <w:p>
            <w:pPr>
              <w:spacing w:after="20" w:line="240"/>
            </w:pPr>
            <w:r>
              <w:rPr>
                <w:rFonts w:ascii="Calibri" w:cs="Calibri" w:eastAsia="Calibri" w:hAnsi="Calibri"/>
                <w:b/>
                <w:bCs/>
                <w:color w:val="15803D"/>
                <w:sz w:val="15"/>
                <w:szCs w:val="15"/>
              </w:rPr>
              <w:t xml:space="preserve">● Viable</w:t>
            </w:r>
          </w:p>
          <w:p>
            <w:pPr>
              <w:spacing w:after="20" w:line="236"/>
            </w:pPr>
            <w:r>
              <w:rPr>
                <w:color w:val="334155"/>
                <w:sz w:val="14"/>
                <w:szCs w:val="14"/>
              </w:rPr>
              <w:t xml:space="preserve">Alta disponibilidad, monitoreo de seguridad y pentest.</w:t>
            </w:r>
          </w:p>
        </w:tc>
      </w:tr>
      <w:tr>
        <w:trPr>
          <w:cantSplit/>
        </w:trPr>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30" w:line="236"/>
            </w:pPr>
            <w:r>
              <w:rPr>
                <w:b/>
                <w:bCs/>
                <w:color w:val="0F172A"/>
                <w:sz w:val="14"/>
                <w:szCs w:val="14"/>
              </w:rPr>
              <w:t xml:space="preserve">IA en la nube (Claude)</w:t>
            </w:r>
          </w:p>
          <w:p>
            <w:pPr>
              <w:spacing w:after="30" w:line="236"/>
            </w:pPr>
            <w:r>
              <w:rPr>
                <w:color w:val="334155"/>
                <w:sz w:val="14"/>
                <w:szCs w:val="14"/>
              </w:rPr>
              <w:t xml:space="preserve">Ley 19.628 · Ley 21.719 (transferencia internacional)</w:t>
            </w:r>
          </w:p>
        </w:tc>
        <w:tc>
          <w:tcPr>
            <w:tcW w:type="dxa" w:w="2510"/>
            <w:tcBorders>
              <w:top w:val="none" w:color="FFFFFF" w:sz="0"/>
              <w:left w:val="none" w:color="FFFFFF" w:sz="0"/>
              <w:bottom w:val="single" w:color="E2E8F0" w:sz="4"/>
              <w:right w:val="none" w:color="FFFFFF" w:sz="0"/>
            </w:tcBorders>
            <w:shd w:val="clear" w:color="auto" w:fill="F0FDF4"/>
            <w:tcMar>
              <w:top w:type="dxa" w:w="80"/>
              <w:left w:type="dxa" w:w="110"/>
              <w:bottom w:type="dxa" w:w="80"/>
              <w:right w:type="dxa" w:w="110"/>
            </w:tcMar>
            <w:vAlign w:val="top"/>
          </w:tcPr>
          <w:p>
            <w:pPr>
              <w:spacing w:after="20" w:line="240"/>
            </w:pPr>
            <w:r>
              <w:rPr>
                <w:rFonts w:ascii="Calibri" w:cs="Calibri" w:eastAsia="Calibri" w:hAnsi="Calibri"/>
                <w:color w:val="15803D"/>
                <w:sz w:val="15"/>
                <w:szCs w:val="15"/>
              </w:rPr>
              <w:t xml:space="preserve">● Viable</w:t>
            </w:r>
          </w:p>
          <w:p>
            <w:pPr>
              <w:spacing w:after="20" w:line="236"/>
            </w:pPr>
            <w:r>
              <w:rPr>
                <w:color w:val="334155"/>
                <w:sz w:val="14"/>
                <w:szCs w:val="14"/>
              </w:rPr>
              <w:t xml:space="preserve">No se usa: toda la IA corre dentro de la DEP.</w:t>
            </w:r>
          </w:p>
        </w:tc>
        <w:tc>
          <w:tcPr>
            <w:tcW w:type="dxa" w:w="2510"/>
            <w:tcBorders>
              <w:top w:val="none" w:color="FFFFFF" w:sz="0"/>
              <w:left w:val="none" w:color="FFFFFF" w:sz="0"/>
              <w:bottom w:val="single" w:color="E2E8F0" w:sz="4"/>
              <w:right w:val="none" w:color="FFFFFF" w:sz="0"/>
            </w:tcBorders>
            <w:shd w:val="clear" w:color="auto" w:fill="F0FDFA"/>
            <w:tcMar>
              <w:top w:type="dxa" w:w="80"/>
              <w:left w:type="dxa" w:w="110"/>
              <w:bottom w:type="dxa" w:w="80"/>
              <w:right w:type="dxa" w:w="110"/>
            </w:tcMar>
            <w:vAlign w:val="top"/>
          </w:tcPr>
          <w:p>
            <w:pPr>
              <w:spacing w:after="20" w:line="240"/>
            </w:pPr>
            <w:r>
              <w:rPr>
                <w:rFonts w:ascii="Calibri" w:cs="Calibri" w:eastAsia="Calibri" w:hAnsi="Calibri"/>
                <w:color w:val="B45309"/>
                <w:sz w:val="15"/>
                <w:szCs w:val="15"/>
              </w:rPr>
              <w:t xml:space="preserve">● Con condiciones</w:t>
            </w:r>
          </w:p>
          <w:p>
            <w:pPr>
              <w:spacing w:after="20" w:line="236"/>
            </w:pPr>
            <w:r>
              <w:rPr>
                <w:color w:val="334155"/>
                <w:sz w:val="14"/>
                <w:szCs w:val="14"/>
              </w:rPr>
              <w:t xml:space="preserve">Solo tareas sin datos personales, con un plan que no entrena modelos con los datos de la institución.</w:t>
            </w:r>
          </w:p>
        </w:tc>
        <w:tc>
          <w:tcPr>
            <w:tcW w:type="dxa" w:w="2520"/>
            <w:tcBorders>
              <w:top w:val="none" w:color="FFFFFF" w:sz="0"/>
              <w:left w:val="none" w:color="FFFFFF" w:sz="0"/>
              <w:bottom w:val="single" w:color="E2E8F0" w:sz="4"/>
              <w:right w:val="none" w:color="FFFFFF" w:sz="0"/>
            </w:tcBorders>
            <w:shd w:val="clear" w:color="auto" w:fill="FFFBEB"/>
            <w:tcMar>
              <w:top w:type="dxa" w:w="80"/>
              <w:left w:type="dxa" w:w="110"/>
              <w:bottom w:type="dxa" w:w="80"/>
              <w:right w:type="dxa" w:w="110"/>
            </w:tcMar>
            <w:vAlign w:val="top"/>
          </w:tcPr>
          <w:p>
            <w:pPr>
              <w:spacing w:after="20" w:line="240"/>
            </w:pPr>
            <w:r>
              <w:rPr>
                <w:rFonts w:ascii="Calibri" w:cs="Calibri" w:eastAsia="Calibri" w:hAnsi="Calibri"/>
                <w:color w:val="B45309"/>
                <w:sz w:val="15"/>
                <w:szCs w:val="15"/>
              </w:rPr>
              <w:t xml:space="preserve">● Con condiciones</w:t>
            </w:r>
          </w:p>
          <w:p>
            <w:pPr>
              <w:spacing w:after="20" w:line="236"/>
            </w:pPr>
            <w:r>
              <w:rPr>
                <w:color w:val="334155"/>
                <w:sz w:val="14"/>
                <w:szCs w:val="14"/>
              </w:rPr>
              <w:t xml:space="preserve">Además, la API pasa por una pasarela que bloquea datos personales y registra lo enviado.</w:t>
            </w:r>
          </w:p>
        </w:tc>
      </w:tr>
    </w:tbl>
    <w:p>
      <w:pPr>
        <w:keepNext/>
        <w:pageBreakBefore/>
        <w:spacing w:after="60"/>
      </w:pPr>
      <w:r>
        <w:rPr>
          <w:rFonts w:ascii="Consolas" w:cs="Consolas" w:eastAsia="Consolas" w:hAnsi="Consolas"/>
          <w:b/>
          <w:bCs/>
          <w:color w:val="0D9488"/>
          <w:spacing w:val="30"/>
          <w:sz w:val="16"/>
          <w:szCs w:val="16"/>
        </w:rPr>
        <w:t xml:space="preserve">SECCIÓN 03</w:t>
      </w:r>
      <w:r>
        <w:rPr>
          <w:rFonts w:ascii="Consolas" w:cs="Consolas" w:eastAsia="Consolas" w:hAnsi="Consolas"/>
          <w:color w:val="94A3B8"/>
          <w:sz w:val="16"/>
          <w:szCs w:val="16"/>
        </w:rPr>
        <w:t xml:space="preserve">  /  cumplimiento</w:t>
      </w:r>
    </w:p>
    <w:p>
      <w:pPr>
        <w:pStyle w:val="Heading1"/>
        <w:keepNext/>
        <w:pBdr>
          <w:bottom w:val="single" w:color="E2E8F0" w:sz="6" w:space="6"/>
        </w:pBdr>
        <w:spacing w:after="160"/>
      </w:pPr>
      <w:r>
        <w:rPr>
          <w:rFonts w:ascii="Calibri" w:cs="Calibri" w:eastAsia="Calibri" w:hAnsi="Calibri"/>
          <w:b/>
          <w:bCs/>
          <w:color w:val="0F172A"/>
          <w:sz w:val="34"/>
          <w:szCs w:val="34"/>
        </w:rPr>
        <w:t xml:space="preserve">Seguridad y cumplimiento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Combinar canales no puede sumar riesgos: cada canal conserva sus propios controles.</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Mostrar los controles por canal y los que agrega el orquestador.</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Herencia de los Informes 08.1, 08.2 y 08.3 más controles de orquestación.</w:t>
            </w:r>
          </w:p>
        </w:tc>
      </w:tr>
    </w:tbl>
    <w:p>
      <w:pPr>
        <w:spacing w:after="140" w:before="0" w:line="120"/>
      </w:pP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00"/>
        <w:gridCol w:w="2900"/>
        <w:gridCol w:w="4340"/>
      </w:tblGrid>
      <w:tr>
        <w:trPr>
          <w:tblHeader/>
        </w:trPr>
        <w:tc>
          <w:tcPr>
            <w:tcW w:type="dxa" w:w="24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CANAL</w:t>
            </w:r>
          </w:p>
        </w:tc>
        <w:tc>
          <w:tcPr>
            <w:tcW w:type="dxa" w:w="29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CONDICIÓN LEGAL</w:t>
            </w:r>
          </w:p>
        </w:tc>
        <w:tc>
          <w:tcPr>
            <w:tcW w:type="dxa" w:w="43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CONTROLES HEREDADOS</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Servicio web (08.3)</w:t>
            </w:r>
          </w:p>
        </w:tc>
        <w:tc>
          <w:tcPr>
            <w:tcW w:type="dxa" w:w="2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Servicio otorgado por FONASA (DS 12/2023)</w:t>
            </w:r>
          </w:p>
        </w:tc>
        <w:tc>
          <w:tcPr>
            <w:tcW w:type="dxa" w:w="4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Credenciales de servicio, lista blanca de campos, acuse oficial</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API del PIEE (08.2)</w:t>
            </w:r>
          </w:p>
        </w:tc>
        <w:tc>
          <w:tcPr>
            <w:tcW w:type="dxa" w:w="2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Autorización de FONASA + verificación</w:t>
            </w:r>
          </w:p>
        </w:tc>
        <w:tc>
          <w:tcPr>
            <w:tcW w:type="dxa" w:w="4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Sesión del encargado, respeto del anti-CSRF, sin credenciales guardadas</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Robot asistido (08.1)</w:t>
            </w:r>
          </w:p>
        </w:tc>
        <w:tc>
          <w:tcPr>
            <w:tcW w:type="dxa" w:w="2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Autorización de FONASA</w:t>
            </w:r>
          </w:p>
        </w:tc>
        <w:tc>
          <w:tcPr>
            <w:tcW w:type="dxa" w:w="4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Sesión del encargado, sin capturas, confirmación</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Manual</w:t>
            </w:r>
          </w:p>
        </w:tc>
        <w:tc>
          <w:tcPr>
            <w:tcW w:type="dxa" w:w="2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Uso normal del portal</w:t>
            </w:r>
          </w:p>
        </w:tc>
        <w:tc>
          <w:tcPr>
            <w:tcW w:type="dxa" w:w="4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Registro del resultado en la bandeja</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Orquestador</w:t>
            </w:r>
          </w:p>
        </w:tc>
        <w:tc>
          <w:tcPr>
            <w:tcW w:type="dxa" w:w="2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Res. Ex. 733/2025 · Ley 21.459</w:t>
            </w:r>
          </w:p>
        </w:tc>
        <w:tc>
          <w:tcPr>
            <w:tcW w:type="dxa" w:w="4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Regla de respaldo seguro: nunca usar un canal no autorizado como alternativa</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Orquestador</w:t>
            </w:r>
          </w:p>
        </w:tc>
        <w:tc>
          <w:tcPr>
            <w:tcW w:type="dxa" w:w="2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Condiciones de uso · DS 12/2023</w:t>
            </w:r>
          </w:p>
        </w:tc>
        <w:tc>
          <w:tcPr>
            <w:tcW w:type="dxa" w:w="4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Activación de canales por SLEP solo con su condición cumplida</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Orquestador</w:t>
            </w:r>
          </w:p>
        </w:tc>
        <w:tc>
          <w:tcPr>
            <w:tcW w:type="dxa" w:w="2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Integridad: evitar doble envío</w:t>
            </w:r>
          </w:p>
        </w:tc>
        <w:tc>
          <w:tcPr>
            <w:tcW w:type="dxa" w:w="4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Idempotencia por folio entre todos los canales</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Orquestador</w:t>
            </w:r>
          </w:p>
        </w:tc>
        <w:tc>
          <w:tcPr>
            <w:tcW w:type="dxa" w:w="2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DS 7/2023 · trazabilidad</w:t>
            </w:r>
          </w:p>
        </w:tc>
        <w:tc>
          <w:tcPr>
            <w:tcW w:type="dxa" w:w="4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Registro de cada cambio de canal con motivo, usuario y hora</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Orquestador</w:t>
            </w:r>
          </w:p>
        </w:tc>
        <w:tc>
          <w:tcPr>
            <w:tcW w:type="dxa" w:w="2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Ley 19.628 · Ley 21.719</w:t>
            </w:r>
          </w:p>
        </w:tc>
        <w:tc>
          <w:tcPr>
            <w:tcW w:type="dxa" w:w="4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Mismo tratamiento de datos en todos los canales: sin diagnóstico, seudónimos para la IA</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Orquestador</w:t>
            </w:r>
          </w:p>
        </w:tc>
        <w:tc>
          <w:tcPr>
            <w:tcW w:type="dxa" w:w="2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Supervisión humana de decisiones asistidas por IA</w:t>
            </w:r>
          </w:p>
        </w:tc>
        <w:tc>
          <w:tcPr>
            <w:tcW w:type="dxa" w:w="4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Aprobación humana de todo envío, sea cual sea el canal</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IA en la nube</w:t>
            </w:r>
          </w:p>
        </w:tc>
        <w:tc>
          <w:tcPr>
            <w:tcW w:type="dxa" w:w="2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Ningún dato personal sale de la DEP</w:t>
            </w:r>
          </w:p>
        </w:tc>
        <w:tc>
          <w:tcPr>
            <w:tcW w:type="dxa" w:w="4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Uso limitado a tareas sin datos personales; en la propuesta avanzada, pasarela que filtra RUT, nombres y datos de salud y deja registro de lo enviado</w:t>
            </w:r>
          </w:p>
        </w:tc>
      </w:tr>
    </w:tbl>
    <w:p>
      <w:pPr>
        <w:spacing w:after="120" w:before="0" w:line="120"/>
      </w:pPr>
    </w:p>
    <w:p>
      <w:pPr>
        <w:spacing w:after="120" w:before="0" w:line="120"/>
      </w:pP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00"/>
        <w:gridCol w:w="7440"/>
      </w:tblGrid>
      <w:tr>
        <w:trPr>
          <w:tblHeader/>
        </w:trPr>
        <w:tc>
          <w:tcPr>
            <w:tcW w:type="dxa" w:w="22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RESULTADO</w:t>
            </w:r>
          </w:p>
        </w:tc>
        <w:tc>
          <w:tcPr>
            <w:tcW w:type="dxa" w:w="74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FUNDAMENTO</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8"/>
                <w:szCs w:val="18"/>
              </w:rPr>
              <w:t xml:space="preserve">● Cumple con condiciones</w:t>
            </w:r>
          </w:p>
        </w:tc>
        <w:tc>
          <w:tcPr>
            <w:tcW w:type="dxa" w:w="7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Cada canal opera solo si su condición legal está cumplida para ese SLEP. La regla de respaldo seguro impide que una falla lleve a un canal no autorizado. La evaluación de impacto cubre los cuatro canales a la vez.</w:t>
            </w:r>
          </w:p>
        </w:tc>
      </w:tr>
    </w:tbl>
    <w:p>
      <w:pPr>
        <w:spacing w:after="120" w:before="0" w:line="120"/>
      </w:pPr>
    </w:p>
    <w:p>
      <w:pPr>
        <w:keepNext/>
        <w:pageBreakBefore/>
        <w:spacing w:after="60"/>
      </w:pPr>
      <w:r>
        <w:rPr>
          <w:rFonts w:ascii="Consolas" w:cs="Consolas" w:eastAsia="Consolas" w:hAnsi="Consolas"/>
          <w:b/>
          <w:bCs/>
          <w:color w:val="0D9488"/>
          <w:spacing w:val="30"/>
          <w:sz w:val="16"/>
          <w:szCs w:val="16"/>
        </w:rPr>
        <w:t xml:space="preserve">SECCIÓN 04</w:t>
      </w:r>
      <w:r>
        <w:rPr>
          <w:rFonts w:ascii="Consolas" w:cs="Consolas" w:eastAsia="Consolas" w:hAnsi="Consolas"/>
          <w:color w:val="94A3B8"/>
          <w:sz w:val="16"/>
          <w:szCs w:val="16"/>
        </w:rPr>
        <w:t xml:space="preserve">  /  por confirmar</w:t>
      </w:r>
    </w:p>
    <w:p>
      <w:pPr>
        <w:pStyle w:val="Heading1"/>
        <w:keepNext/>
        <w:pBdr>
          <w:bottom w:val="single" w:color="E2E8F0" w:sz="6" w:space="6"/>
        </w:pBdr>
        <w:spacing w:after="160"/>
      </w:pPr>
      <w:r>
        <w:rPr>
          <w:rFonts w:ascii="Calibri" w:cs="Calibri" w:eastAsia="Calibri" w:hAnsi="Calibri"/>
          <w:b/>
          <w:bCs/>
          <w:color w:val="0F172A"/>
          <w:sz w:val="34"/>
          <w:szCs w:val="34"/>
        </w:rPr>
        <w:t xml:space="preserve">Qué hay que verificar</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El mixto hereda las verificaciones de los tres caminos y agrega las propias de la coordinación.</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Dejar la lista de comprobaciones, su método y su consecuencia.</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Ninguna heredada es bloqueante por sí sola: si una falla, el orquestador usa otro canal. Es requisito de salida del diagnóstico (sección 09 del Informe 08.4.2).</w:t>
            </w:r>
          </w:p>
        </w:tc>
      </w:tr>
    </w:tbl>
    <w:p>
      <w:pPr>
        <w:spacing w:after="140" w:before="0" w:line="120"/>
      </w:pPr>
    </w:p>
    <w:p>
      <w:pPr>
        <w:spacing w:after="140" w:before="0" w:line="276"/>
        <w:jc w:val="left"/>
      </w:pPr>
      <w:r>
        <w:rPr>
          <w:rFonts w:ascii="Calibri" w:cs="Calibri" w:eastAsia="Calibri" w:hAnsi="Calibri"/>
          <w:color w:val="334155"/>
          <w:sz w:val="19"/>
          <w:szCs w:val="19"/>
        </w:rPr>
        <w:t xml:space="preserve">El camino mixto </w:t>
      </w:r>
      <w:r>
        <w:rPr>
          <w:rFonts w:ascii="Calibri" w:cs="Calibri" w:eastAsia="Calibri" w:hAnsi="Calibri"/>
          <w:b/>
          <w:bCs/>
          <w:color w:val="0F172A"/>
          <w:sz w:val="19"/>
          <w:szCs w:val="19"/>
        </w:rPr>
        <w:t xml:space="preserve">hereda las verificaciones de los otros tres</w:t>
      </w:r>
      <w:r>
        <w:rPr>
          <w:rFonts w:ascii="Calibri" w:cs="Calibri" w:eastAsia="Calibri" w:hAnsi="Calibri"/>
          <w:color w:val="334155"/>
          <w:sz w:val="19"/>
          <w:szCs w:val="19"/>
        </w:rPr>
        <w:t xml:space="preserve">, porque los usa a todos. La diferencia es que aquí ninguna es bloqueante por sí sola: si una falla, el portal simplemente usa otro canal. Lo que sí hay que verificar es que la </w:t>
      </w:r>
      <w:r>
        <w:rPr>
          <w:rFonts w:ascii="Calibri" w:cs="Calibri" w:eastAsia="Calibri" w:hAnsi="Calibri"/>
          <w:b/>
          <w:bCs/>
          <w:color w:val="0F172A"/>
          <w:sz w:val="19"/>
          <w:szCs w:val="19"/>
        </w:rPr>
        <w:t xml:space="preserve">coordinación</w:t>
      </w:r>
      <w:r>
        <w:rPr>
          <w:rFonts w:ascii="Calibri" w:cs="Calibri" w:eastAsia="Calibri" w:hAnsi="Calibri"/>
          <w:color w:val="334155"/>
          <w:sz w:val="19"/>
          <w:szCs w:val="19"/>
        </w:rPr>
        <w:t xml:space="preserve"> entre canales funcione bien.</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00"/>
        <w:gridCol w:w="3100"/>
        <w:gridCol w:w="3200"/>
        <w:gridCol w:w="2740"/>
      </w:tblGrid>
      <w:tr>
        <w:trPr>
          <w:tblHeader/>
        </w:trPr>
        <w:tc>
          <w:tcPr>
            <w:tcW w:type="dxa" w:w="6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w:t>
            </w:r>
          </w:p>
        </w:tc>
        <w:tc>
          <w:tcPr>
            <w:tcW w:type="dxa" w:w="31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QUÉ VERIFICAR</w:t>
            </w:r>
          </w:p>
        </w:tc>
        <w:tc>
          <w:tcPr>
            <w:tcW w:type="dxa" w:w="32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CÓMO (MÉTODO)</w:t>
            </w:r>
          </w:p>
        </w:tc>
        <w:tc>
          <w:tcPr>
            <w:tcW w:type="dxa" w:w="27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SI FALLA</w:t>
            </w:r>
          </w:p>
        </w:tc>
      </w:tr>
      <w:tr>
        <w:trPr>
          <w:cantSplit/>
        </w:trPr>
        <w:tc>
          <w:tcPr>
            <w:tcW w:type="dxa" w:w="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4"/>
                <w:szCs w:val="14"/>
              </w:rPr>
              <w:t xml:space="preserve">V1</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Que FONASA otorgue el servicio oficial (canal preferido)</w:t>
            </w:r>
          </w:p>
        </w:tc>
        <w:tc>
          <w:tcPr>
            <w:tcW w:type="dxa" w:w="3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Solicitud por la Red de Interoperabilidad (08.3)</w:t>
            </w:r>
          </w:p>
        </w:tc>
        <w:tc>
          <w:tcPr>
            <w:tcW w:type="dxa" w:w="2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El orquestador usa API o robot mientras tanto</w:t>
            </w:r>
          </w:p>
        </w:tc>
      </w:tr>
      <w:tr>
        <w:trPr>
          <w:cantSplit/>
        </w:trPr>
        <w:tc>
          <w:tcPr>
            <w:tcW w:type="dxa" w:w="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4"/>
                <w:szCs w:val="14"/>
              </w:rPr>
              <w:t xml:space="preserve">V2</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Que FONASA autorice la API del PIEE y exista vía permitida</w:t>
            </w:r>
          </w:p>
        </w:tc>
        <w:tc>
          <w:tcPr>
            <w:tcW w:type="dxa" w:w="3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Oficio + verificación (08.2)</w:t>
            </w:r>
          </w:p>
        </w:tc>
        <w:tc>
          <w:tcPr>
            <w:tcW w:type="dxa" w:w="2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El orquestador usa el robot mientras tanto</w:t>
            </w:r>
          </w:p>
        </w:tc>
      </w:tr>
      <w:tr>
        <w:trPr>
          <w:cantSplit/>
        </w:trPr>
        <w:tc>
          <w:tcPr>
            <w:tcW w:type="dxa" w:w="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4"/>
                <w:szCs w:val="14"/>
              </w:rPr>
              <w:t xml:space="preserve">V3</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Que FONASA autorice el robot asistido (canal de respaldo)</w:t>
            </w:r>
          </w:p>
        </w:tc>
        <w:tc>
          <w:tcPr>
            <w:tcW w:type="dxa" w:w="3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Oficio (08.1)</w:t>
            </w:r>
          </w:p>
        </w:tc>
        <w:tc>
          <w:tcPr>
            <w:tcW w:type="dxa" w:w="2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Se parte con envío manual; el resto se automatiza</w:t>
            </w:r>
          </w:p>
        </w:tc>
      </w:tr>
      <w:tr>
        <w:trPr>
          <w:cantSplit/>
        </w:trPr>
        <w:tc>
          <w:tcPr>
            <w:tcW w:type="dxa" w:w="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4"/>
                <w:szCs w:val="14"/>
              </w:rPr>
              <w:t xml:space="preserve">V4</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Que la conmutación entre canales sea segura y nunca a uno no autorizado</w:t>
            </w:r>
          </w:p>
        </w:tc>
        <w:tc>
          <w:tcPr>
            <w:tcW w:type="dxa" w:w="3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Pruebas de conmutación (sección 08 del Informe 08.4.2, casos M)</w:t>
            </w:r>
          </w:p>
        </w:tc>
        <w:tc>
          <w:tcPr>
            <w:tcW w:type="dxa" w:w="2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Se corrige antes de producción; es la regla central</w:t>
            </w:r>
          </w:p>
        </w:tc>
      </w:tr>
      <w:tr>
        <w:trPr>
          <w:cantSplit/>
        </w:trPr>
        <w:tc>
          <w:tcPr>
            <w:tcW w:type="dxa" w:w="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4"/>
                <w:szCs w:val="14"/>
              </w:rPr>
              <w:t xml:space="preserve">V5</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Que no haya envíos duplicados al cambiar de canal</w:t>
            </w:r>
          </w:p>
        </w:tc>
        <w:tc>
          <w:tcPr>
            <w:tcW w:type="dxa" w:w="3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Prueba de idempotencia por folio entre canales</w:t>
            </w:r>
          </w:p>
        </w:tc>
        <w:tc>
          <w:tcPr>
            <w:tcW w:type="dxa" w:w="2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Se corrige antes de producción</w:t>
            </w:r>
          </w:p>
        </w:tc>
      </w:tr>
      <w:tr>
        <w:trPr>
          <w:cantSplit/>
        </w:trPr>
        <w:tc>
          <w:tcPr>
            <w:tcW w:type="dxa" w:w="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4"/>
                <w:szCs w:val="14"/>
              </w:rPr>
              <w:t xml:space="preserve">V6</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Que la activación de canales por SLEP respete su condición</w:t>
            </w:r>
          </w:p>
        </w:tc>
        <w:tc>
          <w:tcPr>
            <w:tcW w:type="dxa" w:w="3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Prueba de activación por SLEP</w:t>
            </w:r>
          </w:p>
        </w:tc>
        <w:tc>
          <w:tcPr>
            <w:tcW w:type="dxa" w:w="2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Se corrige antes de producción</w:t>
            </w:r>
          </w:p>
        </w:tc>
      </w:tr>
      <w:tr>
        <w:trPr>
          <w:cantSplit/>
        </w:trPr>
        <w:tc>
          <w:tcPr>
            <w:tcW w:type="dxa" w:w="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4"/>
                <w:szCs w:val="14"/>
              </w:rPr>
              <w:t xml:space="preserve">V7</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Origen y formato de las remuneraciones de cada SLEP</w:t>
            </w:r>
          </w:p>
        </w:tc>
        <w:tc>
          <w:tcPr>
            <w:tcW w:type="dxa" w:w="3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Levantamiento a los SLEP</w:t>
            </w:r>
          </w:p>
        </w:tc>
        <w:tc>
          <w:tcPr>
            <w:tcW w:type="dxa" w:w="2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Sin esto no se prepara la zona C</w:t>
            </w:r>
          </w:p>
        </w:tc>
      </w:tr>
      <w:tr>
        <w:trPr>
          <w:cantSplit/>
        </w:trPr>
        <w:tc>
          <w:tcPr>
            <w:tcW w:type="dxa" w:w="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4"/>
                <w:szCs w:val="14"/>
              </w:rPr>
              <w:t xml:space="preserve">V9</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Capacidad de integración del ERP del SLEP (Proexsi en el piloto): API, servicio web, archivo o solo pantalla</w:t>
            </w:r>
          </w:p>
        </w:tc>
        <w:tc>
          <w:tcPr>
            <w:tcW w:type="dxa" w:w="3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Consulta al proveedor + prueba en el SLEP piloto</w:t>
            </w:r>
          </w:p>
        </w:tc>
        <w:tc>
          <w:tcPr>
            <w:tcW w:type="dxa" w:w="2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Si solo hay pantalla, el conector del ERP se hace con robot asistido</w:t>
            </w:r>
          </w:p>
        </w:tc>
      </w:tr>
      <w:tr>
        <w:trPr>
          <w:cantSplit/>
        </w:trPr>
        <w:tc>
          <w:tcPr>
            <w:tcW w:type="dxa" w:w="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4"/>
                <w:szCs w:val="14"/>
              </w:rPr>
              <w:t xml:space="preserve">V10</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Formato de los haberes que entrega el ERP y su correspondencia con los campos de la zona C</w:t>
            </w:r>
          </w:p>
        </w:tc>
        <w:tc>
          <w:tcPr>
            <w:tcW w:type="dxa" w:w="3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Levantamiento con Remuneraciones del SLEP</w:t>
            </w:r>
          </w:p>
        </w:tc>
        <w:tc>
          <w:tcPr>
            <w:tcW w:type="dxa" w:w="2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Ajusta el mapeo; sin esto no se prellena la zona C</w:t>
            </w:r>
          </w:p>
        </w:tc>
      </w:tr>
      <w:tr>
        <w:trPr>
          <w:cantSplit/>
        </w:trPr>
        <w:tc>
          <w:tcPr>
            <w:tcW w:type="dxa" w:w="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4"/>
                <w:szCs w:val="14"/>
              </w:rPr>
              <w:t xml:space="preserve">V11</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Si el ERP acepta escritura masiva/por lote de la licencia y con qué credenciales de servicio</w:t>
            </w:r>
          </w:p>
        </w:tc>
        <w:tc>
          <w:tcPr>
            <w:tcW w:type="dxa" w:w="3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Consulta al proveedor y a TI del SLEP</w:t>
            </w:r>
          </w:p>
        </w:tc>
        <w:tc>
          <w:tcPr>
            <w:tcW w:type="dxa" w:w="2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Define si el ahorro es por lote; nunca se usan claves de personas</w:t>
            </w:r>
          </w:p>
        </w:tc>
      </w:tr>
    </w:tbl>
    <w:p>
      <w:pPr>
        <w:spacing w:after="120" w:before="0" w:line="120"/>
      </w:pP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B45309" w:sz="24"/>
              <w:bottom w:val="none" w:color="FFFFFF" w:sz="0"/>
              <w:right w:val="none" w:color="FFFFFF" w:sz="0"/>
            </w:tcBorders>
            <w:shd w:fill="FFFBEB" w:color="auto" w:val="clear"/>
            <w:tcMar>
              <w:top w:type="dxa" w:w="110"/>
              <w:left w:type="dxa" w:w="220"/>
              <w:bottom w:type="dxa" w:w="110"/>
              <w:right w:type="dxa" w:w="110"/>
            </w:tcMar>
            <w:vAlign w:val="top"/>
          </w:tcPr>
          <w:p>
            <w:pPr>
              <w:spacing w:after="60"/>
            </w:pPr>
            <w:r>
              <w:rPr>
                <w:rFonts w:ascii="Consolas" w:cs="Consolas" w:eastAsia="Consolas" w:hAnsi="Consolas"/>
                <w:b/>
                <w:bCs/>
                <w:color w:val="B45309"/>
                <w:spacing w:val="20"/>
                <w:sz w:val="15"/>
                <w:szCs w:val="15"/>
              </w:rPr>
              <w:t xml:space="preserve">REGLA DE SALIDA DEL DIAGNÓSTICO</w:t>
            </w:r>
          </w:p>
          <w:p>
            <w:pPr>
              <w:spacing w:after="50" w:line="260"/>
            </w:pPr>
            <w:r>
              <w:rPr>
                <w:color w:val="334155"/>
                <w:sz w:val="19"/>
                <w:szCs w:val="19"/>
              </w:rPr>
              <w:t xml:space="preserve">Las tres gestiones con FONASA (V1–V3) se ingresan el </w:t>
            </w:r>
            <w:r>
              <w:rPr>
                <w:b/>
                <w:bCs/>
                <w:color w:val="0F172A"/>
                <w:sz w:val="19"/>
                <w:szCs w:val="19"/>
              </w:rPr>
              <w:t xml:space="preserve">primer día</w:t>
            </w:r>
            <w:r>
              <w:rPr>
                <w:color w:val="334155"/>
                <w:sz w:val="19"/>
                <w:szCs w:val="19"/>
              </w:rPr>
              <w:t xml:space="preserve">. La construcción empieza con el canal que esté disponible —normalmente el robot— y los demás se incorporan al habilitarse. Lo propio del mixto (V4–V6) se prueba antes de producción: la </w:t>
            </w:r>
            <w:r>
              <w:rPr>
                <w:b/>
                <w:bCs/>
                <w:color w:val="0F172A"/>
                <w:sz w:val="19"/>
                <w:szCs w:val="19"/>
              </w:rPr>
              <w:t xml:space="preserve">conmutación segura</w:t>
            </w:r>
            <w:r>
              <w:rPr>
                <w:color w:val="334155"/>
                <w:sz w:val="19"/>
                <w:szCs w:val="19"/>
              </w:rPr>
              <w:t xml:space="preserve"> y la </w:t>
            </w:r>
            <w:r>
              <w:rPr>
                <w:b/>
                <w:bCs/>
                <w:color w:val="0F172A"/>
                <w:sz w:val="19"/>
                <w:szCs w:val="19"/>
              </w:rPr>
              <w:t xml:space="preserve">idempotencia</w:t>
            </w:r>
            <w:r>
              <w:rPr>
                <w:color w:val="334155"/>
                <w:sz w:val="19"/>
                <w:szCs w:val="19"/>
              </w:rPr>
              <w:t xml:space="preserve"> son condición de aceptación, no opcionales.</w:t>
            </w:r>
          </w:p>
        </w:tc>
      </w:tr>
    </w:tbl>
    <w:p>
      <w:pPr>
        <w:spacing w:after="140" w:before="0" w:line="120"/>
      </w:pPr>
    </w:p>
    <w:p>
      <w:pPr>
        <w:keepNext/>
        <w:pageBreakBefore/>
        <w:spacing w:after="60"/>
      </w:pPr>
      <w:r>
        <w:rPr>
          <w:rFonts w:ascii="Consolas" w:cs="Consolas" w:eastAsia="Consolas" w:hAnsi="Consolas"/>
          <w:b/>
          <w:bCs/>
          <w:color w:val="0D9488"/>
          <w:spacing w:val="30"/>
          <w:sz w:val="16"/>
          <w:szCs w:val="16"/>
        </w:rPr>
        <w:t xml:space="preserve">SECCIÓN 05</w:t>
      </w:r>
      <w:r>
        <w:rPr>
          <w:rFonts w:ascii="Consolas" w:cs="Consolas" w:eastAsia="Consolas" w:hAnsi="Consolas"/>
          <w:color w:val="94A3B8"/>
          <w:sz w:val="16"/>
          <w:szCs w:val="16"/>
        </w:rPr>
        <w:t xml:space="preserve">  /  cierre</w:t>
      </w:r>
    </w:p>
    <w:p>
      <w:pPr>
        <w:pStyle w:val="Heading1"/>
        <w:keepNext/>
        <w:pBdr>
          <w:bottom w:val="single" w:color="E2E8F0" w:sz="6" w:space="6"/>
        </w:pBdr>
        <w:spacing w:after="160"/>
      </w:pPr>
      <w:r>
        <w:rPr>
          <w:rFonts w:ascii="Calibri" w:cs="Calibri" w:eastAsia="Calibri" w:hAnsi="Calibri"/>
          <w:b/>
          <w:bCs/>
          <w:color w:val="0F172A"/>
          <w:sz w:val="34"/>
          <w:szCs w:val="34"/>
        </w:rPr>
        <w:t xml:space="preserve">Conclusión y requisitos para avanzar</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En el sector público, un desarrollo solo es viable si tiene base legal: el Estado hace únicamente lo que la ley le permite.</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Explicar por qué el marco legal condiciona el camino mixto en la DEP y en los SLEP, y qué falta para avanzar.</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Principios del sector público, relación DEP–SLEP y requisitos con su responsable y estado.</w:t>
            </w:r>
          </w:p>
        </w:tc>
      </w:tr>
    </w:tbl>
    <w:p>
      <w:pPr>
        <w:spacing w:after="140" w:before="0" w:line="120"/>
      </w:pPr>
    </w:p>
    <w:p>
      <w:pPr>
        <w:spacing w:after="140" w:before="0" w:line="276"/>
        <w:jc w:val="left"/>
      </w:pPr>
      <w:r>
        <w:rPr>
          <w:rFonts w:ascii="Calibri" w:cs="Calibri" w:eastAsia="Calibri" w:hAnsi="Calibri"/>
          <w:color w:val="334155"/>
          <w:sz w:val="20"/>
          <w:szCs w:val="20"/>
        </w:rPr>
        <w:t xml:space="preserve">En una institución pública, el marco legal no es un trámite posterior al desarrollo: lo define. Por el </w:t>
      </w:r>
      <w:r>
        <w:rPr>
          <w:rFonts w:ascii="Calibri" w:cs="Calibri" w:eastAsia="Calibri" w:hAnsi="Calibri"/>
          <w:b/>
          <w:bCs/>
          <w:color w:val="0F172A"/>
          <w:sz w:val="20"/>
          <w:szCs w:val="20"/>
        </w:rPr>
        <w:t xml:space="preserve">principio de legalidad</w:t>
      </w:r>
      <w:r>
        <w:rPr>
          <w:rFonts w:ascii="Calibri" w:cs="Calibri" w:eastAsia="Calibri" w:hAnsi="Calibri"/>
          <w:color w:val="334155"/>
          <w:sz w:val="20"/>
          <w:szCs w:val="20"/>
        </w:rPr>
        <w:t xml:space="preserve"> (artículos 6 y 7 de la Constitución), los órganos del Estado solo actúan dentro de su competencia y en la forma que fija la ley. Por eso cada tratamiento de datos, cada uso de un portal de terceros y cada compra deben tener fundamento </w:t>
      </w:r>
      <w:r>
        <w:rPr>
          <w:rFonts w:ascii="Calibri" w:cs="Calibri" w:eastAsia="Calibri" w:hAnsi="Calibri"/>
          <w:b/>
          <w:bCs/>
          <w:color w:val="0F172A"/>
          <w:sz w:val="20"/>
          <w:szCs w:val="20"/>
        </w:rPr>
        <w:t xml:space="preserve">antes</w:t>
      </w:r>
      <w:r>
        <w:rPr>
          <w:rFonts w:ascii="Calibri" w:cs="Calibri" w:eastAsia="Calibri" w:hAnsi="Calibri"/>
          <w:color w:val="334155"/>
          <w:sz w:val="20"/>
          <w:szCs w:val="20"/>
        </w:rPr>
        <w:t xml:space="preserve"> de construir, no después.</w:t>
      </w:r>
    </w:p>
    <w:p>
      <w:pPr>
        <w:spacing w:after="140" w:before="0" w:line="276"/>
        <w:jc w:val="left"/>
      </w:pPr>
      <w:r>
        <w:rPr>
          <w:rFonts w:ascii="Calibri" w:cs="Calibri" w:eastAsia="Calibri" w:hAnsi="Calibri"/>
          <w:color w:val="334155"/>
          <w:sz w:val="20"/>
          <w:szCs w:val="20"/>
        </w:rPr>
        <w:t xml:space="preserve">La DEP </w:t>
      </w:r>
      <w:r>
        <w:rPr>
          <w:rFonts w:ascii="Calibri" w:cs="Calibri" w:eastAsia="Calibri" w:hAnsi="Calibri"/>
          <w:b/>
          <w:bCs/>
          <w:color w:val="0F172A"/>
          <w:sz w:val="20"/>
          <w:szCs w:val="20"/>
        </w:rPr>
        <w:t xml:space="preserve">coordina y apoya</w:t>
      </w:r>
      <w:r>
        <w:rPr>
          <w:rFonts w:ascii="Calibri" w:cs="Calibri" w:eastAsia="Calibri" w:hAnsi="Calibri"/>
          <w:color w:val="334155"/>
          <w:sz w:val="20"/>
          <w:szCs w:val="20"/>
        </w:rPr>
        <w:t xml:space="preserve">, pero no reemplaza a los SLEP: cada Servicio Local de Educación Pública es un servicio público descentralizado, con personalidad jurídica y patrimonio propios (Ley 21.040), y es el </w:t>
      </w:r>
      <w:r>
        <w:rPr>
          <w:rFonts w:ascii="Calibri" w:cs="Calibri" w:eastAsia="Calibri" w:hAnsi="Calibri"/>
          <w:b/>
          <w:bCs/>
          <w:color w:val="0F172A"/>
          <w:sz w:val="20"/>
          <w:szCs w:val="20"/>
        </w:rPr>
        <w:t xml:space="preserve">empleador</w:t>
      </w:r>
      <w:r>
        <w:rPr>
          <w:rFonts w:ascii="Calibri" w:cs="Calibri" w:eastAsia="Calibri" w:hAnsi="Calibri"/>
          <w:color w:val="334155"/>
          <w:sz w:val="20"/>
          <w:szCs w:val="20"/>
        </w:rPr>
        <w:t xml:space="preserve"> de su personal. Es cada SLEP —no la DEP— quien tramita las licencias de sus trabajadores, responde por esos datos ante FONASA y decide adoptar la solución. GDP-SLEP Studio entrega la herramienta y las reglas comunes; si los datos pasan por servidores de la DEP, esa relación debe formalizarse con cada SLEP.</w:t>
      </w:r>
    </w:p>
    <w:p>
      <w:pPr>
        <w:spacing w:after="140" w:before="0" w:line="276"/>
        <w:jc w:val="left"/>
      </w:pPr>
      <w:r>
        <w:rPr>
          <w:rFonts w:ascii="Calibri" w:cs="Calibri" w:eastAsia="Calibri" w:hAnsi="Calibri"/>
          <w:color w:val="334155"/>
          <w:sz w:val="20"/>
          <w:szCs w:val="20"/>
        </w:rPr>
        <w:t xml:space="preserve">El mixto </w:t>
      </w:r>
      <w:r>
        <w:rPr>
          <w:rFonts w:ascii="Calibri" w:cs="Calibri" w:eastAsia="Calibri" w:hAnsi="Calibri"/>
          <w:b/>
          <w:bCs/>
          <w:color w:val="0F172A"/>
          <w:sz w:val="20"/>
          <w:szCs w:val="20"/>
        </w:rPr>
        <w:t xml:space="preserve">hereda las condiciones legales</w:t>
      </w:r>
      <w:r>
        <w:rPr>
          <w:rFonts w:ascii="Calibri" w:cs="Calibri" w:eastAsia="Calibri" w:hAnsi="Calibri"/>
          <w:color w:val="334155"/>
          <w:sz w:val="20"/>
          <w:szCs w:val="20"/>
        </w:rPr>
        <w:t xml:space="preserve"> de los caminos 08.1, 08.2 y 08.3 en proporción a cuánto usa cada uno, pero </w:t>
      </w:r>
      <w:r>
        <w:rPr>
          <w:rFonts w:ascii="Calibri" w:cs="Calibri" w:eastAsia="Calibri" w:hAnsi="Calibri"/>
          <w:b/>
          <w:bCs/>
          <w:color w:val="0F172A"/>
          <w:sz w:val="20"/>
          <w:szCs w:val="20"/>
        </w:rPr>
        <w:t xml:space="preserve">no depende de que se cumplan todas</w:t>
      </w:r>
      <w:r>
        <w:rPr>
          <w:rFonts w:ascii="Calibri" w:cs="Calibri" w:eastAsia="Calibri" w:hAnsi="Calibri"/>
          <w:color w:val="334155"/>
          <w:sz w:val="20"/>
          <w:szCs w:val="20"/>
        </w:rPr>
        <w:t xml:space="preserve">: arranca con el canal autorizado disponible y suma los demás a medida que FONASA los habilita. Su exigencia propia es mantener la </w:t>
      </w:r>
      <w:r>
        <w:rPr>
          <w:rFonts w:ascii="Calibri" w:cs="Calibri" w:eastAsia="Calibri" w:hAnsi="Calibri"/>
          <w:b/>
          <w:bCs/>
          <w:color w:val="0F172A"/>
          <w:sz w:val="20"/>
          <w:szCs w:val="20"/>
        </w:rPr>
        <w:t xml:space="preserve">regla de respaldo seguro</w:t>
      </w:r>
      <w:r>
        <w:rPr>
          <w:rFonts w:ascii="Calibri" w:cs="Calibri" w:eastAsia="Calibri" w:hAnsi="Calibri"/>
          <w:color w:val="334155"/>
          <w:sz w:val="20"/>
          <w:szCs w:val="20"/>
        </w:rPr>
        <w:t xml:space="preserve"> codificada y probada, y documentar el orquestador para que no dependa de una sola persona.</w:t>
      </w:r>
    </w:p>
    <w:p>
      <w:pPr>
        <w:pStyle w:val="Heading3"/>
        <w:keepNext/>
        <w:spacing w:after="80" w:before="180"/>
      </w:pPr>
      <w:r>
        <w:rPr>
          <w:rFonts w:ascii="Calibri" w:cs="Calibri" w:eastAsia="Calibri" w:hAnsi="Calibri"/>
          <w:b/>
          <w:bCs/>
          <w:color w:val="0F766E"/>
          <w:sz w:val="22"/>
          <w:szCs w:val="22"/>
        </w:rPr>
        <w:t xml:space="preserve">Requisitos para iniciar la construcción</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00"/>
        <w:gridCol w:w="5000"/>
        <w:gridCol w:w="2000"/>
        <w:gridCol w:w="2040"/>
      </w:tblGrid>
      <w:tr>
        <w:trPr>
          <w:tblHeader/>
        </w:trPr>
        <w:tc>
          <w:tcPr>
            <w:tcW w:type="dxa" w:w="6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w:t>
            </w:r>
          </w:p>
        </w:tc>
        <w:tc>
          <w:tcPr>
            <w:tcW w:type="dxa" w:w="50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REQUISITO</w:t>
            </w:r>
          </w:p>
        </w:tc>
        <w:tc>
          <w:tcPr>
            <w:tcW w:type="dxa" w:w="20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RESPONSABLE</w:t>
            </w:r>
          </w:p>
        </w:tc>
        <w:tc>
          <w:tcPr>
            <w:tcW w:type="dxa" w:w="20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ESTADO AL 29-OCT</w:t>
            </w:r>
          </w:p>
        </w:tc>
      </w:tr>
      <w:tr>
        <w:trPr>
          <w:cantSplit/>
        </w:trPr>
        <w:tc>
          <w:tcPr>
            <w:tcW w:type="dxa" w:w="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1</w:t>
            </w:r>
          </w:p>
        </w:tc>
        <w:tc>
          <w:tcPr>
            <w:tcW w:type="dxa" w:w="5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Elección de camino y propuesta (anexo comparativo)</w:t>
            </w:r>
          </w:p>
        </w:tc>
        <w:tc>
          <w:tcPr>
            <w:tcW w:type="dxa" w:w="2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Jefatura</w:t>
            </w:r>
          </w:p>
        </w:tc>
        <w:tc>
          <w:tcPr>
            <w:tcW w:type="dxa" w:w="2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5"/>
                <w:szCs w:val="15"/>
              </w:rPr>
              <w:t xml:space="preserve">● 30 de octubre</w:t>
            </w:r>
          </w:p>
        </w:tc>
      </w:tr>
      <w:tr>
        <w:trPr>
          <w:cantSplit/>
        </w:trPr>
        <w:tc>
          <w:tcPr>
            <w:tcW w:type="dxa" w:w="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2</w:t>
            </w:r>
          </w:p>
        </w:tc>
        <w:tc>
          <w:tcPr>
            <w:tcW w:type="dxa" w:w="5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Gestiones con FONASA por los tres canales</w:t>
            </w:r>
          </w:p>
        </w:tc>
        <w:tc>
          <w:tcPr>
            <w:tcW w:type="dxa" w:w="2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Jefatura / DEP</w:t>
            </w:r>
          </w:p>
        </w:tc>
        <w:tc>
          <w:tcPr>
            <w:tcW w:type="dxa" w:w="2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5"/>
                <w:szCs w:val="15"/>
              </w:rPr>
              <w:t xml:space="preserve">● Ingresadas</w:t>
            </w:r>
          </w:p>
        </w:tc>
      </w:tr>
      <w:tr>
        <w:trPr>
          <w:cantSplit/>
        </w:trPr>
        <w:tc>
          <w:tcPr>
            <w:tcW w:type="dxa" w:w="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3</w:t>
            </w:r>
          </w:p>
        </w:tc>
        <w:tc>
          <w:tcPr>
            <w:tcW w:type="dxa" w:w="5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Evaluación de impacto de los cuatro canales</w:t>
            </w:r>
          </w:p>
        </w:tc>
        <w:tc>
          <w:tcPr>
            <w:tcW w:type="dxa" w:w="2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GDP-SLEP con TI</w:t>
            </w:r>
          </w:p>
        </w:tc>
        <w:tc>
          <w:tcPr>
            <w:tcW w:type="dxa" w:w="2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5"/>
                <w:szCs w:val="15"/>
              </w:rPr>
              <w:t xml:space="preserve">● En curso</w:t>
            </w:r>
          </w:p>
        </w:tc>
      </w:tr>
      <w:tr>
        <w:trPr>
          <w:cantSplit/>
        </w:trPr>
        <w:tc>
          <w:tcPr>
            <w:tcW w:type="dxa" w:w="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4</w:t>
            </w:r>
          </w:p>
        </w:tc>
        <w:tc>
          <w:tcPr>
            <w:tcW w:type="dxa" w:w="5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Máquina virtual en el servidor de TI</w:t>
            </w:r>
          </w:p>
        </w:tc>
        <w:tc>
          <w:tcPr>
            <w:tcW w:type="dxa" w:w="2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TI</w:t>
            </w:r>
          </w:p>
        </w:tc>
        <w:tc>
          <w:tcPr>
            <w:tcW w:type="dxa" w:w="2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5"/>
                <w:szCs w:val="15"/>
              </w:rPr>
              <w:t xml:space="preserve">● Por solicitar</w:t>
            </w:r>
          </w:p>
        </w:tc>
      </w:tr>
      <w:tr>
        <w:trPr>
          <w:cantSplit/>
        </w:trPr>
        <w:tc>
          <w:tcPr>
            <w:tcW w:type="dxa" w:w="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5</w:t>
            </w:r>
          </w:p>
        </w:tc>
        <w:tc>
          <w:tcPr>
            <w:tcW w:type="dxa" w:w="5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SLEP piloto, encargado y planilla estándar</w:t>
            </w:r>
          </w:p>
        </w:tc>
        <w:tc>
          <w:tcPr>
            <w:tcW w:type="dxa" w:w="2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Jefatura · SLEP</w:t>
            </w:r>
          </w:p>
        </w:tc>
        <w:tc>
          <w:tcPr>
            <w:tcW w:type="dxa" w:w="2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5"/>
                <w:szCs w:val="15"/>
              </w:rPr>
              <w:t xml:space="preserve">● Por confirmar</w:t>
            </w:r>
          </w:p>
        </w:tc>
      </w:tr>
      <w:tr>
        <w:trPr>
          <w:cantSplit/>
        </w:trPr>
        <w:tc>
          <w:tcPr>
            <w:tcW w:type="dxa" w:w="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6</w:t>
            </w:r>
          </w:p>
        </w:tc>
        <w:tc>
          <w:tcPr>
            <w:tcW w:type="dxa" w:w="5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Cesión de derechos del código (robot y orquestador)</w:t>
            </w:r>
          </w:p>
        </w:tc>
        <w:tc>
          <w:tcPr>
            <w:tcW w:type="dxa" w:w="2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Jurídica · TI</w:t>
            </w:r>
          </w:p>
        </w:tc>
        <w:tc>
          <w:tcPr>
            <w:tcW w:type="dxa" w:w="2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5"/>
                <w:szCs w:val="15"/>
              </w:rPr>
              <w:t xml:space="preserve">● Por formalizar</w:t>
            </w:r>
          </w:p>
        </w:tc>
      </w:tr>
    </w:tbl>
    <w:p>
      <w:pPr>
        <w:spacing w:after="120" w:before="0" w:line="120"/>
      </w:pP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0D9488" w:sz="24"/>
              <w:bottom w:val="none" w:color="FFFFFF" w:sz="0"/>
              <w:right w:val="none" w:color="FFFFFF" w:sz="0"/>
            </w:tcBorders>
            <w:shd w:fill="F0FDFA" w:color="auto" w:val="clear"/>
            <w:tcMar>
              <w:top w:type="dxa" w:w="110"/>
              <w:left w:type="dxa" w:w="220"/>
              <w:bottom w:type="dxa" w:w="110"/>
              <w:right w:type="dxa" w:w="110"/>
            </w:tcMar>
            <w:vAlign w:val="top"/>
          </w:tcPr>
          <w:p>
            <w:pPr>
              <w:spacing w:after="60"/>
            </w:pPr>
            <w:r>
              <w:rPr>
                <w:rFonts w:ascii="Consolas" w:cs="Consolas" w:eastAsia="Consolas" w:hAnsi="Consolas"/>
                <w:b/>
                <w:bCs/>
                <w:color w:val="0D9488"/>
                <w:spacing w:val="20"/>
                <w:sz w:val="15"/>
                <w:szCs w:val="15"/>
              </w:rPr>
              <w:t xml:space="preserve">RECOMENDACIÓN</w:t>
            </w:r>
          </w:p>
          <w:p>
            <w:pPr>
              <w:spacing w:after="50" w:line="260"/>
            </w:pPr>
            <w:r>
              <w:rPr>
                <w:color w:val="334155"/>
                <w:sz w:val="19"/>
                <w:szCs w:val="19"/>
              </w:rPr>
              <w:t xml:space="preserve">Antes de construir: base legal para cada tratamiento, acuerdo de cada SLEP que adopte la solución y, si la DEP aloja datos, la formalización de ese encargo. Mantener las gestiones con FONASA por los tres canales, completar la evaluación de impacto de los cuatro canales y formalizar la cesión de derechos del código. Con eso, </w:t>
            </w:r>
            <w:r>
              <w:rPr>
                <w:b/>
                <w:bCs/>
                <w:color w:val="0F172A"/>
                <w:sz w:val="19"/>
                <w:szCs w:val="19"/>
              </w:rPr>
              <w:t xml:space="preserve">MIX1 (costo cero)</w:t>
            </w:r>
            <w:r>
              <w:rPr>
                <w:color w:val="334155"/>
                <w:sz w:val="19"/>
                <w:szCs w:val="19"/>
              </w:rPr>
              <w:t xml:space="preserve"> puede iniciar el piloto con el canal que esté autorizado.</w:t>
            </w:r>
          </w:p>
        </w:tc>
      </w:tr>
    </w:tbl>
    <w:sectPr>
      <w:headerReference w:type="default" r:id="rId7"/>
      <w:headerReference w:type="first" r:id="rId8"/>
      <w:footerReference w:type="default" r:id="rId9"/>
      <w:footerReference w:type="first" r:id="rId10"/>
      <w:pgSz w:w="12240" w:h="15840" w:orient="portrait"/>
      <w:pgMar w:top="1250" w:right="1300" w:bottom="1150" w:left="1300" w:header="60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40"/>
      </w:tabs>
    </w:pPr>
    <w:r>
      <w:rPr>
        <w:rFonts w:ascii="Calibri" w:cs="Calibri" w:eastAsia="Calibri" w:hAnsi="Calibri"/>
        <w:color w:val="94A3B8"/>
        <w:sz w:val="14"/>
        <w:szCs w:val="14"/>
      </w:rPr>
      <w:t xml:space="preserve">DEP · Subdepartamento GDP-SLEP · Uso interno</w:t>
    </w:r>
    <w:r>
      <w:rPr>
        <w:rFonts w:ascii="Consolas" w:cs="Consolas" w:eastAsia="Consolas" w:hAnsi="Consolas"/>
        <w:color w:val="94A3B8"/>
        <w:sz w:val="14"/>
        <w:szCs w:val="14"/>
      </w:rPr>
      <w:t xml:space="preserve">	pág. </w:t>
    </w:r>
    <w:r>
      <w:rPr>
        <w:rFonts w:ascii="Consolas" w:cs="Consolas" w:eastAsia="Consolas" w:hAnsi="Consolas"/>
        <w:b/>
        <w:bCs/>
        <w:color w:val="0F172A"/>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6"/>
      </w:pBdr>
      <w:tabs>
        <w:tab w:val="right" w:pos="9640"/>
      </w:tabs>
    </w:pPr>
    <w:r>
      <w:rPr>
        <w:rFonts w:ascii="Consolas" w:cs="Consolas" w:eastAsia="Consolas" w:hAnsi="Consolas"/>
        <w:b/>
        <w:bCs/>
        <w:color w:val="0D9488"/>
        <w:spacing w:val="20"/>
        <w:sz w:val="14"/>
        <w:szCs w:val="14"/>
      </w:rPr>
      <w:t xml:space="preserve">GDP - SLEP STUDIO</w:t>
    </w:r>
    <w:r>
      <w:rPr>
        <w:rFonts w:ascii="Consolas" w:cs="Consolas" w:eastAsia="Consolas" w:hAnsi="Consolas"/>
        <w:color w:val="94A3B8"/>
        <w:spacing w:val="10"/>
        <w:sz w:val="14"/>
        <w:szCs w:val="14"/>
      </w:rPr>
      <w:t xml:space="preserve">	INFORME 08.4.1  ·  CAMINO MIXTO · MARCO LEGAL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0D9488"/>
      </w:rPr>
    </w:lvl>
  </w:abstractNum>
  <w:abstractNum w:abstractNumId="3" w15:restartNumberingAfterBreak="0">
    <w:multiLevelType w:val="hybridMultilevel"/>
    <w:lvl w:ilvl="0" w15:tentative="1">
      <w:start w:val="1"/>
      <w:numFmt w:val="decimal"/>
      <w:lvlText w:val="%1."/>
      <w:lvlJc w:val="left"/>
      <w:pPr>
        <w:ind w:left="440" w:hanging="300"/>
      </w:pPr>
      <w:rPr>
        <w:b/>
        <w:bCs/>
        <w:color w:val="0D9488"/>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outlineLvl w:val="0"/>
    </w:pPr>
    <w:rPr>
      <w:rFonts w:ascii="Calibri" w:cs="Calibri" w:eastAsia="Calibri" w:hAnsi="Calibri"/>
      <w:b/>
      <w:bCs/>
      <w:color w:val="0F172A"/>
      <w:sz w:val="34"/>
      <w:szCs w:val="34"/>
    </w:rPr>
  </w:style>
  <w:style w:type="paragraph" w:styleId="Heading2">
    <w:name w:val="Heading 2"/>
    <w:basedOn w:val="Normal"/>
    <w:next w:val="Normal"/>
    <w:qFormat/>
    <w:pPr>
      <w:outlineLvl w:val="1"/>
    </w:pPr>
    <w:rPr>
      <w:rFonts w:ascii="Calibri" w:cs="Calibri" w:eastAsia="Calibri" w:hAnsi="Calibri"/>
      <w:b/>
      <w:bCs/>
      <w:color w:val="0F172A"/>
      <w:sz w:val="25"/>
      <w:szCs w:val="25"/>
    </w:rPr>
  </w:style>
  <w:style w:type="paragraph" w:styleId="Heading3">
    <w:name w:val="Heading 3"/>
    <w:basedOn w:val="Normal"/>
    <w:next w:val="Normal"/>
    <w:qFormat/>
    <w:pPr>
      <w:outlineLvl w:val="2"/>
    </w:pPr>
    <w:rPr>
      <w:rFonts w:ascii="Calibri" w:cs="Calibri" w:eastAsia="Calibri" w:hAnsi="Calibri"/>
      <w:b/>
      <w:bCs/>
      <w:color w:val="0F76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08.4.1 — Camino mixto · marco legal</dc:title>
  <dc:subject>GDP-SLEP Studio</dc:subject>
  <dc:creator>César Torres</dc:creator>
  <cp:lastModifiedBy>Un-named</cp:lastModifiedBy>
  <cp:revision>1</cp:revision>
  <dcterms:created xsi:type="dcterms:W3CDTF">2026-10-06T00:05:07.508Z</dcterms:created>
  <dcterms:modified xsi:type="dcterms:W3CDTF">2026-10-06T00:05:07.508Z</dcterms:modified>
</cp:coreProperties>
</file>

<file path=docProps/custom.xml><?xml version="1.0" encoding="utf-8"?>
<Properties xmlns="http://schemas.openxmlformats.org/officeDocument/2006/custom-properties" xmlns:vt="http://schemas.openxmlformats.org/officeDocument/2006/docPropsVTypes"/>
</file>