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onsolas" w:hAnsi="Consolas" w:eastAsia="Consolas" w:cs="Consolas"/>
          <w:color w:val="0D9488"/>
          <w:sz w:val="18"/>
          <w:szCs w:val="18"/>
        </w:rPr>
        <w:t xml:space="preserve">&gt; gdp-slep-studio / marco-legal / licencias</w:t>
      </w:r>
    </w:p>
    <w:p>
      <w:pPr>
        <w:spacing w:after="240"/>
      </w:pPr>
      <w:r>
        <w:rPr>
          <w:rFonts w:ascii="Consolas" w:hAnsi="Consolas" w:eastAsia="Consolas" w:cs="Consolas"/>
          <w:b/>
          <w:bCs/>
          <w:color w:val="64748B"/>
          <w:spacing w:val="40"/>
          <w:sz w:val="18"/>
          <w:szCs w:val="18"/>
        </w:rPr>
        <w:t xml:space="preserve">INFORME 00.1  ·  ANEXO DEL INFORME 00  ·  SERIE GDP-SLEP STUDIO</w:t>
      </w:r>
    </w:p>
    <w:p>
      <w:pPr>
        <w:spacing w:after="0"/>
      </w:pPr>
      <w:r>
        <w:rPr>
          <w:rFonts w:ascii="Calibri" w:hAnsi="Calibri" w:eastAsia="Calibri" w:cs="Calibri"/>
          <w:b/>
          <w:bCs/>
          <w:color w:val="0F172A"/>
          <w:sz w:val="80"/>
          <w:szCs w:val="80"/>
        </w:rPr>
        <w:t xml:space="preserve">Marco Legal</w:t>
      </w:r>
    </w:p>
    <w:p>
      <w:pPr>
        <w:spacing w:after="220"/>
      </w:pPr>
      <w:r>
        <w:rPr>
          <w:rFonts w:ascii="Calibri" w:hAnsi="Calibri" w:eastAsia="Calibri" w:cs="Calibri"/>
          <w:b/>
          <w:bCs/>
          <w:color w:val="0F172A"/>
          <w:sz w:val="80"/>
          <w:szCs w:val="80"/>
        </w:rPr>
        <w:t xml:space="preserve">Licencias Médicas</w:t>
      </w:r>
    </w:p>
    <w:p>
      <w:pPr>
        <w:pBdr>
          <w:bottom w:val="single" w:sz="24" w:space="1" w:color="0D9488"/>
        </w:pBdr>
        <w:spacing w:after="300"/>
        <w:ind w:right="8340"/>
      </w:pPr>
    </w:p>
    <w:p>
      <w:pPr>
        <w:spacing w:after="120"/>
      </w:pPr>
      <w:r>
        <w:rPr>
          <w:rFonts w:ascii="Calibri" w:hAnsi="Calibri" w:eastAsia="Calibri" w:cs="Calibri"/>
          <w:color w:val="0D9488"/>
          <w:sz w:val="30"/>
          <w:szCs w:val="30"/>
        </w:rPr>
        <w:t xml:space="preserve">Normas que rigen el proyecto de automatización de licencias médicas</w:t>
      </w:r>
    </w:p>
    <w:p>
      <w:pPr>
        <w:spacing w:after="1000" w:line="290"/>
      </w:pPr>
      <w:r>
        <w:rPr>
          <w:rFonts w:ascii="Calibri" w:hAnsi="Calibri" w:eastAsia="Calibri" w:cs="Calibri"/>
          <w:color w:val="64748B"/>
          <w:sz w:val="20"/>
          <w:szCs w:val="20"/>
        </w:rPr>
        <w:t xml:space="preserve">Inventario agrupado de leyes, decretos, resoluciones, circulares, dictámenes, guías técnicas y proyectos en trámite, con una explicación breve de cada norma y de por qué el proyecto la necesita.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600"/>
        <w:gridCol w:w="7040"/>
      </w:tblGrid>
      <w:tr>
        <w:trPr/>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vAlign w:val="top"/>
          </w:tcPr>
          <w:p>
            <w:pPr>
              <w:spacing w:after="0"/>
            </w:pPr>
            <w:r>
              <w:rPr>
                <w:rFonts w:ascii="Consolas" w:hAnsi="Consolas" w:eastAsia="Consolas" w:cs="Consolas"/>
                <w:b/>
                <w:bCs/>
                <w:color w:val="64748B"/>
                <w:spacing w:val="20"/>
                <w:sz w:val="15"/>
                <w:szCs w:val="15"/>
              </w:rPr>
              <w:t xml:space="preserve">ORGANIZACIÓN</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vAlign w:val="top"/>
          </w:tcPr>
          <w:p>
            <w:pPr>
              <w:spacing w:after="0"/>
            </w:pPr>
            <w:r>
              <w:rPr>
                <w:color w:val="0F172A"/>
                <w:sz w:val="19"/>
                <w:szCs w:val="19"/>
              </w:rPr>
              <w:t xml:space="preserve">Dirección de Educación Pública (DEP)</w:t>
            </w:r>
          </w:p>
        </w:tc>
      </w:tr>
      <w:tr>
        <w:trPr/>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vAlign w:val="top"/>
          </w:tcPr>
          <w:p>
            <w:pPr>
              <w:spacing w:after="0"/>
            </w:pPr>
            <w:r>
              <w:rPr>
                <w:rFonts w:ascii="Consolas" w:hAnsi="Consolas" w:eastAsia="Consolas" w:cs="Consolas"/>
                <w:b/>
                <w:bCs/>
                <w:color w:val="64748B"/>
                <w:spacing w:val="20"/>
                <w:sz w:val="15"/>
                <w:szCs w:val="15"/>
              </w:rPr>
              <w:t xml:space="preserve">UNIDAD</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vAlign w:val="top"/>
          </w:tcPr>
          <w:p>
            <w:pPr>
              <w:spacing w:after="0"/>
            </w:pPr>
            <w:r>
              <w:rPr>
                <w:color w:val="0F172A"/>
                <w:sz w:val="19"/>
                <w:szCs w:val="19"/>
              </w:rPr>
              <w:t xml:space="preserve">Subdepartamento de Gestión y Desarrollo de Personas para los SLEP (GDP-SLEP)</w:t>
            </w:r>
          </w:p>
        </w:tc>
      </w:tr>
      <w:tr>
        <w:trPr/>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vAlign w:val="top"/>
          </w:tcPr>
          <w:p>
            <w:pPr>
              <w:spacing w:after="0"/>
            </w:pPr>
            <w:r>
              <w:rPr>
                <w:rFonts w:ascii="Consolas" w:hAnsi="Consolas" w:eastAsia="Consolas" w:cs="Consolas"/>
                <w:b/>
                <w:bCs/>
                <w:color w:val="64748B"/>
                <w:spacing w:val="20"/>
                <w:sz w:val="15"/>
                <w:szCs w:val="15"/>
              </w:rPr>
              <w:t xml:space="preserve">PROYECTO</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vAlign w:val="top"/>
          </w:tcPr>
          <w:p>
            <w:pPr>
              <w:spacing w:after="0"/>
            </w:pPr>
            <w:r>
              <w:rPr>
                <w:color w:val="0F172A"/>
                <w:sz w:val="19"/>
                <w:szCs w:val="19"/>
              </w:rPr>
              <w:t xml:space="preserve">GDP-SLEP Studio · Automatización de licencias médicas</w:t>
            </w:r>
          </w:p>
        </w:tc>
      </w:tr>
      <w:tr>
        <w:trPr/>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vAlign w:val="top"/>
          </w:tcPr>
          <w:p>
            <w:pPr>
              <w:spacing w:after="0"/>
            </w:pPr>
            <w:r>
              <w:rPr>
                <w:rFonts w:ascii="Consolas" w:hAnsi="Consolas" w:eastAsia="Consolas" w:cs="Consolas"/>
                <w:b/>
                <w:bCs/>
                <w:color w:val="64748B"/>
                <w:spacing w:val="20"/>
                <w:sz w:val="15"/>
                <w:szCs w:val="15"/>
              </w:rPr>
              <w:t xml:space="preserve">TIPO DE INFORME</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vAlign w:val="top"/>
          </w:tcPr>
          <w:p>
            <w:pPr>
              <w:spacing w:after="0"/>
            </w:pPr>
            <w:r>
              <w:rPr>
                <w:color w:val="0F172A"/>
                <w:sz w:val="19"/>
                <w:szCs w:val="19"/>
              </w:rPr>
              <w:t xml:space="preserve">Marco legal específico · Anexo del Informe 00</w:t>
            </w:r>
          </w:p>
        </w:tc>
      </w:tr>
      <w:tr>
        <w:trPr/>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vAlign w:val="top"/>
          </w:tcPr>
          <w:p>
            <w:pPr>
              <w:spacing w:after="0"/>
            </w:pPr>
            <w:r>
              <w:rPr>
                <w:rFonts w:ascii="Consolas" w:hAnsi="Consolas" w:eastAsia="Consolas" w:cs="Consolas"/>
                <w:b/>
                <w:bCs/>
                <w:color w:val="64748B"/>
                <w:spacing w:val="20"/>
                <w:sz w:val="15"/>
                <w:szCs w:val="15"/>
              </w:rPr>
              <w:t xml:space="preserve">DESARROLLADOR</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vAlign w:val="top"/>
          </w:tcPr>
          <w:p>
            <w:pPr>
              <w:spacing w:after="0"/>
            </w:pPr>
            <w:r>
              <w:rPr>
                <w:color w:val="0F172A"/>
                <w:sz w:val="19"/>
                <w:szCs w:val="19"/>
              </w:rPr>
              <w:t xml:space="preserve">César Torres · Desarrollador</w:t>
            </w:r>
          </w:p>
        </w:tc>
      </w:tr>
      <w:tr>
        <w:trPr/>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vAlign w:val="top"/>
          </w:tcPr>
          <w:p>
            <w:pPr>
              <w:spacing w:after="0"/>
            </w:pPr>
            <w:r>
              <w:rPr>
                <w:rFonts w:ascii="Consolas" w:hAnsi="Consolas" w:eastAsia="Consolas" w:cs="Consolas"/>
                <w:b/>
                <w:bCs/>
                <w:color w:val="64748B"/>
                <w:spacing w:val="20"/>
                <w:sz w:val="15"/>
                <w:szCs w:val="15"/>
              </w:rPr>
              <w:t xml:space="preserve">DIRIGIDO A</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vAlign w:val="top"/>
          </w:tcPr>
          <w:p>
            <w:pPr>
              <w:spacing w:after="0"/>
            </w:pPr>
            <w:r>
              <w:rPr>
                <w:color w:val="0F172A"/>
                <w:sz w:val="19"/>
                <w:szCs w:val="19"/>
              </w:rPr>
              <w:t xml:space="preserve">Claudia Manzano · Jefatura directa</w:t>
            </w:r>
          </w:p>
        </w:tc>
      </w:tr>
      <w:tr>
        <w:trPr/>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vAlign w:val="top"/>
          </w:tcPr>
          <w:p>
            <w:pPr>
              <w:spacing w:after="0"/>
            </w:pPr>
            <w:r>
              <w:rPr>
                <w:rFonts w:ascii="Consolas" w:hAnsi="Consolas" w:eastAsia="Consolas" w:cs="Consolas"/>
                <w:b/>
                <w:bCs/>
                <w:color w:val="64748B"/>
                <w:spacing w:val="20"/>
                <w:sz w:val="15"/>
                <w:szCs w:val="15"/>
              </w:rPr>
              <w:t xml:space="preserve">FECHA</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vAlign w:val="top"/>
          </w:tcPr>
          <w:p>
            <w:pPr>
              <w:spacing w:after="0"/>
            </w:pPr>
            <w:r>
              <w:rPr>
                <w:color w:val="0F172A"/>
                <w:sz w:val="19"/>
                <w:szCs w:val="19"/>
              </w:rPr>
              <w:t xml:space="preserve">Octubre de 2026</w:t>
            </w:r>
          </w:p>
        </w:tc>
      </w:tr>
      <w:tr>
        <w:trPr/>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vAlign w:val="top"/>
          </w:tcPr>
          <w:p>
            <w:pPr>
              <w:spacing w:after="0"/>
            </w:pPr>
            <w:r>
              <w:rPr>
                <w:rFonts w:ascii="Consolas" w:hAnsi="Consolas" w:eastAsia="Consolas" w:cs="Consolas"/>
                <w:b/>
                <w:bCs/>
                <w:color w:val="64748B"/>
                <w:spacing w:val="20"/>
                <w:sz w:val="15"/>
                <w:szCs w:val="15"/>
              </w:rPr>
              <w:t xml:space="preserve">CORTE NORMATIVO</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vAlign w:val="top"/>
          </w:tcPr>
          <w:p>
            <w:pPr>
              <w:spacing w:after="0"/>
            </w:pPr>
            <w:r>
              <w:rPr>
                <w:color w:val="0F172A"/>
                <w:sz w:val="19"/>
                <w:szCs w:val="19"/>
              </w:rPr>
              <w:t xml:space="preserve">8 de octubre de 2026</w:t>
            </w:r>
          </w:p>
        </w:tc>
      </w:tr>
      <w:tr>
        <w:trPr/>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vAlign w:val="top"/>
          </w:tcPr>
          <w:p>
            <w:pPr>
              <w:spacing w:after="0"/>
            </w:pPr>
            <w:r>
              <w:rPr>
                <w:rFonts w:ascii="Consolas" w:hAnsi="Consolas" w:eastAsia="Consolas" w:cs="Consolas"/>
                <w:b/>
                <w:bCs/>
                <w:color w:val="64748B"/>
                <w:spacing w:val="20"/>
                <w:sz w:val="15"/>
                <w:szCs w:val="15"/>
              </w:rPr>
              <w:t xml:space="preserve">VERSIÓN</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vAlign w:val="top"/>
          </w:tcPr>
          <w:p>
            <w:pPr>
              <w:spacing w:after="0"/>
            </w:pPr>
            <w:r>
              <w:rPr>
                <w:color w:val="0F172A"/>
                <w:sz w:val="19"/>
                <w:szCs w:val="19"/>
              </w:rPr>
              <w:t xml:space="preserve">1.0 · Inventario y explicación breve</w:t>
            </w:r>
          </w:p>
        </w:tc>
      </w:tr>
      <w:tr>
        <w:trPr/>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vAlign w:val="top"/>
          </w:tcPr>
          <w:p>
            <w:pPr>
              <w:spacing w:after="0"/>
            </w:pPr>
            <w:r>
              <w:rPr>
                <w:rFonts w:ascii="Consolas" w:hAnsi="Consolas" w:eastAsia="Consolas" w:cs="Consolas"/>
                <w:b/>
                <w:bCs/>
                <w:color w:val="64748B"/>
                <w:spacing w:val="20"/>
                <w:sz w:val="15"/>
                <w:szCs w:val="15"/>
              </w:rPr>
              <w:t xml:space="preserve">CLASIFICACIÓN</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vAlign w:val="top"/>
          </w:tcPr>
          <w:p>
            <w:pPr>
              <w:spacing w:after="0"/>
            </w:pPr>
            <w:r>
              <w:rPr>
                <w:color w:val="0F172A"/>
                <w:sz w:val="19"/>
                <w:szCs w:val="19"/>
              </w:rPr>
              <w:t xml:space="preserve">Uso interno</w:t>
            </w:r>
          </w:p>
        </w:tc>
      </w:tr>
    </w:tbl>
    <w:p>
      <w:pPr>
        <w:spacing w:after="0"/>
      </w:pPr>
    </w:p>
    <w:p>
      <w:pPr/>
      <w:r>
        <w:rPr>
          <w:rFonts w:ascii="Calibri" w:hAnsi="Calibri" w:eastAsia="Calibri" w:cs="Calibri"/>
          <w:i/>
          <w:iCs/>
          <w:color w:val="94A3B8"/>
          <w:sz w:val="16"/>
          <w:szCs w:val="16"/>
        </w:rPr>
        <w:t xml:space="preserve">Análisis técnico-normativo elaborado por el equipo de desarrollo. No reemplaza la revisión del área jurídica de la DEP.</w:t>
      </w:r>
    </w:p>
    <w:p>
      <w:pPr>
        <w:keepNext/>
        <w:pageBreakBefore/>
        <w:spacing w:after="60"/>
      </w:pPr>
      <w:r>
        <w:rPr>
          <w:rFonts w:ascii="Consolas" w:hAnsi="Consolas" w:eastAsia="Consolas" w:cs="Consolas"/>
          <w:b/>
          <w:bCs/>
          <w:color w:val="0D9488"/>
          <w:spacing w:val="30"/>
          <w:sz w:val="16"/>
          <w:szCs w:val="16"/>
        </w:rPr>
        <w:t xml:space="preserve">DOCUMENTO</w:t>
      </w:r>
      <w:r>
        <w:rPr>
          <w:rFonts w:ascii="Consolas" w:hAnsi="Consolas" w:eastAsia="Consolas" w:cs="Consolas"/>
          <w:color w:val="94A3B8"/>
          <w:sz w:val="16"/>
          <w:szCs w:val="16"/>
        </w:rPr>
        <w:t xml:space="preserve">  /  ficha</w:t>
      </w:r>
    </w:p>
    <w:p>
      <w:pPr>
        <w:pStyle w:val="Heading1"/>
        <w:keepNext/>
        <w:spacing w:after="160"/>
      </w:pPr>
      <w:r>
        <w:rPr>
          <w:rFonts w:ascii="Calibri" w:hAnsi="Calibri" w:eastAsia="Calibri" w:cs="Calibri"/>
          <w:b/>
          <w:bCs/>
          <w:color w:val="0F172A"/>
          <w:sz w:val="40"/>
          <w:szCs w:val="40"/>
        </w:rPr>
        <w:t xml:space="preserve">Ficha del documento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300"/>
        <w:gridCol w:w="7340"/>
      </w:tblGrid>
      <w:tr>
        <w:trPr>
          <w:cantSplit/>
          <w:tblHeader/>
        </w:trPr>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CAMPO</w:t>
            </w:r>
          </w:p>
        </w:tc>
        <w:tc>
          <w:tcPr>
            <w:tcW w:w="7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DETALLE</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Título</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Informe 00.1 — Marco legal del proyecto de automatización de licencias médicas</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Serie</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Anexo del Informe 00 (marco legal transversal de GDP-SLEP Studio). Es la base normativa de los capítulos de marco legal (08.x.1) del Informe de factibilidad.</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Objeto</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Reunir y ordenar todas las normas que rigen o condicionan la automatización de la tramitación de licencias médicas, y explicar brevemente por qué cada una es necesaria.</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Alcance</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100 normas e instrumentos en 13 grupos: licencias, FONASA y PIEE, institucional, personal, fiscalización, datos, ciberseguridad, Estado digital, WikiGuías, identidad digital, IA, compras y propiedad intelectual.</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Fecha de corte</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Normas, proyectos y fuentes revisados al 8 de octubre de 2026</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Etapas</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Versión 1 (este documento): inventario y explicación breve. Versión 2: análisis artículo por artículo, sobre los textos oficiales descargados.</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Desarrollador</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César Torres, Desarrollador · Subdepartamento GDP-SLEP</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Dirigido a</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Claudia Manzano, Jefatura directa · Subdepartamento GDP-SLEP</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Carácter</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Análisis técnico-normativo para la toma de decisiones del proyecto. Debe validarlo el área jurídica de la DEP.</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Archivo complementario</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Informe_00-1_Inventario_Normativo_Licencias_Medicas.xlsx: la misma lista en planilla, con enlaces y control de descarga de los PDF.</w:t>
            </w:r>
          </w:p>
        </w:tc>
      </w:tr>
    </w:tbl>
    <w:p>
      <w:pPr>
        <w:spacing w:after="0"/>
      </w:pPr>
    </w:p>
    <w:p>
      <w:pPr>
        <w:pStyle w:val="Heading3"/>
        <w:keepNext/>
        <w:spacing w:before="180" w:after="80"/>
      </w:pPr>
      <w:r>
        <w:rPr>
          <w:rFonts w:ascii="Calibri" w:hAnsi="Calibri" w:eastAsia="Calibri" w:cs="Calibri"/>
          <w:b/>
          <w:bCs/>
          <w:color w:val="0F766E"/>
          <w:sz w:val="22"/>
          <w:szCs w:val="22"/>
        </w:rPr>
        <w:t xml:space="preserve">Lugar de este informe en la serie</w:t>
      </w:r>
    </w:p>
    <w:p>
      <w:pPr>
        <w:spacing w:before="0" w:after="140" w:line="276"/>
        <w:jc w:val="left"/>
      </w:pPr>
      <w:r>
        <w:rPr>
          <w:rFonts w:ascii="Calibri" w:hAnsi="Calibri" w:eastAsia="Calibri" w:cs="Calibri"/>
          <w:color w:val="334155"/>
          <w:sz w:val="20"/>
          <w:szCs w:val="20"/>
        </w:rPr>
        <w:t xml:space="preserve">El Informe 00 analiza el marco legal de todo el ecosistema GDP-SLEP Studio. Este anexo baja ese análisis a un solo proyecto, la automatización de licencias médicas, y amplía el inventario con las normas que la investigación de octubre de 2026 agregó.</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050"/>
        <w:gridCol w:w="380"/>
        <w:gridCol w:w="7210"/>
      </w:tblGrid>
      <w:tr>
        <w:trPr>
          <w:cantSplit/>
        </w:trPr>
        <w:tc>
          <w:tcPr>
            <w:tcW w:w="2050" w:type="dxa"/>
            <w:vMerge w:val="restart"/>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pPr>
              <w:spacing w:after="30"/>
            </w:pPr>
            <w:r>
              <w:rPr>
                <w:rFonts w:ascii="Consolas" w:hAnsi="Consolas" w:eastAsia="Consolas" w:cs="Consolas"/>
                <w:b/>
                <w:bCs/>
                <w:color w:val="CCFBF1"/>
                <w:sz w:val="13"/>
                <w:szCs w:val="13"/>
              </w:rPr>
              <w:t xml:space="preserve">MARCO LEGAL</w:t>
            </w:r>
          </w:p>
          <w:p>
            <w:pPr>
              <w:spacing w:after="20" w:line="240"/>
            </w:pPr>
            <w:r>
              <w:rPr>
                <w:b/>
                <w:bCs/>
                <w:color w:val="FFFFFF"/>
                <w:sz w:val="17"/>
                <w:szCs w:val="17"/>
              </w:rPr>
              <w:t xml:space="preserve">Informe 00</w:t>
            </w:r>
          </w:p>
          <w:p>
            <w:pPr>
              <w:spacing w:after="0" w:line="230"/>
            </w:pPr>
            <w:r>
              <w:rPr>
                <w:color w:val="94A3B8"/>
                <w:sz w:val="14"/>
                <w:szCs w:val="14"/>
              </w:rPr>
              <w:t xml:space="preserve">Base normativa de toda la serie</w:t>
            </w:r>
          </w:p>
        </w:tc>
        <w:tc>
          <w:tcPr>
            <w:tcW w:w="38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pPr>
              <w:jc w:val="center"/>
            </w:pPr>
            <w:r>
              <w:rPr>
                <w:rFonts w:ascii="Calibri" w:hAnsi="Calibri" w:eastAsia="Calibri" w:cs="Calibri"/>
                <w:b/>
                <w:bCs/>
                <w:color w:val="0D9488"/>
                <w:sz w:val="26"/>
                <w:szCs w:val="26"/>
              </w:rPr>
              <w:t xml:space="preserve">→</w:t>
            </w:r>
          </w:p>
        </w:tc>
        <w:tc>
          <w:tcPr>
            <w:tcW w:w="721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pPr>
              <w:spacing w:after="20" w:line="240"/>
            </w:pPr>
            <w:r>
              <w:rPr>
                <w:b/>
                <w:bCs/>
                <w:color w:val="0F172A"/>
                <w:sz w:val="17"/>
                <w:szCs w:val="17"/>
              </w:rPr>
              <w:t xml:space="preserve">Informe 00.1 · Marco legal de licencias médicas (este informe)</w:t>
            </w:r>
          </w:p>
          <w:p>
            <w:pPr>
              <w:spacing w:after="0" w:line="230"/>
            </w:pPr>
            <w:r>
              <w:rPr>
                <w:color w:val="64748B"/>
                <w:sz w:val="14"/>
                <w:szCs w:val="14"/>
              </w:rPr>
              <w:t xml:space="preserve">Inventario de las normas del proyecto y explicación breve de cada una</w:t>
            </w:r>
          </w:p>
        </w:tc>
      </w:tr>
      <w:tr>
        <w:trPr>
          <w:cantSplit/>
        </w:trPr>
        <w:tc>
          <w:tcPr>
            <w:tcW w:w="2050" w:type="dxa"/>
            <w:vMerge/>
            <w:tcBorders>
              <w:top w:val="single" w:sz="6" w:space="0" w:color="0F172A"/>
              <w:left w:val="single" w:sz="6" w:space="0" w:color="0F172A"/>
              <w:bottom w:val="single" w:sz="6" w:space="0" w:color="0F172A"/>
              <w:right w:val="single" w:sz="6" w:space="0" w:color="0F172A"/>
            </w:tcBorders>
            <w:shd w:val="clear" w:color="auto" w:fill="0F172A"/>
            <w:tcMar>
              <w:top w:w="80" w:type="dxa"/>
              <w:left w:w="110" w:type="dxa"/>
              <w:bottom w:w="80" w:type="dxa"/>
              <w:right w:w="110" w:type="dxa"/>
            </w:tcMar>
            <w:vAlign w:val="top"/>
          </w:tcPr>
          <w:p/>
        </w:tc>
        <w:tc>
          <w:tcPr>
            <w:tcW w:w="38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pPr>
              <w:jc w:val="center"/>
            </w:pPr>
            <w:r>
              <w:rPr>
                <w:rFonts w:ascii="Calibri" w:hAnsi="Calibri" w:eastAsia="Calibri" w:cs="Calibri"/>
                <w:b/>
                <w:bCs/>
                <w:color w:val="0D9488"/>
                <w:sz w:val="26"/>
                <w:szCs w:val="26"/>
              </w:rPr>
              <w:t xml:space="preserve">→</w:t>
            </w:r>
          </w:p>
        </w:tc>
        <w:tc>
          <w:tcPr>
            <w:tcW w:w="721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pPr>
              <w:spacing w:after="20" w:line="240"/>
            </w:pPr>
            <w:r>
              <w:rPr>
                <w:b/>
                <w:bCs/>
                <w:color w:val="0F172A"/>
                <w:sz w:val="17"/>
                <w:szCs w:val="17"/>
              </w:rPr>
              <w:t xml:space="preserve">Informe de factibilidad · capítulos 08.1.1 a 08.4.1</w:t>
            </w:r>
          </w:p>
          <w:p>
            <w:pPr>
              <w:spacing w:after="0" w:line="230"/>
            </w:pPr>
            <w:r>
              <w:rPr>
                <w:color w:val="64748B"/>
                <w:sz w:val="14"/>
                <w:szCs w:val="14"/>
              </w:rPr>
              <w:t xml:space="preserve">Marco legal de cada camino (RPA, API del PIEE, servicios web y mixto)</w:t>
            </w:r>
          </w:p>
        </w:tc>
      </w:tr>
      <w:tr>
        <w:trPr>
          <w:cantSplit/>
        </w:trPr>
        <w:tc>
          <w:tcPr>
            <w:tcW w:w="2050" w:type="dxa"/>
            <w:vMerge/>
            <w:tcBorders>
              <w:top w:val="single" w:sz="6" w:space="0" w:color="0F172A"/>
              <w:left w:val="single" w:sz="6" w:space="0" w:color="0F172A"/>
              <w:bottom w:val="single" w:sz="6" w:space="0" w:color="0F172A"/>
              <w:right w:val="single" w:sz="6" w:space="0" w:color="0F172A"/>
            </w:tcBorders>
            <w:shd w:val="clear" w:color="auto" w:fill="0F172A"/>
            <w:tcMar>
              <w:top w:w="80" w:type="dxa"/>
              <w:left w:w="110" w:type="dxa"/>
              <w:bottom w:w="80" w:type="dxa"/>
              <w:right w:w="110" w:type="dxa"/>
            </w:tcMar>
            <w:vAlign w:val="top"/>
          </w:tcPr>
          <w:p/>
        </w:tc>
        <w:tc>
          <w:tcPr>
            <w:tcW w:w="38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pPr>
              <w:jc w:val="center"/>
            </w:pPr>
            <w:r>
              <w:rPr>
                <w:rFonts w:ascii="Calibri" w:hAnsi="Calibri" w:eastAsia="Calibri" w:cs="Calibri"/>
                <w:b/>
                <w:bCs/>
                <w:color w:val="0D9488"/>
                <w:sz w:val="26"/>
                <w:szCs w:val="26"/>
              </w:rPr>
              <w:t xml:space="preserve">→</w:t>
            </w:r>
          </w:p>
        </w:tc>
        <w:tc>
          <w:tcPr>
            <w:tcW w:w="721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pPr>
              <w:spacing w:after="20" w:line="240"/>
            </w:pPr>
            <w:r>
              <w:rPr>
                <w:b/>
                <w:bCs/>
                <w:color w:val="0F172A"/>
                <w:sz w:val="17"/>
                <w:szCs w:val="17"/>
              </w:rPr>
              <w:t xml:space="preserve">Informe 08.5 · Anexos</w:t>
            </w:r>
          </w:p>
          <w:p>
            <w:pPr>
              <w:spacing w:after="0" w:line="230"/>
            </w:pPr>
            <w:r>
              <w:rPr>
                <w:color w:val="64748B"/>
                <w:sz w:val="14"/>
                <w:szCs w:val="14"/>
              </w:rPr>
              <w:t xml:space="preserve">Riesgos, preguntas y antecedentes de investigación</w:t>
            </w:r>
          </w:p>
        </w:tc>
      </w:tr>
    </w:tbl>
    <w:p>
      <w:pPr>
        <w:spacing w:before="80" w:after="200"/>
      </w:pPr>
      <w:r>
        <w:rPr>
          <w:rFonts w:ascii="Consolas" w:hAnsi="Consolas" w:eastAsia="Consolas" w:cs="Consolas"/>
          <w:b/>
          <w:bCs/>
          <w:color w:val="0D9488"/>
          <w:sz w:val="15"/>
          <w:szCs w:val="15"/>
        </w:rPr>
        <w:t xml:space="preserve">FIG. 1  </w:t>
      </w:r>
      <w:r>
        <w:rPr>
          <w:rFonts w:ascii="Calibri" w:hAnsi="Calibri" w:eastAsia="Calibri" w:cs="Calibri"/>
          <w:color w:val="64748B"/>
          <w:sz w:val="16"/>
          <w:szCs w:val="16"/>
        </w:rPr>
        <w:t xml:space="preserve">Posición del Informe 00.1 entre el marco legal general y los capítulos legales de cada camino.</w:t>
      </w:r>
    </w:p>
    <w:p>
      <w:pPr>
        <w:pStyle w:val="Heading3"/>
        <w:keepNext/>
        <w:spacing w:before="180" w:after="80"/>
      </w:pPr>
      <w:r>
        <w:rPr>
          <w:rFonts w:ascii="Calibri" w:hAnsi="Calibri" w:eastAsia="Calibri" w:cs="Calibri"/>
          <w:b/>
          <w:bCs/>
          <w:color w:val="0F766E"/>
          <w:sz w:val="22"/>
          <w:szCs w:val="22"/>
        </w:rPr>
        <w:t xml:space="preserve">Cómo leer este informe</w:t>
      </w:r>
    </w:p>
    <w:p>
      <w:pPr>
        <w:spacing w:before="0" w:after="140" w:line="276"/>
        <w:jc w:val="left"/>
      </w:pPr>
      <w:r>
        <w:rPr>
          <w:rFonts w:ascii="Calibri" w:hAnsi="Calibri" w:eastAsia="Calibri" w:cs="Calibri"/>
          <w:color w:val="334155"/>
          <w:sz w:val="20"/>
          <w:szCs w:val="20"/>
        </w:rPr>
        <w:t xml:space="preserve">Cada sección corresponde a un grupo de normas y abre con un recuadro de tres columnas: por qué importa ese grupo, para qué sirve y cómo se revisó. Luego, una tabla presenta cada norma con qué es, por qué la necesita el proyecto y su estado al corte. Las marcas son: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300"/>
        <w:gridCol w:w="7340"/>
      </w:tblGrid>
      <w:tr>
        <w:trPr>
          <w:cantSplit/>
          <w:tblHeader/>
        </w:trPr>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MARCA</w:t>
            </w:r>
          </w:p>
        </w:tc>
        <w:tc>
          <w:tcPr>
            <w:tcW w:w="7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SIGNIFICADO</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b/>
                <w:bCs/>
                <w:color w:val="15803D"/>
                <w:sz w:val="17"/>
                <w:szCs w:val="17"/>
              </w:rPr>
              <w:t xml:space="preserve">● Vigente</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 publicada y en vigor al 8 de octubre de 2026.</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b/>
                <w:bCs/>
                <w:color w:val="0D9488"/>
                <w:sz w:val="17"/>
                <w:szCs w:val="17"/>
              </w:rPr>
              <w:t xml:space="preserve">● Por entrar en vigor</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Publicada, con vigencia posterior al corte (por ejemplo, la Ley 21.719).</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b/>
                <w:bCs/>
                <w:color w:val="B45309"/>
                <w:sz w:val="17"/>
                <w:szCs w:val="17"/>
              </w:rPr>
              <w:t xml:space="preserve">● En trámite</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Proyecto de ley en el Congreso: orienta el diseño, pero no obliga.</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b/>
                <w:bCs/>
                <w:color w:val="4338CA"/>
                <w:sz w:val="17"/>
                <w:szCs w:val="17"/>
              </w:rPr>
              <w:t xml:space="preserve">● Orientadora</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Política, guía o recomendación no vinculante.</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b/>
                <w:bCs/>
                <w:color w:val="B91C1C"/>
                <w:sz w:val="17"/>
                <w:szCs w:val="17"/>
              </w:rPr>
              <w:t xml:space="preserve">● Por confirmar</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Vigencia o aplicación al proyecto que falta verificar en la fuente oficial.</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b/>
                <w:bCs/>
                <w:color w:val="B45309"/>
                <w:sz w:val="17"/>
                <w:szCs w:val="17"/>
              </w:rPr>
              <w:t xml:space="preserve">★ nueva</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 aparecía en ningún informe de la serie; surgió en la investigación de octubre de 2026.</w:t>
            </w:r>
          </w:p>
        </w:tc>
      </w:tr>
      <w:tr>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b/>
                <w:bCs/>
                <w:color w:val="64748B"/>
                <w:sz w:val="17"/>
                <w:szCs w:val="17"/>
              </w:rPr>
              <w:t xml:space="preserve">Fuente secundaria</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Se conoce por la ficha del organismo, prensa o boletines jurídicos, no por el texto oficial completo. Se verificará en la versión 2.</w:t>
            </w:r>
          </w:p>
        </w:tc>
      </w:tr>
    </w:tbl>
    <w:p>
      <w:pPr>
        <w:keepNext/>
        <w:pageBreakBefore/>
        <w:spacing w:after="60"/>
      </w:pPr>
      <w:r>
        <w:rPr>
          <w:rFonts w:ascii="Consolas" w:hAnsi="Consolas" w:eastAsia="Consolas" w:cs="Consolas"/>
          <w:b/>
          <w:bCs/>
          <w:color w:val="0D9488"/>
          <w:spacing w:val="30"/>
          <w:sz w:val="16"/>
          <w:szCs w:val="16"/>
        </w:rPr>
        <w:t xml:space="preserve">DOCUMENTO</w:t>
      </w:r>
      <w:r>
        <w:rPr>
          <w:rFonts w:ascii="Consolas" w:hAnsi="Consolas" w:eastAsia="Consolas" w:cs="Consolas"/>
          <w:color w:val="94A3B8"/>
          <w:sz w:val="16"/>
          <w:szCs w:val="16"/>
        </w:rPr>
        <w:t xml:space="preserve">  /  índice</w:t>
      </w:r>
    </w:p>
    <w:p>
      <w:pPr>
        <w:pStyle w:val="Heading1"/>
        <w:keepNext/>
        <w:spacing w:after="160"/>
      </w:pPr>
      <w:r>
        <w:rPr>
          <w:rFonts w:ascii="Calibri" w:hAnsi="Calibri" w:eastAsia="Calibri" w:cs="Calibri"/>
          <w:b/>
          <w:bCs/>
          <w:color w:val="0F172A"/>
          <w:sz w:val="40"/>
          <w:szCs w:val="40"/>
        </w:rPr>
        <w:t xml:space="preserve">Índice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00"/>
        <w:gridCol w:w="7840"/>
        <w:gridCol w:w="900"/>
      </w:tblGrid>
      <w:tr>
        <w:trPr>
          <w:cantSplit/>
          <w:tblHeader/>
        </w:trPr>
        <w:tc>
          <w:tcPr>
            <w:tcW w:w="900" w:type="dxa"/>
            <w:tcBorders>
              <w:top w:val="none" w:sz="0" w:space="0" w:color="FFFFFF"/>
              <w:left w:val="none" w:sz="0" w:space="0" w:color="FFFFFF"/>
              <w:bottom w:val="single" w:sz="8" w:space="0" w:color="0F172A"/>
              <w:right w:val="none" w:sz="0" w:space="0" w:color="FFFFFF"/>
            </w:tcBorders>
            <w:tcMar>
              <w:top w:w="40" w:type="dxa"/>
              <w:left w:w="0" w:type="dxa"/>
              <w:bottom w:w="60" w:type="dxa"/>
              <w:right w:w="110" w:type="dxa"/>
            </w:tcMar>
            <w:vAlign w:val="top"/>
          </w:tcPr>
          <w:p>
            <w:pPr>
              <w:spacing w:after="40" w:line="252"/>
              <w:jc w:val="left"/>
            </w:pPr>
            <w:r>
              <w:rPr>
                <w:rFonts w:ascii="Consolas" w:hAnsi="Consolas" w:eastAsia="Consolas" w:cs="Consolas"/>
                <w:b/>
                <w:bCs/>
                <w:color w:val="94A3B8"/>
                <w:sz w:val="15"/>
                <w:szCs w:val="15"/>
              </w:rPr>
              <w:t xml:space="preserve">N.º</w:t>
            </w:r>
          </w:p>
        </w:tc>
        <w:tc>
          <w:tcPr>
            <w:tcW w:w="7840" w:type="dxa"/>
            <w:tcBorders>
              <w:top w:val="none" w:sz="0" w:space="0" w:color="FFFFFF"/>
              <w:left w:val="none" w:sz="0" w:space="0" w:color="FFFFFF"/>
              <w:bottom w:val="single" w:sz="8" w:space="0" w:color="0F172A"/>
              <w:right w:val="none" w:sz="0" w:space="0" w:color="FFFFFF"/>
            </w:tcBorders>
            <w:tcMar>
              <w:top w:w="40" w:type="dxa"/>
              <w:left w:w="110" w:type="dxa"/>
              <w:bottom w:w="60" w:type="dxa"/>
              <w:right w:w="110" w:type="dxa"/>
            </w:tcMar>
            <w:vAlign w:val="top"/>
          </w:tcPr>
          <w:p>
            <w:pPr>
              <w:spacing w:after="40" w:line="252"/>
              <w:jc w:val="left"/>
            </w:pPr>
            <w:r>
              <w:rPr>
                <w:rFonts w:ascii="Consolas" w:hAnsi="Consolas" w:eastAsia="Consolas" w:cs="Consolas"/>
                <w:b/>
                <w:bCs/>
                <w:color w:val="94A3B8"/>
                <w:sz w:val="15"/>
                <w:szCs w:val="15"/>
              </w:rPr>
              <w:t xml:space="preserve">CONTENIDO</w:t>
            </w:r>
          </w:p>
        </w:tc>
        <w:tc>
          <w:tcPr>
            <w:tcW w:w="900" w:type="dxa"/>
            <w:tcBorders>
              <w:top w:val="none" w:sz="0" w:space="0" w:color="FFFFFF"/>
              <w:left w:val="none" w:sz="0" w:space="0" w:color="FFFFFF"/>
              <w:bottom w:val="single" w:sz="8" w:space="0" w:color="0F172A"/>
              <w:right w:val="none" w:sz="0" w:space="0" w:color="FFFFFF"/>
            </w:tcBorders>
            <w:tcMar>
              <w:top w:w="40" w:type="dxa"/>
              <w:left w:w="110" w:type="dxa"/>
              <w:bottom w:w="60" w:type="dxa"/>
              <w:right w:w="110" w:type="dxa"/>
            </w:tcMar>
            <w:vAlign w:val="top"/>
          </w:tcPr>
          <w:p>
            <w:pPr>
              <w:spacing w:after="40" w:line="252"/>
              <w:jc w:val="right"/>
            </w:pPr>
            <w:r>
              <w:rPr>
                <w:rFonts w:ascii="Consolas" w:hAnsi="Consolas" w:eastAsia="Consolas" w:cs="Consolas"/>
                <w:b/>
                <w:bCs/>
                <w:color w:val="94A3B8"/>
                <w:sz w:val="15"/>
                <w:szCs w:val="15"/>
              </w:rPr>
              <w:t xml:space="preserve">PÁG.</w:t>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01</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01" w:history="1">
              <w:r>
                <w:rPr>
                  <w:b/>
                  <w:bCs/>
                  <w:color w:val="0F172A"/>
                  <w:sz w:val="20"/>
                  <w:szCs w:val="20"/>
                </w:rPr>
                <w:t xml:space="preserve">Resumen ejecutivo</w:t>
              </w:r>
            </w:hyperlink>
          </w:p>
          <w:p>
            <w:pPr/>
            <w:r>
              <w:rPr>
                <w:color w:val="64748B"/>
                <w:sz w:val="16"/>
                <w:szCs w:val="16"/>
              </w:rPr>
              <w:t xml:space="preserve">Los trece grupos, las alertas del corte y la conclusión.</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_idx_01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5</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02</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02" w:history="1">
              <w:r>
                <w:rPr>
                  <w:b/>
                  <w:bCs/>
                  <w:color w:val="0F172A"/>
                  <w:sz w:val="20"/>
                  <w:szCs w:val="20"/>
                </w:rPr>
                <w:t xml:space="preserve">Alcance y método</w:t>
              </w:r>
            </w:hyperlink>
          </w:p>
          <w:p>
            <w:pPr/>
            <w:r>
              <w:rPr>
                <w:color w:val="64748B"/>
                <w:sz w:val="16"/>
                <w:szCs w:val="16"/>
              </w:rPr>
              <w:t xml:space="preserve">Qué se incluyó, con qué fuentes y con qué límites.</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_idx_02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7</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03</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03" w:history="1">
              <w:r>
                <w:rPr>
                  <w:b/>
                  <w:bCs/>
                  <w:color w:val="0F172A"/>
                  <w:sz w:val="20"/>
                  <w:szCs w:val="20"/>
                </w:rPr>
                <w:t xml:space="preserve">Licencias médicas y subsidios</w:t>
              </w:r>
            </w:hyperlink>
          </w:p>
          <w:p>
            <w:pPr/>
            <w:r>
              <w:rPr>
                <w:color w:val="64748B"/>
                <w:sz w:val="16"/>
                <w:szCs w:val="16"/>
              </w:rPr>
              <w:t xml:space="preserve">23 normas · Identificar las reglas del trámite que el sistema debe respetar, vigilar y nunca sobrepasar.</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_idx_03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9</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04</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04" w:history="1">
              <w:r>
                <w:rPr>
                  <w:b/>
                  <w:bCs/>
                  <w:color w:val="0F172A"/>
                  <w:sz w:val="20"/>
                  <w:szCs w:val="20"/>
                </w:rPr>
                <w:t xml:space="preserve">FONASA, PIEE y operadores</w:t>
              </w:r>
            </w:hyperlink>
          </w:p>
          <w:p>
            <w:pPr/>
            <w:r>
              <w:rPr>
                <w:color w:val="64748B"/>
                <w:sz w:val="16"/>
                <w:szCs w:val="16"/>
              </w:rPr>
              <w:t xml:space="preserve">5 normas · Reunir los documentos oficiales del portal y de los canales de integración disponibles para el empleador.</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_idx_04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12</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05</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05" w:history="1">
              <w:r>
                <w:rPr>
                  <w:b/>
                  <w:bCs/>
                  <w:color w:val="0F172A"/>
                  <w:sz w:val="20"/>
                  <w:szCs w:val="20"/>
                </w:rPr>
                <w:t xml:space="preserve">Institucional: DEP y SLEP</w:t>
              </w:r>
            </w:hyperlink>
          </w:p>
          <w:p>
            <w:pPr/>
            <w:r>
              <w:rPr>
                <w:color w:val="64748B"/>
                <w:sz w:val="16"/>
                <w:szCs w:val="16"/>
              </w:rPr>
              <w:t xml:space="preserve">4 normas · Fundar el rol coordinador de la DEP y la independencia de cada SLEP como empleador.</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_idx_05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13</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06</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06" w:history="1">
              <w:r>
                <w:rPr>
                  <w:b/>
                  <w:bCs/>
                  <w:color w:val="0F172A"/>
                  <w:sz w:val="20"/>
                  <w:szCs w:val="20"/>
                </w:rPr>
                <w:t xml:space="preserve">Régimen del personal de los SLEP</w:t>
              </w:r>
            </w:hyperlink>
          </w:p>
          <w:p>
            <w:pPr/>
            <w:r>
              <w:rPr>
                <w:color w:val="64748B"/>
                <w:sz w:val="16"/>
                <w:szCs w:val="16"/>
              </w:rPr>
              <w:t xml:space="preserve">4 normas · Saber qué norma aplica a cada funcionario para tramitar y calcular correctamente.</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_idx_06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14</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07</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07" w:history="1">
              <w:r>
                <w:rPr>
                  <w:b/>
                  <w:bCs/>
                  <w:color w:val="0F172A"/>
                  <w:sz w:val="20"/>
                  <w:szCs w:val="20"/>
                </w:rPr>
                <w:t xml:space="preserve">Fiscalización: Contraloría</w:t>
              </w:r>
            </w:hyperlink>
          </w:p>
          <w:p>
            <w:pPr/>
            <w:r>
              <w:rPr>
                <w:color w:val="64748B"/>
                <w:sz w:val="16"/>
                <w:szCs w:val="16"/>
              </w:rPr>
              <w:t xml:space="preserve">5 normas · Conocer las instrucciones que pesan sobre los SLEP en materia de licencias y el lugar del sistema frente a ellas.</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_idx_07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15</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08</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08" w:history="1">
              <w:r>
                <w:rPr>
                  <w:b/>
                  <w:bCs/>
                  <w:color w:val="0F172A"/>
                  <w:sz w:val="20"/>
                  <w:szCs w:val="20"/>
                </w:rPr>
                <w:t xml:space="preserve">Datos personales y de salud</w:t>
              </w:r>
            </w:hyperlink>
          </w:p>
          <w:p>
            <w:pPr/>
            <w:r>
              <w:rPr>
                <w:color w:val="64748B"/>
                <w:sz w:val="16"/>
                <w:szCs w:val="16"/>
              </w:rPr>
              <w:t xml:space="preserve">8 normas · Saber qué datos puede tratar el sistema, con qué base legal y con qué resguardos.</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_idx_08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16</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09</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09" w:history="1">
              <w:r>
                <w:rPr>
                  <w:b/>
                  <w:bCs/>
                  <w:color w:val="0F172A"/>
                  <w:sz w:val="20"/>
                  <w:szCs w:val="20"/>
                </w:rPr>
                <w:t xml:space="preserve">Ciberseguridad y delitos informáticos</w:t>
              </w:r>
            </w:hyperlink>
          </w:p>
          <w:p>
            <w:pPr/>
            <w:r>
              <w:rPr>
                <w:color w:val="64748B"/>
                <w:sz w:val="16"/>
                <w:szCs w:val="16"/>
              </w:rPr>
              <w:t xml:space="preserve">10 normas · Conocer los deberes de seguridad, los plazos de reporte y el límite penal de la automatización.</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_idx_09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18</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10</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10" w:history="1">
              <w:r>
                <w:rPr>
                  <w:b/>
                  <w:bCs/>
                  <w:color w:val="0F172A"/>
                  <w:sz w:val="20"/>
                  <w:szCs w:val="20"/>
                </w:rPr>
                <w:t xml:space="preserve">Estado digital e interoperabilidad</w:t>
              </w:r>
            </w:hyperlink>
          </w:p>
          <w:p>
            <w:pPr/>
            <w:r>
              <w:rPr>
                <w:color w:val="64748B"/>
                <w:sz w:val="16"/>
                <w:szCs w:val="16"/>
              </w:rPr>
              <w:t xml:space="preserve">13 normas · Ubicar las obligaciones de procedimiento electrónico, interoperabilidad y firma que respaldan o condicionan el sistema.</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_idx_10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20</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11</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11" w:history="1">
              <w:r>
                <w:rPr>
                  <w:b/>
                  <w:bCs/>
                  <w:color w:val="0F172A"/>
                  <w:sz w:val="20"/>
                  <w:szCs w:val="20"/>
                </w:rPr>
                <w:t xml:space="preserve">Gobierno Digital: WikiGuías y documentos técnicos</w:t>
              </w:r>
            </w:hyperlink>
          </w:p>
          <w:p>
            <w:pPr/>
            <w:r>
              <w:rPr>
                <w:color w:val="64748B"/>
                <w:sz w:val="16"/>
                <w:szCs w:val="16"/>
              </w:rPr>
              <w:t xml:space="preserve">11 normas · Reunir las guías que el equipo técnico debe seguir al construir el sistema.</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_idx_11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22</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12</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12" w:history="1">
              <w:r>
                <w:rPr>
                  <w:b/>
                  <w:bCs/>
                  <w:color w:val="0F172A"/>
                  <w:sz w:val="20"/>
                  <w:szCs w:val="20"/>
                </w:rPr>
                <w:t xml:space="preserve">Identidad digital: ClaveÚnica</w:t>
              </w:r>
            </w:hyperlink>
          </w:p>
          <w:p>
            <w:pPr/>
            <w:r>
              <w:rPr>
                <w:color w:val="64748B"/>
                <w:sz w:val="16"/>
                <w:szCs w:val="16"/>
              </w:rPr>
              <w:t xml:space="preserve">2 normas · Fijar el límite de la automatización del acceso y las condiciones para integrar ClaveÚnica al sistema.</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_idx_12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24</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13</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13" w:history="1">
              <w:r>
                <w:rPr>
                  <w:b/>
                  <w:bCs/>
                  <w:color w:val="0F172A"/>
                  <w:sz w:val="20"/>
                  <w:szCs w:val="20"/>
                </w:rPr>
                <w:t xml:space="preserve">Inteligencia artificial</w:t>
              </w:r>
            </w:hyperlink>
          </w:p>
          <w:p>
            <w:pPr/>
            <w:r>
              <w:rPr>
                <w:color w:val="64748B"/>
                <w:sz w:val="16"/>
                <w:szCs w:val="16"/>
              </w:rPr>
              <w:t xml:space="preserve">7 normas · Conocer las reglas que ya aplican al uso de IA en el Estado y las que vienen.</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_idx_13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25</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14</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14" w:history="1">
              <w:r>
                <w:rPr>
                  <w:b/>
                  <w:bCs/>
                  <w:color w:val="0F172A"/>
                  <w:sz w:val="20"/>
                  <w:szCs w:val="20"/>
                </w:rPr>
                <w:t xml:space="preserve">Compras públicas</w:t>
              </w:r>
            </w:hyperlink>
          </w:p>
          <w:p>
            <w:pPr/>
            <w:r>
              <w:rPr>
                <w:color w:val="64748B"/>
                <w:sz w:val="16"/>
                <w:szCs w:val="16"/>
              </w:rPr>
              <w:t xml:space="preserve">7 normas · Saber por qué vía se adquiere cada componente del proyecto.</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_idx_14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26</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15</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15" w:history="1">
              <w:r>
                <w:rPr>
                  <w:b/>
                  <w:bCs/>
                  <w:color w:val="0F172A"/>
                  <w:sz w:val="20"/>
                  <w:szCs w:val="20"/>
                </w:rPr>
                <w:t xml:space="preserve">Propiedad intelectual</w:t>
              </w:r>
            </w:hyperlink>
          </w:p>
          <w:p>
            <w:pPr/>
            <w:r>
              <w:rPr>
                <w:color w:val="64748B"/>
                <w:sz w:val="16"/>
                <w:szCs w:val="16"/>
              </w:rPr>
              <w:t xml:space="preserve">1 normas · Asegurar que la DEP sea titular del código y que respete las licencias de lo que usa.</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_idx_15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27</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16</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16" w:history="1">
              <w:r>
                <w:rPr>
                  <w:b/>
                  <w:bCs/>
                  <w:color w:val="0F172A"/>
                  <w:sz w:val="20"/>
                  <w:szCs w:val="20"/>
                </w:rPr>
                <w:t xml:space="preserve">Vigilancia normativa</w:t>
              </w:r>
            </w:hyperlink>
          </w:p>
          <w:p>
            <w:pPr/>
            <w:r>
              <w:rPr>
                <w:color w:val="64748B"/>
                <w:sz w:val="16"/>
                <w:szCs w:val="16"/>
              </w:rPr>
              <w:t xml:space="preserve">Proyectos de ley en trámite y fechas que cruzan el proyecto.</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_idx_16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28</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17</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17" w:history="1">
              <w:r>
                <w:rPr>
                  <w:b/>
                  <w:bCs/>
                  <w:color w:val="0F172A"/>
                  <w:sz w:val="20"/>
                  <w:szCs w:val="20"/>
                </w:rPr>
                <w:t xml:space="preserve">Próximos pasos</w:t>
              </w:r>
            </w:hyperlink>
          </w:p>
          <w:p>
            <w:pPr/>
            <w:r>
              <w:rPr>
                <w:color w:val="64748B"/>
                <w:sz w:val="16"/>
                <w:szCs w:val="16"/>
              </w:rPr>
              <w:t xml:space="preserve">Lotes de descarga de los PDF y lo que hará la versión 2.</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_idx_17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29</w:t>
            </w:r>
            <w:r>
              <w:rPr>
                <w:rFonts w:ascii="Consolas" w:hAnsi="Consolas" w:eastAsia="Consolas" w:cs="Consolas"/>
                <w:b/>
                <w:bCs/>
                <w:color w:val="0F172A"/>
                <w:sz w:val="20"/>
                <w:szCs w:val="20"/>
              </w:rPr>
              <w:fldChar w:fldCharType="end"/>
            </w:r>
          </w:p>
        </w:tc>
      </w:tr>
      <w:tr>
        <w:trPr>
          <w:cantSplit/>
        </w:trPr>
        <w:tc>
          <w:tcPr>
            <w:tcW w:w="900" w:type="dxa"/>
            <w:tcBorders>
              <w:top w:val="none" w:sz="0" w:space="0" w:color="FFFFFF"/>
              <w:left w:val="none" w:sz="0" w:space="0" w:color="FFFFFF"/>
              <w:bottom w:val="single" w:sz="4" w:space="0" w:color="E2E8F0"/>
              <w:right w:val="none" w:sz="0" w:space="0" w:color="FFFFFF"/>
            </w:tcBorders>
            <w:tcMar>
              <w:top w:w="70" w:type="dxa"/>
              <w:left w:w="0" w:type="dxa"/>
              <w:bottom w:w="70" w:type="dxa"/>
              <w:right w:w="110" w:type="dxa"/>
            </w:tcMar>
            <w:vAlign w:val="top"/>
          </w:tcPr>
          <w:p>
            <w:pPr/>
            <w:r>
              <w:rPr>
                <w:rFonts w:ascii="Consolas" w:hAnsi="Consolas" w:eastAsia="Consolas" w:cs="Consolas"/>
                <w:b/>
                <w:bCs/>
                <w:color w:val="0D9488"/>
                <w:sz w:val="24"/>
                <w:szCs w:val="24"/>
              </w:rPr>
              <w:t xml:space="preserve">A</w:t>
            </w:r>
          </w:p>
        </w:tc>
        <w:tc>
          <w:tcPr>
            <w:tcW w:w="784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spacing w:after="10"/>
            </w:pPr>
            <w:hyperlink w:anchor="_idx_A" w:history="1">
              <w:r>
                <w:rPr>
                  <w:b/>
                  <w:bCs/>
                  <w:color w:val="0F172A"/>
                  <w:sz w:val="20"/>
                  <w:szCs w:val="20"/>
                </w:rPr>
                <w:t xml:space="preserve">Anexo A · Fuentes</w:t>
              </w:r>
            </w:hyperlink>
          </w:p>
          <w:p>
            <w:pPr/>
            <w:r>
              <w:rPr>
                <w:color w:val="64748B"/>
                <w:sz w:val="16"/>
                <w:szCs w:val="16"/>
              </w:rPr>
              <w:t xml:space="preserve">Fuentes consultadas al corte.</w:t>
            </w:r>
          </w:p>
        </w:tc>
        <w:tc>
          <w:tcPr>
            <w:tcW w:w="900" w:type="dxa"/>
            <w:tcBorders>
              <w:top w:val="none" w:sz="0" w:space="0" w:color="FFFFFF"/>
              <w:left w:val="none" w:sz="0" w:space="0" w:color="FFFFFF"/>
              <w:bottom w:val="single" w:sz="4" w:space="0" w:color="E2E8F0"/>
              <w:right w:val="none" w:sz="0" w:space="0" w:color="FFFFFF"/>
            </w:tcBorders>
            <w:tcMar>
              <w:top w:w="70" w:type="dxa"/>
              <w:left w:w="110" w:type="dxa"/>
              <w:bottom w:w="70" w:type="dxa"/>
              <w:right w:w="110" w:type="dxa"/>
            </w:tcMar>
            <w:vAlign w:val="top"/>
          </w:tcPr>
          <w:p>
            <w:pPr>
              <w:jc w:val="right"/>
            </w:pPr>
            <w:r>
              <w:rPr>
                <w:rFonts w:ascii="Consolas" w:hAnsi="Consolas" w:eastAsia="Consolas" w:cs="Consolas"/>
                <w:b/>
                <w:bCs/>
                <w:color w:val="0F172A"/>
                <w:sz w:val="20"/>
                <w:szCs w:val="20"/>
              </w:rPr>
              <w:fldChar w:fldCharType="begin"/>
            </w:r>
            <w:r>
              <w:rPr>
                <w:rFonts w:ascii="Consolas" w:hAnsi="Consolas" w:eastAsia="Consolas" w:cs="Consolas"/>
                <w:b/>
                <w:bCs/>
                <w:color w:val="0F172A"/>
                <w:sz w:val="20"/>
                <w:szCs w:val="20"/>
              </w:rPr>
              <w:instrText xml:space="preserve"> PAGEREF _idx_A \h </w:instrText>
            </w:r>
            <w:r>
              <w:rPr>
                <w:rFonts w:ascii="Consolas" w:hAnsi="Consolas" w:eastAsia="Consolas" w:cs="Consolas"/>
                <w:b/>
                <w:bCs/>
                <w:color w:val="0F172A"/>
                <w:sz w:val="20"/>
                <w:szCs w:val="20"/>
              </w:rPr>
              <w:fldChar w:fldCharType="separate"/>
            </w:r>
            <w:r>
              <w:rPr>
                <w:rFonts w:ascii="Consolas" w:hAnsi="Consolas" w:eastAsia="Consolas" w:cs="Consolas"/>
                <w:b/>
                <w:bCs/>
                <w:color w:val="0F172A"/>
                <w:sz w:val="20"/>
                <w:szCs w:val="20"/>
              </w:rPr>
              <w:t>30</w:t>
            </w:r>
            <w:r>
              <w:rPr>
                <w:rFonts w:ascii="Consolas" w:hAnsi="Consolas" w:eastAsia="Consolas" w:cs="Consolas"/>
                <w:b/>
                <w:bCs/>
                <w:color w:val="0F172A"/>
                <w:sz w:val="20"/>
                <w:szCs w:val="20"/>
              </w:rPr>
              <w:fldChar w:fldCharType="end"/>
            </w:r>
          </w:p>
        </w:tc>
      </w:tr>
    </w:tbl>
    <w:p>
      <w:pPr>
        <w:keepNext/>
        <w:pageBreakBefore/>
        <w:spacing w:after="60"/>
      </w:pPr>
      <w:bookmarkStart w:id="900" w:name="_idx_01"/>
      <w:r>
        <w:rPr>
          <w:rFonts w:ascii="Consolas" w:hAnsi="Consolas" w:eastAsia="Consolas" w:cs="Consolas"/>
          <w:b/>
          <w:bCs/>
          <w:color w:val="0D9488"/>
          <w:spacing w:val="30"/>
          <w:sz w:val="16"/>
          <w:szCs w:val="16"/>
        </w:rPr>
        <w:t xml:space="preserve">SECCIÓN 01</w:t>
      </w:r>
      <w:r>
        <w:rPr>
          <w:rFonts w:ascii="Consolas" w:hAnsi="Consolas" w:eastAsia="Consolas" w:cs="Consolas"/>
          <w:color w:val="94A3B8"/>
          <w:sz w:val="16"/>
          <w:szCs w:val="16"/>
        </w:rPr>
        <w:t xml:space="preserve">  /  resumen</w:t>
      </w:r>
      <w:bookmarkEnd w:id="900"/>
    </w:p>
    <w:p>
      <w:pPr>
        <w:pStyle w:val="Heading1"/>
        <w:keepNext/>
        <w:spacing w:after="160"/>
      </w:pPr>
      <w:r>
        <w:rPr>
          <w:rFonts w:ascii="Calibri" w:hAnsi="Calibri" w:eastAsia="Calibri" w:cs="Calibri"/>
          <w:b/>
          <w:bCs/>
          <w:color w:val="0F172A"/>
          <w:sz w:val="40"/>
          <w:szCs w:val="40"/>
        </w:rPr>
        <w:t xml:space="preserve">Resumen ejecutivo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La tramitación de licencias combina datos de salud, plazos legales y el portal de otro servicio público. Cada decisión del proyecto tiene una norma detrás.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Tener en un solo lugar todas las normas que el proyecto debe considerar y entender por qué cada una importa.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Cruce de las normas citadas en los informes de la serie con una investigación en fuentes oficiales al 8 de octubre de 2026: 100 normas en 13 grupos.</w:t>
            </w:r>
          </w:p>
        </w:tc>
      </w:tr>
    </w:tbl>
    <w:p>
      <w:pPr>
        <w:spacing w:after="0"/>
      </w:pPr>
    </w:p>
    <w:p>
      <w:pPr>
        <w:spacing w:before="0" w:after="140" w:line="276"/>
        <w:jc w:val="left"/>
      </w:pPr>
      <w:r>
        <w:rPr>
          <w:rFonts w:ascii="Calibri" w:hAnsi="Calibri" w:eastAsia="Calibri" w:cs="Calibri"/>
          <w:color w:val="334155"/>
          <w:sz w:val="20"/>
          <w:szCs w:val="20"/>
        </w:rPr>
        <w:t xml:space="preserve">Los informes de la serie citaban normas de forma dispersa: algunas con su número y artículo, otras solo mencionadas. Este anexo las reúne y ordena. El resultado son </w:t>
      </w:r>
      <w:r>
        <w:rPr>
          <w:rFonts w:ascii="Calibri" w:hAnsi="Calibri" w:eastAsia="Calibri" w:cs="Calibri"/>
          <w:b/>
          <w:bCs/>
          <w:color w:val="0F172A"/>
          <w:sz w:val="20"/>
          <w:szCs w:val="20"/>
        </w:rPr>
        <w:t xml:space="preserve">100 normas e instrumentos</w:t>
      </w:r>
      <w:r>
        <w:rPr>
          <w:rFonts w:ascii="Calibri" w:hAnsi="Calibri" w:eastAsia="Calibri" w:cs="Calibri"/>
          <w:color w:val="334155"/>
          <w:sz w:val="20"/>
          <w:szCs w:val="20"/>
        </w:rPr>
        <w:t xml:space="preserve"> agrupados en </w:t>
      </w:r>
      <w:r>
        <w:rPr>
          <w:rFonts w:ascii="Calibri" w:hAnsi="Calibri" w:eastAsia="Calibri" w:cs="Calibri"/>
          <w:b/>
          <w:bCs/>
          <w:color w:val="0F172A"/>
          <w:sz w:val="20"/>
          <w:szCs w:val="20"/>
        </w:rPr>
        <w:t xml:space="preserve">13 grupos</w:t>
      </w:r>
      <w:r>
        <w:rPr>
          <w:rFonts w:ascii="Calibri" w:hAnsi="Calibri" w:eastAsia="Calibri" w:cs="Calibri"/>
          <w:color w:val="334155"/>
          <w:sz w:val="20"/>
          <w:szCs w:val="20"/>
        </w:rPr>
        <w:t xml:space="preserve">; </w:t>
      </w:r>
      <w:r>
        <w:rPr>
          <w:rFonts w:ascii="Calibri" w:hAnsi="Calibri" w:eastAsia="Calibri" w:cs="Calibri"/>
          <w:b/>
          <w:bCs/>
          <w:color w:val="0F172A"/>
          <w:sz w:val="20"/>
          <w:szCs w:val="20"/>
        </w:rPr>
        <w:t xml:space="preserve">34</w:t>
      </w:r>
      <w:r>
        <w:rPr>
          <w:rFonts w:ascii="Calibri" w:hAnsi="Calibri" w:eastAsia="Calibri" w:cs="Calibri"/>
          <w:color w:val="334155"/>
          <w:sz w:val="20"/>
          <w:szCs w:val="20"/>
        </w:rPr>
        <w:t xml:space="preserve"> de ellos no aparecían en ningún informe y surgieron en la investigación. De ese total, 72 están vigentes, 3 por entrar en vigor, 6 en trámite, 14 son orientadoras y 5 quedan por confirmar.</w:t>
      </w:r>
    </w:p>
    <w:p>
      <w:pPr>
        <w:pStyle w:val="Heading3"/>
        <w:keepNext/>
        <w:spacing w:before="180" w:after="80"/>
      </w:pPr>
      <w:r>
        <w:rPr>
          <w:rFonts w:ascii="Calibri" w:hAnsi="Calibri" w:eastAsia="Calibri" w:cs="Calibri"/>
          <w:b/>
          <w:bCs/>
          <w:color w:val="0F766E"/>
          <w:sz w:val="22"/>
          <w:szCs w:val="22"/>
        </w:rPr>
        <w:t xml:space="preserve">Los trece grupos normativos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700"/>
        <w:gridCol w:w="900"/>
        <w:gridCol w:w="6040"/>
      </w:tblGrid>
      <w:tr>
        <w:trPr>
          <w:cantSplit/>
          <w:tblHeader/>
        </w:trPr>
        <w:tc>
          <w:tcPr>
            <w:tcW w:w="2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GRUPO</w:t>
            </w:r>
          </w:p>
        </w:tc>
        <w:tc>
          <w:tcPr>
            <w:tcW w:w="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NORMAS</w:t>
            </w:r>
          </w:p>
        </w:tc>
        <w:tc>
          <w:tcPr>
            <w:tcW w:w="6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IMPORTA AL PROYECTO</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Licencias médicas y subsidios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23</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Es el núcleo del proyecto: estas normas definen qué hace el SLEP como empleador con cada licencia, en qué plazo y con qué datos.</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FONASA, PIEE y operadores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5</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El PIEE es el lugar donde ocurre el trámite; sus reglas de uso determinan qué se puede automatizar y cómo.</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Institucional: DEP y SLEP</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4</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Define quién puede impulsar el sistema y quién responde por los datos de cada licencia.</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Régimen del personal de los SLEP</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4</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El personal de un SLEP no tiene un único régimen: cada estatuto regula de forma distinta la remuneración durante la licencia.</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Fiscalización: Contraloría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5</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La Contraloría detectó mal uso de licencias en el sector público y exige a los servicios actuar; el proyecto nace en ese contexto.</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Datos personales y de salud</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8</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Una licencia contiene datos de salud y de remuneraciones, que son los más protegidos por la ley.</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Ciberseguridad y delitos informáticos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10</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La DEP y los SLEP prestan servicios esenciales, y el sistema operará sobre el portal de otro servicio público.</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Estado digital e interoperabilidad</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13</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El proyecto es parte de la transformación digital que la ley ya exige a la DEP y a los SLEP.</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Gobierno Digital: WikiGuías y documentos técnicos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11</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Las normas técnicas se aplican mediante guías oficiales que dicen cómo integrar, autenticar e interoperar.</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Identidad digital: ClaveÚnica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2</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El PIEE se usa con la ClaveÚnica personal de quien tramita; sus reglas definen hasta dónde puede llegar un robot.</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Inteligencia artificial</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7</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El proyecto usa IA local para los datos de licencias y Claude para tareas sin datos personales.</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Compras públicas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7</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Las propuestas óptima y avanzada compran licencias, equipos o servicios, y cada compra tiene su procedimiento.</w:t>
            </w:r>
          </w:p>
        </w:tc>
      </w:tr>
      <w:tr>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Propiedad intelectual</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center"/>
            </w:pPr>
            <w:r>
              <w:rPr>
                <w:rFonts w:ascii="Consolas" w:hAnsi="Consolas" w:eastAsia="Consolas" w:cs="Consolas"/>
                <w:b/>
                <w:bCs/>
                <w:color w:val="0D9488"/>
                <w:sz w:val="18"/>
                <w:szCs w:val="18"/>
              </w:rPr>
              <w:t xml:space="preserve">1</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El sistema se desarrolla en la DEP y reutiliza componentes de terceros con distintas licencias.</w:t>
            </w:r>
          </w:p>
        </w:tc>
      </w:tr>
    </w:tbl>
    <w:p>
      <w:pPr>
        <w:spacing w:after="0"/>
      </w:pPr>
    </w:p>
    <w:p>
      <w:pPr>
        <w:pStyle w:val="Heading3"/>
        <w:keepNext/>
        <w:spacing w:before="180" w:after="80"/>
      </w:pPr>
      <w:r>
        <w:rPr>
          <w:rFonts w:ascii="Calibri" w:hAnsi="Calibri" w:eastAsia="Calibri" w:cs="Calibri"/>
          <w:b/>
          <w:bCs/>
          <w:color w:val="0F766E"/>
          <w:sz w:val="22"/>
          <w:szCs w:val="22"/>
        </w:rPr>
        <w:t xml:space="preserve">Tres alertas al corte</w:t>
      </w:r>
    </w:p>
    <w:p>
      <w:pPr>
        <w:pStyle w:val="ListParagraph"/>
        <w:numPr>
          <w:ilvl w:val="0"/>
          <w:numId w:val="2"/>
        </w:numPr>
        <w:spacing w:after="70" w:line="264"/>
      </w:pPr>
      <w:r>
        <w:rPr>
          <w:b/>
          <w:bCs/>
          <w:color w:val="0F172A"/>
          <w:sz w:val="20"/>
          <w:szCs w:val="20"/>
        </w:rPr>
        <w:t xml:space="preserve">El portal antiguo de FONASA cierra el 15 de octubre de 2026.</w:t>
      </w:r>
      <w:r>
        <w:rPr>
          <w:color w:val="334155"/>
          <w:sz w:val="20"/>
          <w:szCs w:val="20"/>
        </w:rPr>
        <w:t xml:space="preserve"> FONASA extendió el PUE; desde el 16 de octubre solo funciona el PIEE. Los informes daban como fecha el 30 de septiembre.</w:t>
      </w:r>
    </w:p>
    <w:p>
      <w:pPr>
        <w:pStyle w:val="ListParagraph"/>
        <w:numPr>
          <w:ilvl w:val="0"/>
          <w:numId w:val="2"/>
        </w:numPr>
        <w:spacing w:after="70" w:line="264"/>
      </w:pPr>
      <w:r>
        <w:rPr>
          <w:b/>
          <w:bCs/>
          <w:color w:val="0F172A"/>
          <w:sz w:val="20"/>
          <w:szCs w:val="20"/>
        </w:rPr>
        <w:t xml:space="preserve">La Ley 21.719 sigue con fecha 1 de diciembre de 2026.</w:t>
      </w:r>
      <w:r>
        <w:rPr>
          <w:color w:val="334155"/>
          <w:sz w:val="20"/>
          <w:szCs w:val="20"/>
        </w:rPr>
        <w:t xml:space="preserve"> La postergación (Boletín 18.623-07) está en el Senado, con propuestas de un año o seis meses. La Agencia de Protección de Datos aún no está instalada.</w:t>
      </w:r>
    </w:p>
    <w:p>
      <w:pPr>
        <w:pStyle w:val="ListParagraph"/>
        <w:numPr>
          <w:ilvl w:val="0"/>
          <w:numId w:val="2"/>
        </w:numPr>
        <w:spacing w:after="70" w:line="264"/>
      </w:pPr>
      <w:r>
        <w:rPr>
          <w:b/>
          <w:bCs/>
          <w:color w:val="0F172A"/>
          <w:sz w:val="20"/>
          <w:szCs w:val="20"/>
        </w:rPr>
        <w:t xml:space="preserve">Un proyecto cambiaría el pago de las licencias en el sector público</w:t>
      </w:r>
      <w:r>
        <w:rPr>
          <w:color w:val="334155"/>
          <w:sz w:val="20"/>
          <w:szCs w:val="20"/>
        </w:rPr>
        <w:t xml:space="preserve"> (Boletín 17.678-11): crearía una remuneración diaria durante la licencia desde el tercer día. Si se aprueba, cambian los cálculos del SLEP.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CONCLUSIÓN</w:t>
            </w:r>
          </w:p>
          <w:p>
            <w:pPr>
              <w:spacing w:after="50" w:line="260"/>
            </w:pPr>
            <w:r>
              <w:rPr>
                <w:color w:val="334155"/>
                <w:sz w:val="19"/>
                <w:szCs w:val="19"/>
              </w:rPr>
              <w:t xml:space="preserve">El marco legal no impide automatizar la tramitación de licencias: la </w:t>
            </w:r>
            <w:r>
              <w:rPr>
                <w:b/>
                <w:bCs/>
                <w:color w:val="0F172A"/>
                <w:sz w:val="19"/>
                <w:szCs w:val="19"/>
              </w:rPr>
              <w:t xml:space="preserve">ordena</w:t>
            </w:r>
            <w:r>
              <w:rPr>
                <w:color w:val="334155"/>
                <w:sz w:val="19"/>
                <w:szCs w:val="19"/>
              </w:rPr>
              <w:t xml:space="preserve">. Fija un plazo que cumplir (3 días hábiles), un dato que nunca se toca (el diagnóstico), una forma de entrar al portal (la ClaveÚnica de la persona, sin guardarla) y un límite para el robot (solo con autorización de FONASA). Todo lo demás —datos, seguridad, IA y compras— define cómo se construye.</w:t>
            </w:r>
          </w:p>
        </w:tc>
      </w:tr>
    </w:tbl>
    <w:p>
      <w:pPr>
        <w:keepNext/>
        <w:pageBreakBefore/>
        <w:spacing w:after="60"/>
      </w:pPr>
      <w:bookmarkStart w:id="901" w:name="_idx_02"/>
      <w:r>
        <w:rPr>
          <w:rFonts w:ascii="Consolas" w:hAnsi="Consolas" w:eastAsia="Consolas" w:cs="Consolas"/>
          <w:b/>
          <w:bCs/>
          <w:color w:val="0D9488"/>
          <w:spacing w:val="30"/>
          <w:sz w:val="16"/>
          <w:szCs w:val="16"/>
        </w:rPr>
        <w:t xml:space="preserve">SECCIÓN 02</w:t>
      </w:r>
      <w:r>
        <w:rPr>
          <w:rFonts w:ascii="Consolas" w:hAnsi="Consolas" w:eastAsia="Consolas" w:cs="Consolas"/>
          <w:color w:val="94A3B8"/>
          <w:sz w:val="16"/>
          <w:szCs w:val="16"/>
        </w:rPr>
        <w:t xml:space="preserve">  /  alcance</w:t>
      </w:r>
      <w:bookmarkEnd w:id="901"/>
    </w:p>
    <w:p>
      <w:pPr>
        <w:pStyle w:val="Heading1"/>
        <w:keepNext/>
        <w:spacing w:after="160"/>
      </w:pPr>
      <w:r>
        <w:rPr>
          <w:rFonts w:ascii="Calibri" w:hAnsi="Calibri" w:eastAsia="Calibri" w:cs="Calibri"/>
          <w:b/>
          <w:bCs/>
          <w:color w:val="0F172A"/>
          <w:sz w:val="40"/>
          <w:szCs w:val="40"/>
        </w:rPr>
        <w:t xml:space="preserve">Alcance y método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Un inventario legal sirve solo si se sabe qué cubre, con qué fuentes y hasta qué fecha.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Que el lector distinga lo vigente, lo que viene y lo que falta confirmar.</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Revisión de los informes 00 a 13 y de fuentes oficiales: SUSESO, FONASA, WikiGuías, Diario Oficial, BCN, ChileCompra, ANCI, Senado y Cámara.</w:t>
            </w:r>
          </w:p>
        </w:tc>
      </w:tr>
    </w:tbl>
    <w:p>
      <w:pPr>
        <w:spacing w:after="0"/>
      </w:pPr>
    </w:p>
    <w:p>
      <w:pPr>
        <w:pStyle w:val="Heading2"/>
        <w:keepNext/>
        <w:spacing w:before="260" w:after="120"/>
      </w:pPr>
      <w:r>
        <w:rPr>
          <w:rFonts w:ascii="Consolas" w:hAnsi="Consolas" w:eastAsia="Consolas" w:cs="Consolas"/>
          <w:b/>
          <w:bCs/>
          <w:color w:val="0D9488"/>
          <w:sz w:val="22"/>
          <w:szCs w:val="22"/>
        </w:rPr>
        <w:t xml:space="preserve">2.1  </w:t>
      </w:r>
      <w:r>
        <w:rPr>
          <w:rFonts w:ascii="Calibri" w:hAnsi="Calibri" w:eastAsia="Calibri" w:cs="Calibri"/>
          <w:b/>
          <w:bCs/>
          <w:color w:val="0F172A"/>
          <w:sz w:val="25"/>
          <w:szCs w:val="25"/>
        </w:rPr>
        <w:t xml:space="preserve">Qué cubre</w:t>
      </w:r>
    </w:p>
    <w:p>
      <w:pPr>
        <w:spacing w:before="0" w:after="140" w:line="276"/>
        <w:jc w:val="left"/>
      </w:pPr>
      <w:r>
        <w:rPr>
          <w:rFonts w:ascii="Calibri" w:hAnsi="Calibri" w:eastAsia="Calibri" w:cs="Calibri"/>
          <w:color w:val="334155"/>
          <w:sz w:val="20"/>
          <w:szCs w:val="20"/>
        </w:rPr>
        <w:t xml:space="preserve">Se incluyen todas las normas que rigen o condicionan la tramitación automatizada de licencias por un SLEP como empleador: leyes, decretos, DFL, resoluciones, circulares, oficios, dictámenes, guías técnicas oficiales, manuales del portal y proyectos de ley en trámite. La Fig. 2 muestra los trece grupos.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1</w:t>
            </w:r>
          </w:p>
          <w:p>
            <w:pPr>
              <w:spacing w:after="20" w:line="240"/>
            </w:pPr>
            <w:r>
              <w:rPr>
                <w:b/>
                <w:bCs/>
                <w:color w:val="0F172A"/>
                <w:sz w:val="17"/>
                <w:szCs w:val="17"/>
              </w:rPr>
              <w:t xml:space="preserve">Licencias médicas y subsidios</w:t>
            </w:r>
          </w:p>
          <w:p>
            <w:pPr>
              <w:spacing w:after="0" w:line="230"/>
            </w:pPr>
            <w:r>
              <w:rPr>
                <w:color w:val="64748B"/>
                <w:sz w:val="14"/>
                <w:szCs w:val="14"/>
              </w:rPr>
              <w:t xml:space="preserve">DS 3/1984 · DFL 1/2005 · Ley 20.585 · Ley 21.746 · …</w:t>
            </w:r>
          </w:p>
        </w:tc>
        <w:tc>
          <w:tcPr>
            <w:tcW w:w="32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2</w:t>
            </w:r>
          </w:p>
          <w:p>
            <w:pPr>
              <w:spacing w:after="20" w:line="240"/>
            </w:pPr>
            <w:r>
              <w:rPr>
                <w:b/>
                <w:bCs/>
                <w:color w:val="0F172A"/>
                <w:sz w:val="17"/>
                <w:szCs w:val="17"/>
              </w:rPr>
              <w:t xml:space="preserve">FONASA, PIEE y operadores</w:t>
            </w:r>
          </w:p>
          <w:p>
            <w:pPr>
              <w:spacing w:after="0" w:line="230"/>
            </w:pPr>
            <w:r>
              <w:rPr>
                <w:color w:val="64748B"/>
                <w:sz w:val="14"/>
                <w:szCs w:val="14"/>
              </w:rPr>
              <w:t xml:space="preserve">Manual de uso del Portal PIEE · Manual de homologación de entidades empleadoras · Aviso de FONASA: extensión del PUE · Condiciones de uso del portal de empleadores · …</w:t>
            </w:r>
          </w:p>
        </w:tc>
        <w:tc>
          <w:tcPr>
            <w:tcW w:w="321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3</w:t>
            </w:r>
          </w:p>
          <w:p>
            <w:pPr>
              <w:spacing w:after="20" w:line="240"/>
            </w:pPr>
            <w:r>
              <w:rPr>
                <w:b/>
                <w:bCs/>
                <w:color w:val="0F172A"/>
                <w:sz w:val="17"/>
                <w:szCs w:val="17"/>
              </w:rPr>
              <w:t xml:space="preserve">Institucional: DEP y SLEP</w:t>
            </w:r>
          </w:p>
          <w:p>
            <w:pPr>
              <w:spacing w:after="0" w:line="230"/>
            </w:pPr>
            <w:r>
              <w:rPr>
                <w:color w:val="64748B"/>
                <w:sz w:val="14"/>
                <w:szCs w:val="14"/>
              </w:rPr>
              <w:t xml:space="preserve">Ley 21.040 · Ley 21.819 · DFL 1-19.653 (Ley 18.575) · Boletín 18.551-04</w:t>
            </w:r>
          </w:p>
        </w:tc>
      </w:tr>
      <w:tr>
        <w:trPr>
          <w:cantSplit/>
        </w:trPr>
        <w:tc>
          <w:tcPr>
            <w:tcW w:w="32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4</w:t>
            </w:r>
          </w:p>
          <w:p>
            <w:pPr>
              <w:spacing w:after="20" w:line="240"/>
            </w:pPr>
            <w:r>
              <w:rPr>
                <w:b/>
                <w:bCs/>
                <w:color w:val="0F172A"/>
                <w:sz w:val="17"/>
                <w:szCs w:val="17"/>
              </w:rPr>
              <w:t xml:space="preserve">Régimen del personal de los SLEP</w:t>
            </w:r>
          </w:p>
          <w:p>
            <w:pPr>
              <w:spacing w:after="0" w:line="230"/>
            </w:pPr>
            <w:r>
              <w:rPr>
                <w:color w:val="64748B"/>
                <w:sz w:val="14"/>
                <w:szCs w:val="14"/>
              </w:rPr>
              <w:t xml:space="preserve">DFL 29/2004 (Estatuto Administrativo) · DFL 1/1996 (Estatuto Docente) · Ley 21.109 · DFL 1/2002 (Código del Trabajo)</w:t>
            </w:r>
          </w:p>
        </w:tc>
        <w:tc>
          <w:tcPr>
            <w:tcW w:w="32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5</w:t>
            </w:r>
          </w:p>
          <w:p>
            <w:pPr>
              <w:spacing w:after="20" w:line="240"/>
            </w:pPr>
            <w:r>
              <w:rPr>
                <w:b/>
                <w:bCs/>
                <w:color w:val="0F172A"/>
                <w:sz w:val="17"/>
                <w:szCs w:val="17"/>
              </w:rPr>
              <w:t xml:space="preserve">Fiscalización: Contraloría</w:t>
            </w:r>
          </w:p>
          <w:p>
            <w:pPr>
              <w:spacing w:after="0" w:line="230"/>
            </w:pPr>
            <w:r>
              <w:rPr>
                <w:color w:val="64748B"/>
                <w:sz w:val="14"/>
                <w:szCs w:val="14"/>
              </w:rPr>
              <w:t xml:space="preserve">Ley 10.336 · Oficio CGR E89569/2025 · Dictamen CGR E150651N25 · CIC N° 9 a 26 · …</w:t>
            </w:r>
          </w:p>
        </w:tc>
        <w:tc>
          <w:tcPr>
            <w:tcW w:w="321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6</w:t>
            </w:r>
          </w:p>
          <w:p>
            <w:pPr>
              <w:spacing w:after="20" w:line="240"/>
            </w:pPr>
            <w:r>
              <w:rPr>
                <w:b/>
                <w:bCs/>
                <w:color w:val="0F172A"/>
                <w:sz w:val="17"/>
                <w:szCs w:val="17"/>
              </w:rPr>
              <w:t xml:space="preserve">Datos personales y de salud</w:t>
            </w:r>
          </w:p>
          <w:p>
            <w:pPr>
              <w:spacing w:after="0" w:line="230"/>
            </w:pPr>
            <w:r>
              <w:rPr>
                <w:color w:val="64748B"/>
                <w:sz w:val="14"/>
                <w:szCs w:val="14"/>
              </w:rPr>
              <w:t xml:space="preserve">Constitución, art. 19 N° 4 · Ley 19.628 · Ley 21.719 · Boletín 18.623-07 · …</w:t>
            </w:r>
          </w:p>
        </w:tc>
      </w:tr>
      <w:tr>
        <w:trPr>
          <w:cantSplit/>
        </w:trPr>
        <w:tc>
          <w:tcPr>
            <w:tcW w:w="32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7</w:t>
            </w:r>
          </w:p>
          <w:p>
            <w:pPr>
              <w:spacing w:after="20" w:line="240"/>
            </w:pPr>
            <w:r>
              <w:rPr>
                <w:b/>
                <w:bCs/>
                <w:color w:val="0F172A"/>
                <w:sz w:val="17"/>
                <w:szCs w:val="17"/>
              </w:rPr>
              <w:t xml:space="preserve">Ciberseguridad y delitos informáticos</w:t>
            </w:r>
          </w:p>
          <w:p>
            <w:pPr>
              <w:spacing w:after="0" w:line="230"/>
            </w:pPr>
            <w:r>
              <w:rPr>
                <w:color w:val="64748B"/>
                <w:sz w:val="14"/>
                <w:szCs w:val="14"/>
              </w:rPr>
              <w:t xml:space="preserve">Ley 21.663 · DS 295/2024 · DS 285/2024 · Res. Ex. 87/2025 · …</w:t>
            </w:r>
          </w:p>
        </w:tc>
        <w:tc>
          <w:tcPr>
            <w:tcW w:w="32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8</w:t>
            </w:r>
          </w:p>
          <w:p>
            <w:pPr>
              <w:spacing w:after="20" w:line="240"/>
            </w:pPr>
            <w:r>
              <w:rPr>
                <w:b/>
                <w:bCs/>
                <w:color w:val="0F172A"/>
                <w:sz w:val="17"/>
                <w:szCs w:val="17"/>
              </w:rPr>
              <w:t xml:space="preserve">Estado digital e interoperabilidad</w:t>
            </w:r>
          </w:p>
          <w:p>
            <w:pPr>
              <w:spacing w:after="0" w:line="230"/>
            </w:pPr>
            <w:r>
              <w:rPr>
                <w:color w:val="64748B"/>
                <w:sz w:val="14"/>
                <w:szCs w:val="14"/>
              </w:rPr>
              <w:t xml:space="preserve">Ley 21.180 · Ley 21.464 · DFL 1/2020 · DS 4/2020 · …</w:t>
            </w:r>
          </w:p>
        </w:tc>
        <w:tc>
          <w:tcPr>
            <w:tcW w:w="321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9</w:t>
            </w:r>
          </w:p>
          <w:p>
            <w:pPr>
              <w:spacing w:after="20" w:line="240"/>
            </w:pPr>
            <w:r>
              <w:rPr>
                <w:b/>
                <w:bCs/>
                <w:color w:val="0F172A"/>
                <w:sz w:val="17"/>
                <w:szCs w:val="17"/>
              </w:rPr>
              <w:t xml:space="preserve">Gobierno Digital: WikiGuías y documentos técnicos</w:t>
            </w:r>
          </w:p>
          <w:p>
            <w:pPr>
              <w:spacing w:after="0" w:line="230"/>
            </w:pPr>
            <w:r>
              <w:rPr>
                <w:color w:val="64748B"/>
                <w:sz w:val="14"/>
                <w:szCs w:val="14"/>
              </w:rPr>
              <w:t xml:space="preserve">Res. Ex. 250/2025 · Guía Técnica de Interoperabilidad · Modelo de Interoperabilidad · Términos y condiciones de integración y uso de PISEE · …</w:t>
            </w:r>
          </w:p>
        </w:tc>
      </w:tr>
      <w:tr>
        <w:trPr>
          <w:cantSplit/>
        </w:trPr>
        <w:tc>
          <w:tcPr>
            <w:tcW w:w="32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10</w:t>
            </w:r>
          </w:p>
          <w:p>
            <w:pPr>
              <w:spacing w:after="20" w:line="240"/>
            </w:pPr>
            <w:r>
              <w:rPr>
                <w:b/>
                <w:bCs/>
                <w:color w:val="0F172A"/>
                <w:sz w:val="17"/>
                <w:szCs w:val="17"/>
              </w:rPr>
              <w:t xml:space="preserve">Identidad digital: ClaveÚnica</w:t>
            </w:r>
          </w:p>
          <w:p>
            <w:pPr>
              <w:spacing w:after="0" w:line="230"/>
            </w:pPr>
            <w:r>
              <w:rPr>
                <w:color w:val="64748B"/>
                <w:sz w:val="14"/>
                <w:szCs w:val="14"/>
              </w:rPr>
              <w:t xml:space="preserve">DS 9/2023 · Res. Ex. 733/2025</w:t>
            </w:r>
          </w:p>
        </w:tc>
        <w:tc>
          <w:tcPr>
            <w:tcW w:w="32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11</w:t>
            </w:r>
          </w:p>
          <w:p>
            <w:pPr>
              <w:spacing w:after="20" w:line="240"/>
            </w:pPr>
            <w:r>
              <w:rPr>
                <w:b/>
                <w:bCs/>
                <w:color w:val="0F172A"/>
                <w:sz w:val="17"/>
                <w:szCs w:val="17"/>
              </w:rPr>
              <w:t xml:space="preserve">Inteligencia artificial</w:t>
            </w:r>
          </w:p>
          <w:p>
            <w:pPr>
              <w:spacing w:after="0" w:line="230"/>
            </w:pPr>
            <w:r>
              <w:rPr>
                <w:color w:val="64748B"/>
                <w:sz w:val="14"/>
                <w:szCs w:val="14"/>
              </w:rPr>
              <w:t xml:space="preserve">Boletín 16.821-19 · Política Nacional de IA · Oficio Circular 711/2023 · Res. Ex. 372/2024 · …</w:t>
            </w:r>
          </w:p>
        </w:tc>
        <w:tc>
          <w:tcPr>
            <w:tcW w:w="321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12</w:t>
            </w:r>
          </w:p>
          <w:p>
            <w:pPr>
              <w:spacing w:after="20" w:line="240"/>
            </w:pPr>
            <w:r>
              <w:rPr>
                <w:b/>
                <w:bCs/>
                <w:color w:val="0F172A"/>
                <w:sz w:val="17"/>
                <w:szCs w:val="17"/>
              </w:rPr>
              <w:t xml:space="preserve">Compras públicas</w:t>
            </w:r>
          </w:p>
          <w:p>
            <w:pPr>
              <w:spacing w:after="0" w:line="230"/>
            </w:pPr>
            <w:r>
              <w:rPr>
                <w:color w:val="64748B"/>
                <w:sz w:val="14"/>
                <w:szCs w:val="14"/>
              </w:rPr>
              <w:t xml:space="preserve">Ley 19.886 y Ley 21.634 · DS 661/2024 · Directiva ChileCompra N° 32 · Base Tipo de servicios de cloud computing · …</w:t>
            </w:r>
          </w:p>
        </w:tc>
      </w:tr>
      <w:tr>
        <w:trPr>
          <w:cantSplit/>
        </w:trPr>
        <w:tc>
          <w:tcPr>
            <w:tcW w:w="32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10" w:type="dxa"/>
              <w:bottom w:w="90" w:type="dxa"/>
              <w:right w:w="110" w:type="dxa"/>
            </w:tcMar>
            <w:vAlign w:val="center"/>
          </w:tcPr>
          <w:p>
            <w:pPr>
              <w:spacing w:after="30"/>
            </w:pPr>
            <w:r>
              <w:rPr>
                <w:rFonts w:ascii="Consolas" w:hAnsi="Consolas" w:eastAsia="Consolas" w:cs="Consolas"/>
                <w:b/>
                <w:bCs/>
                <w:color w:val="0D9488"/>
                <w:sz w:val="13"/>
                <w:szCs w:val="13"/>
              </w:rPr>
              <w:t xml:space="preserve">GRUPO 13</w:t>
            </w:r>
          </w:p>
          <w:p>
            <w:pPr>
              <w:spacing w:after="20" w:line="240"/>
            </w:pPr>
            <w:r>
              <w:rPr>
                <w:b/>
                <w:bCs/>
                <w:color w:val="0F172A"/>
                <w:sz w:val="17"/>
                <w:szCs w:val="17"/>
              </w:rPr>
              <w:t xml:space="preserve">Propiedad intelectual</w:t>
            </w:r>
          </w:p>
          <w:p>
            <w:pPr>
              <w:spacing w:after="0" w:line="230"/>
            </w:pPr>
            <w:r>
              <w:rPr>
                <w:color w:val="64748B"/>
                <w:sz w:val="14"/>
                <w:szCs w:val="14"/>
              </w:rPr>
              <w:t xml:space="preserve">Ley 17.336</w:t>
            </w:r>
          </w:p>
        </w:tc>
        <w:tc>
          <w:tcPr>
            <w:tcW w:w="3213" w:type="dxa"/>
            <w:tcBorders>
              <w:top w:val="single" w:sz="6" w:space="0" w:color="FCD34D"/>
              <w:left w:val="single" w:sz="6" w:space="0" w:color="FCD34D"/>
              <w:bottom w:val="single" w:sz="6" w:space="0" w:color="FCD34D"/>
              <w:right w:val="single" w:sz="6" w:space="0" w:color="FCD34D"/>
            </w:tcBorders>
            <w:shd w:val="clear" w:color="auto" w:fill="FFFBEB"/>
            <w:tcMar>
              <w:top w:w="90" w:type="dxa"/>
              <w:left w:w="110" w:type="dxa"/>
              <w:bottom w:w="90" w:type="dxa"/>
              <w:right w:w="110" w:type="dxa"/>
            </w:tcMar>
            <w:vAlign w:val="center"/>
          </w:tcPr>
          <w:p>
            <w:pPr>
              <w:spacing w:after="30"/>
            </w:pPr>
            <w:r>
              <w:rPr>
                <w:rFonts w:ascii="Consolas" w:hAnsi="Consolas" w:eastAsia="Consolas" w:cs="Consolas"/>
                <w:b/>
                <w:bCs/>
                <w:color w:val="B45309"/>
                <w:sz w:val="13"/>
                <w:szCs w:val="13"/>
              </w:rPr>
              <w:t xml:space="preserve">VIGILANCIA</w:t>
            </w:r>
          </w:p>
          <w:p>
            <w:pPr>
              <w:spacing w:after="20" w:line="240"/>
            </w:pPr>
            <w:r>
              <w:rPr>
                <w:b/>
                <w:bCs/>
                <w:color w:val="0F172A"/>
                <w:sz w:val="17"/>
                <w:szCs w:val="17"/>
              </w:rPr>
              <w:t xml:space="preserve">Proyectos en trámite</w:t>
            </w:r>
          </w:p>
          <w:p>
            <w:pPr>
              <w:spacing w:after="0" w:line="230"/>
            </w:pPr>
            <w:r>
              <w:rPr>
                <w:color w:val="64748B"/>
                <w:sz w:val="14"/>
                <w:szCs w:val="14"/>
              </w:rPr>
              <w:t xml:space="preserve">6 proyectos de ley · sección 16</w:t>
            </w:r>
          </w:p>
        </w:tc>
        <w:tc>
          <w:tcPr>
            <w:tcW w:w="3214"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pPr>
              <w:spacing w:after="30"/>
            </w:pPr>
            <w:r>
              <w:rPr>
                <w:rFonts w:ascii="Consolas" w:hAnsi="Consolas" w:eastAsia="Consolas" w:cs="Consolas"/>
                <w:b/>
                <w:bCs/>
                <w:color w:val="CCFBF1"/>
                <w:sz w:val="13"/>
                <w:szCs w:val="13"/>
              </w:rPr>
              <w:t xml:space="preserve">TOTAL</w:t>
            </w:r>
          </w:p>
          <w:p>
            <w:pPr>
              <w:spacing w:after="20" w:line="240"/>
            </w:pPr>
            <w:r>
              <w:rPr>
                <w:b/>
                <w:bCs/>
                <w:color w:val="FFFFFF"/>
                <w:sz w:val="17"/>
                <w:szCs w:val="17"/>
              </w:rPr>
              <w:t xml:space="preserve">100 normas e instrumentos</w:t>
            </w:r>
          </w:p>
          <w:p>
            <w:pPr>
              <w:spacing w:after="0" w:line="230"/>
            </w:pPr>
            <w:r>
              <w:rPr>
                <w:color w:val="94A3B8"/>
                <w:sz w:val="14"/>
                <w:szCs w:val="14"/>
              </w:rPr>
              <w:t xml:space="preserve">34 nuevas · 11 por fuente secundaria</w:t>
            </w:r>
          </w:p>
        </w:tc>
      </w:tr>
    </w:tbl>
    <w:p>
      <w:pPr>
        <w:spacing w:before="80" w:after="200"/>
      </w:pPr>
      <w:r>
        <w:rPr>
          <w:rFonts w:ascii="Consolas" w:hAnsi="Consolas" w:eastAsia="Consolas" w:cs="Consolas"/>
          <w:b/>
          <w:bCs/>
          <w:color w:val="0D9488"/>
          <w:sz w:val="15"/>
          <w:szCs w:val="15"/>
        </w:rPr>
        <w:t xml:space="preserve">FIG. 2  </w:t>
      </w:r>
      <w:r>
        <w:rPr>
          <w:rFonts w:ascii="Calibri" w:hAnsi="Calibri" w:eastAsia="Calibri" w:cs="Calibri"/>
          <w:color w:val="64748B"/>
          <w:sz w:val="16"/>
          <w:szCs w:val="16"/>
        </w:rPr>
        <w:t xml:space="preserve">Los trece grupos normativos del proyecto y la vigilancia de los proyectos en trámite.</w:t>
      </w:r>
    </w:p>
    <w:p>
      <w:pPr>
        <w:pStyle w:val="Heading2"/>
        <w:keepNext/>
        <w:spacing w:before="260" w:after="120"/>
      </w:pPr>
      <w:r>
        <w:rPr>
          <w:rFonts w:ascii="Consolas" w:hAnsi="Consolas" w:eastAsia="Consolas" w:cs="Consolas"/>
          <w:b/>
          <w:bCs/>
          <w:color w:val="0D9488"/>
          <w:sz w:val="22"/>
          <w:szCs w:val="22"/>
        </w:rPr>
        <w:t xml:space="preserve">2.2  </w:t>
      </w:r>
      <w:r>
        <w:rPr>
          <w:rFonts w:ascii="Calibri" w:hAnsi="Calibri" w:eastAsia="Calibri" w:cs="Calibri"/>
          <w:b/>
          <w:bCs/>
          <w:color w:val="0F172A"/>
          <w:sz w:val="25"/>
          <w:szCs w:val="25"/>
        </w:rPr>
        <w:t xml:space="preserve">Fuentes y fecha de corte</w:t>
      </w:r>
    </w:p>
    <w:p>
      <w:pPr>
        <w:pStyle w:val="ListParagraph"/>
        <w:numPr>
          <w:ilvl w:val="0"/>
          <w:numId w:val="2"/>
        </w:numPr>
        <w:spacing w:after="70" w:line="264"/>
      </w:pPr>
      <w:r>
        <w:rPr>
          <w:b/>
          <w:bCs/>
          <w:color w:val="0F172A"/>
          <w:sz w:val="20"/>
          <w:szCs w:val="20"/>
        </w:rPr>
        <w:t xml:space="preserve">Informes de la serie:</w:t>
      </w:r>
      <w:r>
        <w:rPr>
          <w:color w:val="334155"/>
          <w:sz w:val="20"/>
          <w:szCs w:val="20"/>
        </w:rPr>
        <w:t xml:space="preserve"> se extrajeron todas las normas citadas en los informes 00 a 13, el Informe de factibilidad y el Informe 08.5 de anexos.</w:t>
      </w:r>
    </w:p>
    <w:p>
      <w:pPr>
        <w:pStyle w:val="ListParagraph"/>
        <w:numPr>
          <w:ilvl w:val="0"/>
          <w:numId w:val="2"/>
        </w:numPr>
        <w:spacing w:after="70" w:line="264"/>
      </w:pPr>
      <w:r>
        <w:rPr>
          <w:b/>
          <w:bCs/>
          <w:color w:val="0F172A"/>
          <w:sz w:val="20"/>
          <w:szCs w:val="20"/>
        </w:rPr>
        <w:t xml:space="preserve">Fuentes oficiales:</w:t>
      </w:r>
      <w:r>
        <w:rPr>
          <w:color w:val="334155"/>
          <w:sz w:val="20"/>
          <w:szCs w:val="20"/>
        </w:rPr>
        <w:t xml:space="preserve"> sitios de la SUSESO, FONASA, WikiGuías (Secretaría de Gobierno Digital), Diario Oficial, ChileCompra, ANCI, Senado y Cámara de Diputados.</w:t>
      </w:r>
    </w:p>
    <w:p>
      <w:pPr>
        <w:pStyle w:val="ListParagraph"/>
        <w:numPr>
          <w:ilvl w:val="0"/>
          <w:numId w:val="2"/>
        </w:numPr>
        <w:spacing w:after="70" w:line="264"/>
      </w:pPr>
      <w:r>
        <w:rPr>
          <w:b/>
          <w:bCs/>
          <w:color w:val="0F172A"/>
          <w:sz w:val="20"/>
          <w:szCs w:val="20"/>
        </w:rPr>
        <w:t xml:space="preserve">Fuentes secundarias:</w:t>
      </w:r>
      <w:r>
        <w:rPr>
          <w:color w:val="334155"/>
          <w:sz w:val="20"/>
          <w:szCs w:val="20"/>
        </w:rPr>
        <w:t xml:space="preserve"> cuando el texto oficial no estuvo disponible, se usaron fichas de los organismos, prensa y boletines de estudios jurídicos. Esas normas van marcadas como «Fuente secundaria».</w:t>
      </w:r>
    </w:p>
    <w:p>
      <w:pPr>
        <w:pStyle w:val="ListParagraph"/>
        <w:numPr>
          <w:ilvl w:val="0"/>
          <w:numId w:val="2"/>
        </w:numPr>
        <w:spacing w:after="70" w:line="264"/>
      </w:pPr>
      <w:r>
        <w:rPr>
          <w:b/>
          <w:bCs/>
          <w:color w:val="0F172A"/>
          <w:sz w:val="20"/>
          <w:szCs w:val="20"/>
        </w:rPr>
        <w:t xml:space="preserve">Fecha de corte:</w:t>
      </w:r>
      <w:r>
        <w:rPr>
          <w:color w:val="334155"/>
          <w:sz w:val="20"/>
          <w:szCs w:val="20"/>
        </w:rPr>
        <w:t xml:space="preserve"> 8 de octubre de 2026.</w:t>
      </w:r>
    </w:p>
    <w:p>
      <w:pPr>
        <w:pStyle w:val="Heading2"/>
        <w:keepNext/>
        <w:spacing w:before="260" w:after="120"/>
      </w:pPr>
      <w:r>
        <w:rPr>
          <w:rFonts w:ascii="Consolas" w:hAnsi="Consolas" w:eastAsia="Consolas" w:cs="Consolas"/>
          <w:b/>
          <w:bCs/>
          <w:color w:val="0D9488"/>
          <w:sz w:val="22"/>
          <w:szCs w:val="22"/>
        </w:rPr>
        <w:t xml:space="preserve">2.3  </w:t>
      </w:r>
      <w:r>
        <w:rPr>
          <w:rFonts w:ascii="Calibri" w:hAnsi="Calibri" w:eastAsia="Calibri" w:cs="Calibri"/>
          <w:b/>
          <w:bCs/>
          <w:color w:val="0F172A"/>
          <w:sz w:val="25"/>
          <w:szCs w:val="25"/>
        </w:rPr>
        <w:t xml:space="preserve">Límites de esta versión</w:t>
      </w:r>
    </w:p>
    <w:p>
      <w:pPr>
        <w:pStyle w:val="ListParagraph"/>
        <w:numPr>
          <w:ilvl w:val="0"/>
          <w:numId w:val="2"/>
        </w:numPr>
        <w:spacing w:after="70" w:line="264"/>
      </w:pPr>
      <w:r>
        <w:rPr>
          <w:color w:val="334155"/>
          <w:sz w:val="20"/>
          <w:szCs w:val="20"/>
        </w:rPr>
        <w:t xml:space="preserve">Es un análisis técnico-normativo hecho por el equipo de desarrollo. No es un informe en derecho ni reemplaza la revisión del área jurídica de la DEP.</w:t>
      </w:r>
    </w:p>
    <w:p>
      <w:pPr>
        <w:pStyle w:val="ListParagraph"/>
        <w:numPr>
          <w:ilvl w:val="0"/>
          <w:numId w:val="2"/>
        </w:numPr>
        <w:spacing w:after="70" w:line="264"/>
      </w:pPr>
      <w:r>
        <w:rPr>
          <w:color w:val="334155"/>
          <w:sz w:val="20"/>
          <w:szCs w:val="20"/>
        </w:rPr>
        <w:t xml:space="preserve">Esta versión explica </w:t>
      </w:r>
      <w:r>
        <w:rPr>
          <w:b/>
          <w:bCs/>
          <w:color w:val="0F172A"/>
          <w:sz w:val="20"/>
          <w:szCs w:val="20"/>
        </w:rPr>
        <w:t xml:space="preserve">qué es</w:t>
      </w:r>
      <w:r>
        <w:rPr>
          <w:color w:val="334155"/>
          <w:sz w:val="20"/>
          <w:szCs w:val="20"/>
        </w:rPr>
        <w:t xml:space="preserve"> cada norma y </w:t>
      </w:r>
      <w:r>
        <w:rPr>
          <w:b/>
          <w:bCs/>
          <w:color w:val="0F172A"/>
          <w:sz w:val="20"/>
          <w:szCs w:val="20"/>
        </w:rPr>
        <w:t xml:space="preserve">por qué</w:t>
      </w:r>
      <w:r>
        <w:rPr>
          <w:color w:val="334155"/>
          <w:sz w:val="20"/>
          <w:szCs w:val="20"/>
        </w:rPr>
        <w:t xml:space="preserve"> importa. No cita artículos exactos salvo los ya analizados en el Informe 00: eso se hará en la versión 2, sobre los textos oficiales descargados.</w:t>
      </w:r>
    </w:p>
    <w:p>
      <w:pPr>
        <w:pStyle w:val="ListParagraph"/>
        <w:numPr>
          <w:ilvl w:val="0"/>
          <w:numId w:val="2"/>
        </w:numPr>
        <w:spacing w:after="70" w:line="264"/>
      </w:pPr>
      <w:r>
        <w:rPr>
          <w:color w:val="334155"/>
          <w:sz w:val="20"/>
          <w:szCs w:val="20"/>
        </w:rPr>
        <w:t xml:space="preserve">Las normas cambian. Los proyectos en trámite y las circulares de la SUSESO se actualizan seguido, por lo que este anexo debe revisarse antes de cada etapa del proyecto.</w:t>
      </w:r>
    </w:p>
    <w:p>
      <w:pPr>
        <w:keepNext/>
        <w:pageBreakBefore/>
        <w:spacing w:after="60"/>
      </w:pPr>
      <w:bookmarkStart w:id="902" w:name="_idx_03"/>
      <w:r>
        <w:rPr>
          <w:rFonts w:ascii="Consolas" w:hAnsi="Consolas" w:eastAsia="Consolas" w:cs="Consolas"/>
          <w:b/>
          <w:bCs/>
          <w:color w:val="0D9488"/>
          <w:spacing w:val="30"/>
          <w:sz w:val="16"/>
          <w:szCs w:val="16"/>
        </w:rPr>
        <w:t xml:space="preserve">SECCIÓN 03</w:t>
      </w:r>
      <w:r>
        <w:rPr>
          <w:rFonts w:ascii="Consolas" w:hAnsi="Consolas" w:eastAsia="Consolas" w:cs="Consolas"/>
          <w:color w:val="94A3B8"/>
          <w:sz w:val="16"/>
          <w:szCs w:val="16"/>
        </w:rPr>
        <w:t xml:space="preserve">  /  licencias</w:t>
      </w:r>
      <w:bookmarkEnd w:id="902"/>
    </w:p>
    <w:p>
      <w:pPr>
        <w:pStyle w:val="Heading1"/>
        <w:keepNext/>
        <w:spacing w:after="160"/>
      </w:pPr>
      <w:r>
        <w:rPr>
          <w:rFonts w:ascii="Calibri" w:hAnsi="Calibri" w:eastAsia="Calibri" w:cs="Calibri"/>
          <w:b/>
          <w:bCs/>
          <w:color w:val="0F172A"/>
          <w:sz w:val="40"/>
          <w:szCs w:val="40"/>
        </w:rPr>
        <w:t xml:space="preserve">Licencias médicas y subsidios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Es el núcleo del proyecto: estas normas definen qué hace el SLEP como empleador con cada licencia, en qué plazo y con qué datos.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Identificar las reglas del trámite que el sistema debe respetar, vigilar y nunca sobrepasar.</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Leyes, reglamentos, circulares, oficios y dictámenes de la SUSESO, y proyectos de ley en trámite.</w:t>
            </w:r>
          </w:p>
        </w:tc>
      </w:tr>
    </w:tbl>
    <w:p>
      <w:pPr>
        <w:spacing w:after="0"/>
      </w:pPr>
    </w:p>
    <w:p>
      <w:pPr>
        <w:spacing w:before="0" w:after="140" w:line="276"/>
        <w:jc w:val="left"/>
      </w:pPr>
      <w:r>
        <w:rPr>
          <w:rFonts w:ascii="Calibri" w:hAnsi="Calibri" w:eastAsia="Calibri" w:cs="Calibri"/>
          <w:color w:val="334155"/>
          <w:sz w:val="20"/>
          <w:szCs w:val="20"/>
        </w:rPr>
        <w:t xml:space="preserve">La tramitación de una licencia por el empleador está regulada por un reglamento de 1984, por dos leyes recientes y por un conjunto amplio de instrucciones de la SUSESO que se actualiza varias veces al año. Este grupo reúne las normas que fijan el plazo, el contenido de la zona C, la reserva del diagnóstico y la recuperación del subsidio, que son las cuatro reglas que el sistema debe cumplir.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3/1984</w:t>
            </w:r>
          </w:p>
          <w:p>
            <w:pPr>
              <w:spacing w:after="20" w:line="252"/>
              <w:jc w:val="left"/>
            </w:pPr>
            <w:r>
              <w:rPr>
                <w:color w:val="64748B"/>
                <w:sz w:val="14"/>
                <w:szCs w:val="14"/>
              </w:rPr>
              <w:t xml:space="preserve">Ministerio de Salud</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Reglamento de autorización de licencias médicas por las COMPIN y las ISAPRE.</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Fija los plazos que la automatización debe vigilar: el empleador completa la zona C y la envía dentro de 3 días hábiles desde que recibe la licencia; si no, pierde la recuperación del subsidio. Define además qué controla el empleador y las causales de rechazo.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DFL 1/2005</w:t>
            </w:r>
          </w:p>
          <w:p>
            <w:pPr>
              <w:spacing w:after="20" w:line="252"/>
              <w:jc w:val="left"/>
            </w:pPr>
            <w:r>
              <w:rPr>
                <w:color w:val="64748B"/>
                <w:sz w:val="14"/>
                <w:szCs w:val="14"/>
              </w:rPr>
              <w:t xml:space="preserve">Ministerio de Salud</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Texto refundido que organiza el Ministerio de Salud, FONASA, las COMPIN y las ISAPRE.</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Explica quién recibe y resuelve cada licencia según la previsión del funcionario (COMPIN para FONASA, ISAPRE para sus afiliados), dato que el sistema necesita para enviar la zona C al destino correcto. Es también la ley de FONASA, dueño del PIEE.</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20.585</w:t>
            </w:r>
          </w:p>
          <w:p>
            <w:pPr>
              <w:spacing w:after="20" w:line="252"/>
              <w:jc w:val="left"/>
            </w:pPr>
            <w:r>
              <w:rPr>
                <w:color w:val="64748B"/>
                <w:sz w:val="14"/>
                <w:szCs w:val="14"/>
              </w:rPr>
              <w:t xml:space="preserve">Congreso Nacional · 2012</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sobre otorgamiento y uso de licencias médicas.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Regula el control de las licencias por la COMPIN y la SUSESO y la responsabilidad de quien las emite o las usa mal. Define el contexto de fiscalización en que opera el proyecto.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21.746</w:t>
            </w:r>
          </w:p>
          <w:p>
            <w:pPr>
              <w:spacing w:after="20" w:line="252"/>
              <w:jc w:val="left"/>
            </w:pPr>
            <w:r>
              <w:rPr>
                <w:color w:val="64748B"/>
                <w:sz w:val="14"/>
                <w:szCs w:val="14"/>
              </w:rPr>
              <w:t xml:space="preserve">Congreso Nacional · 2025</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Modifica la Ley 20.585 para fortalecer la fiscalización y las sanciones.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Consolida la licencia electrónica como regla, lo que vuelve digital la tramitación del empleador (PIEE y operadores): esa es la condición que hace posible automatizar. Desde el 24 de mayo de 2026 solo emiten licencias profesionales habilitados.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16.395</w:t>
            </w:r>
          </w:p>
          <w:p>
            <w:pPr>
              <w:spacing w:after="20" w:line="252"/>
              <w:jc w:val="left"/>
            </w:pPr>
            <w:r>
              <w:rPr>
                <w:color w:val="64748B"/>
                <w:sz w:val="14"/>
                <w:szCs w:val="14"/>
              </w:rPr>
              <w:t xml:space="preserve">Congreso Nacional</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orgánica de la Superintendencia de Seguridad Social (SUSESO).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Da a la SUSESO la facultad de interpretar las normas de licencias y subsidios y de dictar circulares. Por eso sus instrucciones obligan a operadores, COMPIN e ISAPRE, y condicionan lo que ve y hace el empleador.</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DFL 44/1978</w:t>
            </w:r>
          </w:p>
          <w:p>
            <w:pPr>
              <w:spacing w:after="20" w:line="252"/>
              <w:jc w:val="left"/>
            </w:pPr>
            <w:r>
              <w:rPr>
                <w:color w:val="64748B"/>
                <w:sz w:val="14"/>
                <w:szCs w:val="14"/>
              </w:rPr>
              <w:t xml:space="preserve">Ministerio del Trabajo</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Normas comunes de los subsidios por incapacidad laboral de los trabajadores dependientes.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Regula los subsidios del personal sujeto al Código del Trabajo y opera como norma supletoria. Ayuda a definir qué datos de remuneración se informan en la zona C; su aplicación exacta al personal SLEP se precisará en la segunda etapa.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18.196, art. 12</w:t>
            </w:r>
          </w:p>
          <w:p>
            <w:pPr>
              <w:spacing w:after="20" w:line="252"/>
              <w:jc w:val="left"/>
            </w:pPr>
            <w:r>
              <w:rPr>
                <w:color w:val="64748B"/>
                <w:sz w:val="14"/>
                <w:szCs w:val="14"/>
              </w:rPr>
              <w:t xml:space="preserve">Congreso Nacional</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 de administración financiera sobre la recuperación de subsidios por los servicios públicos.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Es la razón económica del plazo: el SLEP paga la remuneración completa y recupera el equivalente al subsidio solo si tramita a tiempo. Justifica el beneficio medible de automatizar.</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19.117</w:t>
            </w:r>
          </w:p>
          <w:p>
            <w:pPr>
              <w:spacing w:after="20" w:line="252"/>
              <w:jc w:val="left"/>
            </w:pPr>
            <w:r>
              <w:rPr>
                <w:color w:val="64748B"/>
                <w:sz w:val="14"/>
                <w:szCs w:val="14"/>
              </w:rPr>
              <w:t xml:space="preserve">Congreso Nacional</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 citada en el Informe 00 como base complementaria de la recuperación de subsidios.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Se mantiene como referencia. En la segunda etapa debe confirmarse qué artículo vigente aplica a los SLEP.</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B91C1C"/>
                <w:sz w:val="17"/>
                <w:szCs w:val="17"/>
              </w:rPr>
              <w:t xml:space="preserve">● </w:t>
            </w:r>
            <w:r>
              <w:rPr>
                <w:b/>
                <w:bCs/>
                <w:color w:val="B91C1C"/>
                <w:sz w:val="17"/>
                <w:szCs w:val="17"/>
              </w:rPr>
              <w:t xml:space="preserve">Por confirmar</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21.063</w:t>
            </w:r>
          </w:p>
          <w:p>
            <w:pPr>
              <w:spacing w:after="20" w:line="252"/>
              <w:jc w:val="left"/>
            </w:pPr>
            <w:r>
              <w:rPr>
                <w:color w:val="64748B"/>
                <w:sz w:val="14"/>
                <w:szCs w:val="14"/>
              </w:rPr>
              <w:t xml:space="preserve">Congreso Nacional · 2017</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Crea el seguro para el acompañamiento de niños, niñas y adolescentes con condiciones graves de salud (SANNA).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Genera licencias que también llegan al empleador. El sistema debe reconocerlas y tramitarlas, aunque el pago lo haga el seguro.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16.744</w:t>
            </w:r>
          </w:p>
          <w:p>
            <w:pPr>
              <w:spacing w:after="20" w:line="252"/>
              <w:jc w:val="left"/>
            </w:pPr>
            <w:r>
              <w:rPr>
                <w:color w:val="64748B"/>
                <w:sz w:val="14"/>
                <w:szCs w:val="14"/>
              </w:rPr>
              <w:t xml:space="preserve">Congreso Nacional</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Seguro social contra accidentes del trabajo y enfermedades profesionales.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Sus licencias se tramitan por mutualidades o el ISL, en un circuito distinto. Se incluye para dejar explícito si el proyecto las excluye; su aplicación es marginal.</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Código del Trabajo, arts. 195 a 208</w:t>
            </w:r>
          </w:p>
          <w:p>
            <w:pPr>
              <w:spacing w:after="20" w:line="252"/>
              <w:jc w:val="left"/>
            </w:pPr>
            <w:r>
              <w:rPr>
                <w:color w:val="64748B"/>
                <w:sz w:val="14"/>
                <w:szCs w:val="14"/>
              </w:rPr>
              <w:t xml:space="preserve">Congreso Nacional</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Protección a la maternidad, la paternidad y la vida familiar.</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Las licencias pre y postnatales y por enfermedad grave del hijo menor de un año también requieren la zona C. El sistema debe distinguir su tipo y sus plazos.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DL 3.500</w:t>
            </w:r>
          </w:p>
          <w:p>
            <w:pPr>
              <w:spacing w:after="20" w:line="252"/>
              <w:jc w:val="left"/>
            </w:pPr>
            <w:r>
              <w:rPr>
                <w:color w:val="64748B"/>
                <w:sz w:val="14"/>
                <w:szCs w:val="14"/>
              </w:rPr>
              <w:t xml:space="preserve">Ministerio del Trabajo · 1980</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Sistema de pensiones de capitalización individual.</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Durante la licencia se cotiza sobre el subsidio y la zona C pide datos previsionales. Su papel exacto en el proyecto queda por confirmar.</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B91C1C"/>
                <w:sz w:val="17"/>
                <w:szCs w:val="17"/>
              </w:rPr>
              <w:t xml:space="preserve">● </w:t>
            </w:r>
            <w:r>
              <w:rPr>
                <w:b/>
                <w:bCs/>
                <w:color w:val="B91C1C"/>
                <w:sz w:val="17"/>
                <w:szCs w:val="17"/>
              </w:rPr>
              <w:t xml:space="preserve">Por confirmar</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Circular SUSESO 3779</w:t>
            </w:r>
          </w:p>
          <w:p>
            <w:pPr>
              <w:spacing w:after="20" w:line="252"/>
              <w:jc w:val="left"/>
            </w:pPr>
            <w:r>
              <w:rPr>
                <w:color w:val="64748B"/>
                <w:sz w:val="14"/>
                <w:szCs w:val="14"/>
              </w:rPr>
              <w:t xml:space="preserve">SUSESO · 12-oct-2023</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Instrucciones sobre la licencia médica electrónica y la adscripción de los empleadores.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Exige convenios entre operadores y empleadores, y que el empleador nunca vea el diagnóstico. Es la fuente directa de la regla de diseño que impide al sistema capturar datos clínicos, y la base de la vía por operador (I-MED o Medipass).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Circular SUSESO 3868</w:t>
            </w:r>
          </w:p>
          <w:p>
            <w:pPr>
              <w:spacing w:after="20" w:line="252"/>
              <w:jc w:val="left"/>
            </w:pPr>
            <w:r>
              <w:rPr>
                <w:color w:val="64748B"/>
                <w:sz w:val="14"/>
                <w:szCs w:val="14"/>
              </w:rPr>
              <w:t xml:space="preserve">SUSESO · 25-jun-2025</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Actualiza el Compendio para aplicar la Ley 21.746.</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Define cómo operan los operadores, la COMPIN y las ISAPRE tras la reforma. El sistema debe ajustarse a esos flujos y a los estados de la licencia.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Circular SUSESO 3913</w:t>
            </w:r>
          </w:p>
          <w:p>
            <w:pPr>
              <w:spacing w:after="20" w:line="252"/>
              <w:jc w:val="left"/>
            </w:pPr>
            <w:r>
              <w:rPr>
                <w:color w:val="64748B"/>
                <w:sz w:val="14"/>
                <w:szCs w:val="14"/>
              </w:rPr>
              <w:t xml:space="preserve">SUSESO · 18-mar-2026</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Crea el sistema GRIS LM de reportes para supervisar las licencias (Libro VII del Compendio).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Cambia la información que circula entre los actores del sistema de licencias. Conviene conocerla para que el proyecto no duplique ni contradiga esos flujos.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p>
            <w:pPr>
              <w:spacing w:after="20" w:line="252"/>
              <w:jc w:val="left"/>
            </w:pPr>
            <w:r>
              <w:rPr>
                <w:i/>
                <w:iCs/>
                <w:color w:val="64748B"/>
                <w:sz w:val="14"/>
                <w:szCs w:val="14"/>
              </w:rPr>
              <w:t xml:space="preserve">Fuente secundaria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Circular SUSESO 3917</w:t>
            </w:r>
          </w:p>
          <w:p>
            <w:pPr>
              <w:spacing w:after="20" w:line="252"/>
              <w:jc w:val="left"/>
            </w:pPr>
            <w:r>
              <w:rPr>
                <w:color w:val="64748B"/>
                <w:sz w:val="14"/>
                <w:szCs w:val="14"/>
              </w:rPr>
              <w:t xml:space="preserve">SUSESO · 21-jul-2026</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Instrucciones sobre el plazo para reclamar ante la SUSESO por el rechazo de una licencia.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Afecta el seguimiento de licencias rechazadas que el sistema puede mostrar al encargado.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p>
            <w:pPr>
              <w:spacing w:after="20" w:line="252"/>
              <w:jc w:val="left"/>
            </w:pPr>
            <w:r>
              <w:rPr>
                <w:i/>
                <w:iCs/>
                <w:color w:val="64748B"/>
                <w:sz w:val="14"/>
                <w:szCs w:val="14"/>
              </w:rPr>
              <w:t xml:space="preserve">Fuente secundaria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Circular SUSESO 3926</w:t>
            </w:r>
          </w:p>
          <w:p>
            <w:pPr>
              <w:spacing w:after="20" w:line="252"/>
              <w:jc w:val="left"/>
            </w:pPr>
            <w:r>
              <w:rPr>
                <w:color w:val="64748B"/>
                <w:sz w:val="14"/>
                <w:szCs w:val="14"/>
              </w:rPr>
              <w:t xml:space="preserve">SUSESO · 23-sep-2026</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Instrucciones sobre reclamos y el art. 3° de la Ley 20.585; modifica el Libro II del Compendio.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Rige desde el 4 de enero de 2027. El seguimiento de rechazos y reclamos del sistema debe estar actualizado para esa fecha.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0D9488"/>
                <w:sz w:val="17"/>
                <w:szCs w:val="17"/>
              </w:rPr>
              <w:t xml:space="preserve">● </w:t>
            </w:r>
            <w:r>
              <w:rPr>
                <w:b/>
                <w:bCs/>
                <w:color w:val="0D9488"/>
                <w:sz w:val="17"/>
                <w:szCs w:val="17"/>
              </w:rPr>
              <w:t xml:space="preserve">Por entrar en vigor</w:t>
            </w:r>
          </w:p>
          <w:p>
            <w:pPr>
              <w:spacing w:after="20" w:line="252"/>
              <w:jc w:val="left"/>
            </w:pPr>
            <w:r>
              <w:rPr>
                <w:i/>
                <w:iCs/>
                <w:color w:val="64748B"/>
                <w:sz w:val="14"/>
                <w:szCs w:val="14"/>
              </w:rPr>
              <w:t xml:space="preserve">Fuente secundaria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Oficio SUSESO O-01-S-02744-2026</w:t>
            </w:r>
          </w:p>
          <w:p>
            <w:pPr>
              <w:spacing w:after="20" w:line="252"/>
              <w:jc w:val="left"/>
            </w:pPr>
            <w:r>
              <w:rPr>
                <w:color w:val="64748B"/>
                <w:sz w:val="14"/>
                <w:szCs w:val="14"/>
              </w:rPr>
              <w:t xml:space="preserve">SUSESO · 26-jun-2026</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Ordena a los operadores habilitar licencias de reemplazo y quitar los bloqueos a la emisión retroactiva.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Pueden aparecer licencias de reemplazo o con fechas pasadas, que el sistema debe reconocer sin tratarlas como error.</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p>
            <w:pPr>
              <w:spacing w:after="20" w:line="252"/>
              <w:jc w:val="left"/>
            </w:pPr>
            <w:r>
              <w:rPr>
                <w:i/>
                <w:iCs/>
                <w:color w:val="64748B"/>
                <w:sz w:val="14"/>
                <w:szCs w:val="14"/>
              </w:rPr>
              <w:t xml:space="preserve">Fuente secundaria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Compendio de Normas sobre Licencias Médicas, Subsidios y SANNA</w:t>
            </w:r>
          </w:p>
          <w:p>
            <w:pPr>
              <w:spacing w:after="20" w:line="252"/>
              <w:jc w:val="left"/>
            </w:pPr>
            <w:r>
              <w:rPr>
                <w:color w:val="64748B"/>
                <w:sz w:val="14"/>
                <w:szCs w:val="14"/>
              </w:rPr>
              <w:t xml:space="preserve">SUSESO · 16ª versión</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Reúne todas las instrucciones vigentes de la SUSESO sobre licencias, subsidios y seguro SANNA.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Es la fuente técnica más directa. Sus libros II (licencias), VI (control) y VII (sistemas de información) describen la tramitación y los servicios web de la licencia electrónica, y declaran aplicable la Ley 21.459.</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Dictamen SUSESO 9937-2012</w:t>
            </w:r>
          </w:p>
          <w:p>
            <w:pPr>
              <w:spacing w:after="20" w:line="252"/>
              <w:jc w:val="left"/>
            </w:pPr>
            <w:r>
              <w:rPr>
                <w:color w:val="64748B"/>
                <w:sz w:val="14"/>
                <w:szCs w:val="14"/>
              </w:rPr>
              <w:t xml:space="preserve">SUSESO · 2012</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Pronunciamiento sobre la devolución de la licencia al empleador.</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Confirma que el empleador no debe conocer las enfermedades de sus funcionarios. Respalda la exclusión del diagnóstico en todo el proyecto.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Boletín 17.678-11</w:t>
            </w:r>
          </w:p>
          <w:p>
            <w:pPr>
              <w:spacing w:after="20" w:line="252"/>
              <w:jc w:val="left"/>
            </w:pPr>
            <w:r>
              <w:rPr>
                <w:color w:val="64748B"/>
                <w:sz w:val="14"/>
                <w:szCs w:val="14"/>
              </w:rPr>
              <w:t xml:space="preserve">Ejecutivo · ingreso jul-2025</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Proyecto que fija una carencia de 2 días y crea una remuneración diaria durante la licencia en el sector público.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Si se aprueba, cambia cómo el SLEP paga y recupera durante la licencia, y los cálculos que apoye el sistema deberán ajustarse.</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B45309"/>
                <w:sz w:val="17"/>
                <w:szCs w:val="17"/>
              </w:rPr>
              <w:t xml:space="preserve">● </w:t>
            </w:r>
            <w:r>
              <w:rPr>
                <w:b/>
                <w:bCs/>
                <w:color w:val="B45309"/>
                <w:sz w:val="17"/>
                <w:szCs w:val="17"/>
              </w:rPr>
              <w:t xml:space="preserve">En trámite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Boletín 17.375-11</w:t>
            </w:r>
          </w:p>
          <w:p>
            <w:pPr>
              <w:spacing w:after="20" w:line="252"/>
              <w:jc w:val="left"/>
            </w:pPr>
            <w:r>
              <w:rPr>
                <w:color w:val="64748B"/>
                <w:sz w:val="14"/>
                <w:szCs w:val="14"/>
              </w:rPr>
              <w:t xml:space="preserve">Ejecutivo · 2025</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Proyecto misceláneo que traspasa funciones de la COMPIN a FONASA.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Cambiaría quién resuelve las licencias de los afiliados a FONASA y podría modificar el PIEE y sus integraciones.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B45309"/>
                <w:sz w:val="17"/>
                <w:szCs w:val="17"/>
              </w:rPr>
              <w:t xml:space="preserve">● </w:t>
            </w:r>
            <w:r>
              <w:rPr>
                <w:b/>
                <w:bCs/>
                <w:color w:val="B45309"/>
                <w:sz w:val="17"/>
                <w:szCs w:val="17"/>
              </w:rPr>
              <w:t xml:space="preserve">En trámite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Boletín 17.914-13</w:t>
            </w:r>
          </w:p>
          <w:p>
            <w:pPr>
              <w:spacing w:after="20" w:line="252"/>
              <w:jc w:val="left"/>
            </w:pPr>
            <w:r>
              <w:rPr>
                <w:color w:val="64748B"/>
                <w:sz w:val="14"/>
                <w:szCs w:val="14"/>
              </w:rPr>
              <w:t xml:space="preserve">Moción · oct-2025</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Proyecto que califica el uso indebido de licencias como causal de despido en el Código del Trabajo.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Refuerza la confidencialidad del diagnóstico y el valor de las resoluciones de rechazo. Su impacto en el proyecto es indirecto.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B45309"/>
                <w:sz w:val="17"/>
                <w:szCs w:val="17"/>
              </w:rPr>
              <w:t xml:space="preserve">● </w:t>
            </w:r>
            <w:r>
              <w:rPr>
                <w:b/>
                <w:bCs/>
                <w:color w:val="B45309"/>
                <w:sz w:val="17"/>
                <w:szCs w:val="17"/>
              </w:rPr>
              <w:t xml:space="preserve">En trámite</w:t>
            </w:r>
          </w:p>
          <w:p>
            <w:pPr>
              <w:spacing w:after="20" w:line="252"/>
              <w:jc w:val="left"/>
            </w:pPr>
            <w:r>
              <w:rPr>
                <w:i/>
                <w:iCs/>
                <w:color w:val="64748B"/>
                <w:sz w:val="14"/>
                <w:szCs w:val="14"/>
              </w:rPr>
              <w:t xml:space="preserve">Fuente secundaria</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El sistema existe para cumplir el plazo de 3 días hábiles del DS 3/1984 y nunca puede tocar el diagnóstico (Circular SUSESO 3779).</w:t>
            </w:r>
          </w:p>
        </w:tc>
      </w:tr>
    </w:tbl>
    <w:p>
      <w:pPr>
        <w:keepNext/>
        <w:pageBreakBefore/>
        <w:spacing w:after="60"/>
      </w:pPr>
      <w:bookmarkStart w:id="903" w:name="_idx_04"/>
      <w:r>
        <w:rPr>
          <w:rFonts w:ascii="Consolas" w:hAnsi="Consolas" w:eastAsia="Consolas" w:cs="Consolas"/>
          <w:b/>
          <w:bCs/>
          <w:color w:val="0D9488"/>
          <w:spacing w:val="30"/>
          <w:sz w:val="16"/>
          <w:szCs w:val="16"/>
        </w:rPr>
        <w:t xml:space="preserve">SECCIÓN 04</w:t>
      </w:r>
      <w:r>
        <w:rPr>
          <w:rFonts w:ascii="Consolas" w:hAnsi="Consolas" w:eastAsia="Consolas" w:cs="Consolas"/>
          <w:color w:val="94A3B8"/>
          <w:sz w:val="16"/>
          <w:szCs w:val="16"/>
        </w:rPr>
        <w:t xml:space="preserve">  /  fonasa</w:t>
      </w:r>
      <w:bookmarkEnd w:id="903"/>
    </w:p>
    <w:p>
      <w:pPr>
        <w:pStyle w:val="Heading1"/>
        <w:keepNext/>
        <w:spacing w:after="160"/>
      </w:pPr>
      <w:r>
        <w:rPr>
          <w:rFonts w:ascii="Calibri" w:hAnsi="Calibri" w:eastAsia="Calibri" w:cs="Calibri"/>
          <w:b/>
          <w:bCs/>
          <w:color w:val="0F172A"/>
          <w:sz w:val="40"/>
          <w:szCs w:val="40"/>
        </w:rPr>
        <w:t xml:space="preserve">FONASA, PIEE y operadores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El PIEE es el lugar donde ocurre el trámite; sus reglas de uso determinan qué se puede automatizar y cómo.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Reunir los documentos oficiales del portal y de los canales de integración disponibles para el empleador.</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Revisión del sitio de empleadores de FONASA, sus manuales y comunicados, y la documentación de los operadores de licencia electrónica.</w:t>
            </w:r>
          </w:p>
        </w:tc>
      </w:tr>
    </w:tbl>
    <w:p>
      <w:pPr>
        <w:spacing w:after="0"/>
      </w:pPr>
    </w:p>
    <w:p>
      <w:pPr>
        <w:spacing w:before="0" w:after="140" w:line="276"/>
        <w:jc w:val="left"/>
      </w:pPr>
      <w:r>
        <w:rPr>
          <w:rFonts w:ascii="Calibri" w:hAnsi="Calibri" w:eastAsia="Calibri" w:cs="Calibri"/>
          <w:color w:val="334155"/>
          <w:sz w:val="20"/>
          <w:szCs w:val="20"/>
        </w:rPr>
        <w:t xml:space="preserve">No son leyes, pero son las reglas operativas del canal oficial. Desde octubre de 2026 el PIEE reemplaza al antiguo portal de empleadores, y su manual no contempla API para empleadores: la integración documentada pasa por los operadores de licencia electrónica, con convenio.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Manual de uso del Portal PIEE</w:t>
            </w:r>
          </w:p>
          <w:p>
            <w:pPr>
              <w:spacing w:after="20" w:line="252"/>
              <w:jc w:val="left"/>
            </w:pPr>
            <w:r>
              <w:rPr>
                <w:color w:val="64748B"/>
                <w:sz w:val="14"/>
                <w:szCs w:val="14"/>
              </w:rPr>
              <w:t xml:space="preserve">FONASA · 2026</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Guía oficial de FONASA para tramitar licencias en el PIEE.</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Describe la tramitación de la zona C en cuatro pasos y la exportación CSV, que es la base que el sistema replica o asiste. No menciona API para empleadores.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Manual de homologación de entidades empleadoras</w:t>
            </w:r>
          </w:p>
          <w:p>
            <w:pPr>
              <w:spacing w:after="20" w:line="252"/>
              <w:jc w:val="left"/>
            </w:pPr>
            <w:r>
              <w:rPr>
                <w:color w:val="64748B"/>
                <w:sz w:val="14"/>
                <w:szCs w:val="14"/>
              </w:rPr>
              <w:t xml:space="preserve">FONASA · 2026</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Instructivo para homologar a la entidad empleadora en el PIEE.</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Cada SLEP debe estar homologado antes de cualquier piloto, y solo el usuario con rol administrador puede hacerlo. Es un requisito previo del proyecto.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Aviso de FONASA: extensión del PUE</w:t>
            </w:r>
          </w:p>
          <w:p>
            <w:pPr>
              <w:spacing w:after="20" w:line="252"/>
              <w:jc w:val="left"/>
            </w:pPr>
            <w:r>
              <w:rPr>
                <w:color w:val="64748B"/>
                <w:sz w:val="14"/>
                <w:szCs w:val="14"/>
              </w:rPr>
              <w:t xml:space="preserve">FONASA · 1-oct-2026</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Comunicado que extiende el antiguo Portal de Usuario Empleador hasta el 15 de octubre de 2026.</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Corrige la fecha que usan los informes (30 de septiembre) y obliga a completar la migración al PIEE antes del 16 de octubre.</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Condiciones de uso del portal de empleadores</w:t>
            </w:r>
          </w:p>
          <w:p>
            <w:pPr>
              <w:spacing w:after="20" w:line="252"/>
              <w:jc w:val="left"/>
            </w:pPr>
            <w:r>
              <w:rPr>
                <w:color w:val="64748B"/>
                <w:sz w:val="14"/>
                <w:szCs w:val="14"/>
              </w:rPr>
              <w:t xml:space="preserve">FONASA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Condiciones de uso de la información de licencias para los empleadores.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Limitan el uso de la información a fines laborales. Deben revisarse por escrito antes de automatizar cualquier paso del portal.</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B91C1C"/>
                <w:sz w:val="17"/>
                <w:szCs w:val="17"/>
              </w:rPr>
              <w:t xml:space="preserve">● </w:t>
            </w:r>
            <w:r>
              <w:rPr>
                <w:b/>
                <w:bCs/>
                <w:color w:val="B91C1C"/>
                <w:sz w:val="17"/>
                <w:szCs w:val="17"/>
              </w:rPr>
              <w:t xml:space="preserve">Por confirmar</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Documentación de servicios web de I-MED y Medipass</w:t>
            </w:r>
          </w:p>
          <w:p>
            <w:pPr>
              <w:spacing w:after="20" w:line="252"/>
              <w:jc w:val="left"/>
            </w:pPr>
            <w:r>
              <w:rPr>
                <w:color w:val="64748B"/>
                <w:sz w:val="14"/>
                <w:szCs w:val="14"/>
              </w:rPr>
              <w:t xml:space="preserve">Operadores de licencia electrónica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Documentación técnica de los servicios web que los operadores ofrecen a los empleadores.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Es la única vía de integración documentada hoy y exige convenio. Condiciona los caminos API y servicios web del proyecto.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Antes de automatizar, cada SLEP debe estar homologado en el PIEE, y el portal antiguo (PUE) deja de existir el 16 de octubre de 2026.</w:t>
            </w:r>
          </w:p>
        </w:tc>
      </w:tr>
    </w:tbl>
    <w:p>
      <w:pPr>
        <w:keepNext/>
        <w:pageBreakBefore/>
        <w:spacing w:after="60"/>
      </w:pPr>
      <w:bookmarkStart w:id="904" w:name="_idx_05"/>
      <w:r>
        <w:rPr>
          <w:rFonts w:ascii="Consolas" w:hAnsi="Consolas" w:eastAsia="Consolas" w:cs="Consolas"/>
          <w:b/>
          <w:bCs/>
          <w:color w:val="0D9488"/>
          <w:spacing w:val="30"/>
          <w:sz w:val="16"/>
          <w:szCs w:val="16"/>
        </w:rPr>
        <w:t xml:space="preserve">SECCIÓN 05</w:t>
      </w:r>
      <w:r>
        <w:rPr>
          <w:rFonts w:ascii="Consolas" w:hAnsi="Consolas" w:eastAsia="Consolas" w:cs="Consolas"/>
          <w:color w:val="94A3B8"/>
          <w:sz w:val="16"/>
          <w:szCs w:val="16"/>
        </w:rPr>
        <w:t xml:space="preserve">  /  institucional</w:t>
      </w:r>
      <w:bookmarkEnd w:id="904"/>
    </w:p>
    <w:p>
      <w:pPr>
        <w:pStyle w:val="Heading1"/>
        <w:keepNext/>
        <w:spacing w:after="160"/>
      </w:pPr>
      <w:r>
        <w:rPr>
          <w:rFonts w:ascii="Calibri" w:hAnsi="Calibri" w:eastAsia="Calibri" w:cs="Calibri"/>
          <w:b/>
          <w:bCs/>
          <w:color w:val="0F172A"/>
          <w:sz w:val="40"/>
          <w:szCs w:val="40"/>
        </w:rPr>
        <w:t xml:space="preserve">Institucional: DEP y SLEP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Define quién puede impulsar el sistema y quién responde por los datos de cada licencia.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Fundar el rol coordinador de la DEP y la independencia de cada SLEP como empleador.</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Ley 21.040, su modificación por la Ley 21.819, Ley 18.575 y proyectos en trámite.</w:t>
            </w:r>
          </w:p>
        </w:tc>
      </w:tr>
    </w:tbl>
    <w:p>
      <w:pPr>
        <w:spacing w:after="0"/>
      </w:pPr>
    </w:p>
    <w:p>
      <w:pPr>
        <w:spacing w:before="0" w:after="140" w:line="276"/>
        <w:jc w:val="left"/>
      </w:pPr>
      <w:r>
        <w:rPr>
          <w:rFonts w:ascii="Calibri" w:hAnsi="Calibri" w:eastAsia="Calibri" w:cs="Calibri"/>
          <w:color w:val="334155"/>
          <w:sz w:val="20"/>
          <w:szCs w:val="20"/>
        </w:rPr>
        <w:t xml:space="preserve">Cada SLEP es un servicio autónomo, con personalidad jurídica y RUT propio ante FONASA: es el empleador que tramita sus licencias. La DEP no tramita licencias, pero la ley le permite definir y proveer sistemas comunes para los SLEP.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21.040</w:t>
            </w:r>
          </w:p>
          <w:p>
            <w:pPr>
              <w:spacing w:after="20" w:line="252"/>
              <w:jc w:val="left"/>
            </w:pPr>
            <w:r>
              <w:rPr>
                <w:color w:val="64748B"/>
                <w:sz w:val="14"/>
                <w:szCs w:val="14"/>
              </w:rPr>
              <w:t xml:space="preserve">Congreso Nacional · 2017</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Crea el Sistema de Educación Pública, los SLEP y la DEP.</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Cada SLEP es un empleador autónomo y responsable de sus datos. La DEP puede definir y proveer sistemas comunes (art. 61), que es la base para ofrecer la automatización a los SLEP.</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21.819</w:t>
            </w:r>
          </w:p>
          <w:p>
            <w:pPr>
              <w:spacing w:after="20" w:line="252"/>
              <w:jc w:val="left"/>
            </w:pPr>
            <w:r>
              <w:rPr>
                <w:color w:val="64748B"/>
                <w:sz w:val="14"/>
                <w:szCs w:val="14"/>
              </w:rPr>
              <w:t xml:space="preserve">Congreso Nacional · 25-may-2026</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Modifica la Ley 21.040.</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Agrega la facultad de la DEP de dar instrucciones vinculantes a los SLEP en gestión administrativa y financiera (art. 61 u), que podría respaldar la adopción del sistema.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DFL 1-19.653 (Ley 18.575)</w:t>
            </w:r>
          </w:p>
          <w:p>
            <w:pPr>
              <w:spacing w:after="20" w:line="252"/>
              <w:jc w:val="left"/>
            </w:pPr>
            <w:r>
              <w:rPr>
                <w:color w:val="64748B"/>
                <w:sz w:val="14"/>
                <w:szCs w:val="14"/>
              </w:rPr>
              <w:t xml:space="preserve">SEGPRES · 2001</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Texto refundido de la Ley de Bases Generales de la Administración del Estado.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Exige eficiencia, eficacia y coordinación, y evitar duplicar funciones. Respalda un sistema común en lugar de soluciones distintas en cada SLEP.</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Boletín 18.551-04</w:t>
            </w:r>
          </w:p>
          <w:p>
            <w:pPr>
              <w:spacing w:after="20" w:line="252"/>
              <w:jc w:val="left"/>
            </w:pPr>
            <w:r>
              <w:rPr>
                <w:color w:val="64748B"/>
                <w:sz w:val="14"/>
                <w:szCs w:val="14"/>
              </w:rPr>
              <w:t xml:space="preserve">Ejecutivo · 2026</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Proyecto que extiende el plazo de instalación de los SLEP hasta 2040.</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Define cuántos SLEP usarán el sistema y cuándo. El diseño debe crecer sin depender de una fecha fija.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B45309"/>
                <w:sz w:val="17"/>
                <w:szCs w:val="17"/>
              </w:rPr>
              <w:t xml:space="preserve">● </w:t>
            </w:r>
            <w:r>
              <w:rPr>
                <w:b/>
                <w:bCs/>
                <w:color w:val="B45309"/>
                <w:sz w:val="17"/>
                <w:szCs w:val="17"/>
              </w:rPr>
              <w:t xml:space="preserve">En trámite</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La DEP coordina y provee el sistema; cada SLEP sigue siendo el empleador responsable de sus licencias y de sus datos.</w:t>
            </w:r>
          </w:p>
        </w:tc>
      </w:tr>
    </w:tbl>
    <w:p>
      <w:pPr>
        <w:keepNext/>
        <w:pageBreakBefore/>
        <w:spacing w:after="60"/>
      </w:pPr>
      <w:bookmarkStart w:id="905" w:name="_idx_06"/>
      <w:r>
        <w:rPr>
          <w:rFonts w:ascii="Consolas" w:hAnsi="Consolas" w:eastAsia="Consolas" w:cs="Consolas"/>
          <w:b/>
          <w:bCs/>
          <w:color w:val="0D9488"/>
          <w:spacing w:val="30"/>
          <w:sz w:val="16"/>
          <w:szCs w:val="16"/>
        </w:rPr>
        <w:t xml:space="preserve">SECCIÓN 06</w:t>
      </w:r>
      <w:r>
        <w:rPr>
          <w:rFonts w:ascii="Consolas" w:hAnsi="Consolas" w:eastAsia="Consolas" w:cs="Consolas"/>
          <w:color w:val="94A3B8"/>
          <w:sz w:val="16"/>
          <w:szCs w:val="16"/>
        </w:rPr>
        <w:t xml:space="preserve">  /  personal</w:t>
      </w:r>
      <w:bookmarkEnd w:id="905"/>
    </w:p>
    <w:p>
      <w:pPr>
        <w:pStyle w:val="Heading1"/>
        <w:keepNext/>
        <w:spacing w:after="160"/>
      </w:pPr>
      <w:r>
        <w:rPr>
          <w:rFonts w:ascii="Calibri" w:hAnsi="Calibri" w:eastAsia="Calibri" w:cs="Calibri"/>
          <w:b/>
          <w:bCs/>
          <w:color w:val="0F172A"/>
          <w:sz w:val="40"/>
          <w:szCs w:val="40"/>
        </w:rPr>
        <w:t xml:space="preserve">Régimen del personal de los SLEP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El personal de un SLEP no tiene un único régimen: cada estatuto regula de forma distinta la remuneración durante la licencia.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Saber qué norma aplica a cada funcionario para tramitar y calcular correctamente.</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Estatutos aplicables según el art. 47 de la Ley 21.040.</w:t>
            </w:r>
          </w:p>
        </w:tc>
      </w:tr>
    </w:tbl>
    <w:p>
      <w:pPr>
        <w:spacing w:after="0"/>
      </w:pPr>
    </w:p>
    <w:p>
      <w:pPr>
        <w:spacing w:before="0" w:after="140" w:line="276"/>
        <w:jc w:val="left"/>
      </w:pPr>
      <w:r>
        <w:rPr>
          <w:rFonts w:ascii="Calibri" w:hAnsi="Calibri" w:eastAsia="Calibri" w:cs="Calibri"/>
          <w:color w:val="334155"/>
          <w:sz w:val="20"/>
          <w:szCs w:val="20"/>
        </w:rPr>
        <w:t xml:space="preserve">En un mismo SLEP conviven funcionarios de planta y contrata, profesionales de la educación y asistentes de la educación. La licencia se tramita igual ante FONASA, pero lo que paga y recupera el SLEP depende del estatuto de cada persona.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DFL 29/2004 (Estatuto Administrativo)</w:t>
            </w:r>
          </w:p>
          <w:p>
            <w:pPr>
              <w:spacing w:after="20" w:line="252"/>
              <w:jc w:val="left"/>
            </w:pPr>
            <w:r>
              <w:rPr>
                <w:color w:val="64748B"/>
                <w:sz w:val="14"/>
                <w:szCs w:val="14"/>
              </w:rPr>
              <w:t xml:space="preserve">Ministerio de Hacienda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Estatuto de los funcionarios de planta y contrata.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El funcionario conserva su remuneración durante la licencia (art. 111), lo que obliga al SLEP a recuperar después el subsidio.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DFL 1/1996 (Estatuto Docente)</w:t>
            </w:r>
          </w:p>
          <w:p>
            <w:pPr>
              <w:spacing w:after="20" w:line="252"/>
              <w:jc w:val="left"/>
            </w:pPr>
            <w:r>
              <w:rPr>
                <w:color w:val="64748B"/>
                <w:sz w:val="14"/>
                <w:szCs w:val="14"/>
              </w:rPr>
              <w:t xml:space="preserve">Ministerio de Educación</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Texto refundido del estatuto de los profesionales de la educación (Ley 19.070).</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Rige a los docentes, que son buena parte del personal con licencias. Sus reglas de remuneración y reemplazo influyen en la tramitación.</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21.109</w:t>
            </w:r>
          </w:p>
          <w:p>
            <w:pPr>
              <w:spacing w:after="20" w:line="252"/>
              <w:jc w:val="left"/>
            </w:pPr>
            <w:r>
              <w:rPr>
                <w:color w:val="64748B"/>
                <w:sz w:val="14"/>
                <w:szCs w:val="14"/>
              </w:rPr>
              <w:t xml:space="preserve">Congreso Nacional · 2018</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Estatuto de los asistentes de la educación pública.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Regula la remuneración durante la licencia de los asistentes (art. 29) y remite en forma supletoria al Código del Trabajo.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DFL 1/2002 (Código del Trabajo)</w:t>
            </w:r>
          </w:p>
          <w:p>
            <w:pPr>
              <w:spacing w:after="20" w:line="252"/>
              <w:jc w:val="left"/>
            </w:pPr>
            <w:r>
              <w:rPr>
                <w:color w:val="64748B"/>
                <w:sz w:val="14"/>
                <w:szCs w:val="14"/>
              </w:rPr>
              <w:t xml:space="preserve">Ministerio del Trabajo</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Texto refundido del Código del Trabajo.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Se aplica en forma supletoria a los asistentes de la educación y define los derechos de maternidad y paternidad.</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El sistema debe saber qué estatuto tiene cada funcionario, porque eso cambia cómo se paga y se recupera la licencia.</w:t>
            </w:r>
          </w:p>
        </w:tc>
      </w:tr>
    </w:tbl>
    <w:p>
      <w:pPr>
        <w:keepNext/>
        <w:pageBreakBefore/>
        <w:spacing w:after="60"/>
      </w:pPr>
      <w:bookmarkStart w:id="906" w:name="_idx_07"/>
      <w:r>
        <w:rPr>
          <w:rFonts w:ascii="Consolas" w:hAnsi="Consolas" w:eastAsia="Consolas" w:cs="Consolas"/>
          <w:b/>
          <w:bCs/>
          <w:color w:val="0D9488"/>
          <w:spacing w:val="30"/>
          <w:sz w:val="16"/>
          <w:szCs w:val="16"/>
        </w:rPr>
        <w:t xml:space="preserve">SECCIÓN 07</w:t>
      </w:r>
      <w:r>
        <w:rPr>
          <w:rFonts w:ascii="Consolas" w:hAnsi="Consolas" w:eastAsia="Consolas" w:cs="Consolas"/>
          <w:color w:val="94A3B8"/>
          <w:sz w:val="16"/>
          <w:szCs w:val="16"/>
        </w:rPr>
        <w:t xml:space="preserve">  /  fiscalización</w:t>
      </w:r>
      <w:bookmarkEnd w:id="906"/>
    </w:p>
    <w:p>
      <w:pPr>
        <w:pStyle w:val="Heading1"/>
        <w:keepNext/>
        <w:spacing w:after="160"/>
      </w:pPr>
      <w:r>
        <w:rPr>
          <w:rFonts w:ascii="Calibri" w:hAnsi="Calibri" w:eastAsia="Calibri" w:cs="Calibri"/>
          <w:b/>
          <w:bCs/>
          <w:color w:val="0F172A"/>
          <w:sz w:val="40"/>
          <w:szCs w:val="40"/>
        </w:rPr>
        <w:t xml:space="preserve">Fiscalización: Contraloría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La Contraloría detectó mal uso de licencias en el sector público y exige a los servicios actuar; el proyecto nace en ese contexto.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Conocer las instrucciones que pesan sobre los SLEP en materia de licencias y el lugar del sistema frente a ellas.</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Ley 10.336, oficios, dictámenes e informes CIC de la Contraloría.</w:t>
            </w:r>
          </w:p>
        </w:tc>
      </w:tr>
    </w:tbl>
    <w:p>
      <w:pPr>
        <w:spacing w:after="0"/>
      </w:pPr>
    </w:p>
    <w:p>
      <w:pPr>
        <w:spacing w:before="0" w:after="140" w:line="276"/>
        <w:jc w:val="left"/>
      </w:pPr>
      <w:r>
        <w:rPr>
          <w:rFonts w:ascii="Calibri" w:hAnsi="Calibri" w:eastAsia="Calibri" w:cs="Calibri"/>
          <w:color w:val="334155"/>
          <w:sz w:val="20"/>
          <w:szCs w:val="20"/>
        </w:rPr>
        <w:t xml:space="preserve">Estas normas no regulan cómo se tramita una licencia, sino cómo se fiscaliza su uso y quién paga cuando no se recupera el subsidio. Dan contexto y urgencia al proyecto, y fijan límites: el sistema no investiga ni sanciona.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10.336</w:t>
            </w:r>
          </w:p>
          <w:p>
            <w:pPr>
              <w:spacing w:after="20" w:line="252"/>
              <w:jc w:val="left"/>
            </w:pPr>
            <w:r>
              <w:rPr>
                <w:color w:val="64748B"/>
                <w:sz w:val="14"/>
                <w:szCs w:val="14"/>
              </w:rPr>
              <w:t xml:space="preserve">Congreso Nacional · 1964</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de organización y atribuciones de la Contraloría General de la República.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Faculta a la Contraloría para requerir información y ordenar sumarios. Los registros del sistema pueden ser solicitados en una fiscalización.</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Oficio CGR E89569/2025</w:t>
            </w:r>
          </w:p>
          <w:p>
            <w:pPr>
              <w:spacing w:after="20" w:line="252"/>
              <w:jc w:val="left"/>
            </w:pPr>
            <w:r>
              <w:rPr>
                <w:color w:val="64748B"/>
                <w:sz w:val="14"/>
                <w:szCs w:val="14"/>
              </w:rPr>
              <w:t xml:space="preserve">Contraloría · jun-2025</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Instrucciones para los sumarios por mal uso de licencias.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Define cómo se investiga el mal uso. El sistema no hace sumarios, pero sus registros de tramitación pueden servir de respaldo.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Dictamen CGR E150651N25</w:t>
            </w:r>
          </w:p>
          <w:p>
            <w:pPr>
              <w:spacing w:after="20" w:line="252"/>
              <w:jc w:val="left"/>
            </w:pPr>
            <w:r>
              <w:rPr>
                <w:color w:val="64748B"/>
                <w:sz w:val="14"/>
                <w:szCs w:val="14"/>
              </w:rPr>
              <w:t xml:space="preserve">Contraloría · sep-2025</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Pronunciamiento sobre las remuneraciones del personal con licencia en los SLEP.</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Confirma que el costo queda en el presupuesto de cada SLEP si no recupera el subsidio, lo que refuerza el valor de cumplir el plazo.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CIC N° 9 a 26</w:t>
            </w:r>
          </w:p>
          <w:p>
            <w:pPr>
              <w:spacing w:after="20" w:line="252"/>
              <w:jc w:val="left"/>
            </w:pPr>
            <w:r>
              <w:rPr>
                <w:color w:val="64748B"/>
                <w:sz w:val="14"/>
                <w:szCs w:val="14"/>
              </w:rPr>
              <w:t xml:space="preserve">Contraloría · 2025–2026</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Consolidados de información sobre uso irregular de licencias en el sector público.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Muestran a los SLEP entre los servicios observados. Dan contexto y urgencia, sin crear obligaciones técnicas para el sistema.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SIAD</w:t>
            </w:r>
          </w:p>
          <w:p>
            <w:pPr>
              <w:spacing w:after="20" w:line="252"/>
              <w:jc w:val="left"/>
            </w:pPr>
            <w:r>
              <w:rPr>
                <w:color w:val="64748B"/>
                <w:sz w:val="14"/>
                <w:szCs w:val="14"/>
              </w:rPr>
              <w:t xml:space="preserve">Contraloría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Plataforma de la Contraloría para registrar las acciones derivadas de sus fiscalizaciones.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Es el registro oficial de los sumarios. El sistema de licencias no lo reemplaza ni debe duplicarlo.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El sistema ayuda a cumplir plazos y deja trazabilidad; no investiga ni sanciona.</w:t>
            </w:r>
          </w:p>
        </w:tc>
      </w:tr>
    </w:tbl>
    <w:p>
      <w:pPr>
        <w:keepNext/>
        <w:pageBreakBefore/>
        <w:spacing w:after="60"/>
      </w:pPr>
      <w:bookmarkStart w:id="907" w:name="_idx_08"/>
      <w:r>
        <w:rPr>
          <w:rFonts w:ascii="Consolas" w:hAnsi="Consolas" w:eastAsia="Consolas" w:cs="Consolas"/>
          <w:b/>
          <w:bCs/>
          <w:color w:val="0D9488"/>
          <w:spacing w:val="30"/>
          <w:sz w:val="16"/>
          <w:szCs w:val="16"/>
        </w:rPr>
        <w:t xml:space="preserve">SECCIÓN 08</w:t>
      </w:r>
      <w:r>
        <w:rPr>
          <w:rFonts w:ascii="Consolas" w:hAnsi="Consolas" w:eastAsia="Consolas" w:cs="Consolas"/>
          <w:color w:val="94A3B8"/>
          <w:sz w:val="16"/>
          <w:szCs w:val="16"/>
        </w:rPr>
        <w:t xml:space="preserve">  /  datos</w:t>
      </w:r>
      <w:bookmarkEnd w:id="907"/>
    </w:p>
    <w:p>
      <w:pPr>
        <w:pStyle w:val="Heading1"/>
        <w:keepNext/>
        <w:spacing w:after="160"/>
      </w:pPr>
      <w:r>
        <w:rPr>
          <w:rFonts w:ascii="Calibri" w:hAnsi="Calibri" w:eastAsia="Calibri" w:cs="Calibri"/>
          <w:b/>
          <w:bCs/>
          <w:color w:val="0F172A"/>
          <w:sz w:val="40"/>
          <w:szCs w:val="40"/>
        </w:rPr>
        <w:t xml:space="preserve">Datos personales y de salud</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Una licencia contiene datos de salud y de remuneraciones, que son los más protegidos por la ley.</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Saber qué datos puede tratar el sistema, con qué base legal y con qué resguardos.</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Constitución, Ley 19.628, Ley 21.719, Ley 20.584, Ley 20.285 y recomendaciones del Consejo para la Transparencia.</w:t>
            </w:r>
          </w:p>
        </w:tc>
      </w:tr>
    </w:tbl>
    <w:p>
      <w:pPr>
        <w:spacing w:after="0"/>
      </w:pPr>
    </w:p>
    <w:p>
      <w:pPr>
        <w:spacing w:before="0" w:after="140" w:line="276"/>
        <w:jc w:val="left"/>
      </w:pPr>
      <w:r>
        <w:rPr>
          <w:rFonts w:ascii="Calibri" w:hAnsi="Calibri" w:eastAsia="Calibri" w:cs="Calibri"/>
          <w:color w:val="334155"/>
          <w:sz w:val="20"/>
          <w:szCs w:val="20"/>
        </w:rPr>
        <w:t xml:space="preserve">El proyecto cruza un cambio de ley: hasta el 30 de noviembre de 2026 rige la Ley 19.628, y desde el 1 de diciembre, la Ley 21.719, salvo que se apruebe su postergación. El sistema se diseña para cumplir desde el inicio la ley más exigente.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Constitución, art. 19 N° 4</w:t>
            </w:r>
          </w:p>
          <w:p>
            <w:pPr>
              <w:spacing w:after="20" w:line="252"/>
              <w:jc w:val="left"/>
            </w:pPr>
            <w:r>
              <w:rPr>
                <w:color w:val="64748B"/>
                <w:sz w:val="14"/>
                <w:szCs w:val="14"/>
              </w:rPr>
              <w:t xml:space="preserve">Reforma de la Ley 21.096 · 2018</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Garantía constitucional de protección de los datos personales.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Es el fundamento de toda la regulación de datos y de la exigencia de una base legal para tratar los datos de los funcionarios.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19.628</w:t>
            </w:r>
          </w:p>
          <w:p>
            <w:pPr>
              <w:spacing w:after="20" w:line="252"/>
              <w:jc w:val="left"/>
            </w:pPr>
            <w:r>
              <w:rPr>
                <w:color w:val="64748B"/>
                <w:sz w:val="14"/>
                <w:szCs w:val="14"/>
              </w:rPr>
              <w:t xml:space="preserve">Congreso Nacional · 1999</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sobre protección de la vida privada.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Rige hasta el 30 de noviembre de 2026, es decir, durante el desarrollo y el piloto. Califica los datos de salud como sensibles.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21.719</w:t>
            </w:r>
          </w:p>
          <w:p>
            <w:pPr>
              <w:spacing w:after="20" w:line="252"/>
              <w:jc w:val="left"/>
            </w:pPr>
            <w:r>
              <w:rPr>
                <w:color w:val="64748B"/>
                <w:sz w:val="14"/>
                <w:szCs w:val="14"/>
              </w:rPr>
              <w:t xml:space="preserve">Congreso Nacional · 13-dic-2024</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Reforma la Ley 19.628 y crea la Agencia de Protección de Datos Personales.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Rige desde el 1 de diciembre de 2026 (fecha vigente). Exige protección desde el diseño, seguridad, reporte de vulneraciones, contratos con encargados y evaluación de impacto, y sanciona al jefe superior del órgano.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0D9488"/>
                <w:sz w:val="17"/>
                <w:szCs w:val="17"/>
              </w:rPr>
              <w:t xml:space="preserve">● </w:t>
            </w:r>
            <w:r>
              <w:rPr>
                <w:b/>
                <w:bCs/>
                <w:color w:val="0D9488"/>
                <w:sz w:val="17"/>
                <w:szCs w:val="17"/>
              </w:rPr>
              <w:t xml:space="preserve">Por entrar en vigor</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Boletín 18.623-07</w:t>
            </w:r>
          </w:p>
          <w:p>
            <w:pPr>
              <w:spacing w:after="20" w:line="252"/>
              <w:jc w:val="left"/>
            </w:pPr>
            <w:r>
              <w:rPr>
                <w:color w:val="64748B"/>
                <w:sz w:val="14"/>
                <w:szCs w:val="14"/>
              </w:rPr>
              <w:t xml:space="preserve">Ejecutivo · sep-2026</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Proyecto que posterga la vigencia de la Ley 21.719.</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Podría mover la fecha a diciembre de 2027 o seis meses más tarde. El proyecto mantiene el diseño conforme a la fecha vigente.</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B45309"/>
                <w:sz w:val="17"/>
                <w:szCs w:val="17"/>
              </w:rPr>
              <w:t xml:space="preserve">● </w:t>
            </w:r>
            <w:r>
              <w:rPr>
                <w:b/>
                <w:bCs/>
                <w:color w:val="B45309"/>
                <w:sz w:val="17"/>
                <w:szCs w:val="17"/>
              </w:rPr>
              <w:t xml:space="preserve">En trámite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20.584</w:t>
            </w:r>
          </w:p>
          <w:p>
            <w:pPr>
              <w:spacing w:after="20" w:line="252"/>
              <w:jc w:val="left"/>
            </w:pPr>
            <w:r>
              <w:rPr>
                <w:color w:val="64748B"/>
                <w:sz w:val="14"/>
                <w:szCs w:val="14"/>
              </w:rPr>
              <w:t xml:space="preserve">Congreso Nacional · 2012</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de derechos y deberes de los pacientes.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Declara sensible la ficha clínica y deja al empleador fuera de quienes pueden acceder a ella. El sistema nunca debe pedir antecedentes clínicos.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20.285</w:t>
            </w:r>
          </w:p>
          <w:p>
            <w:pPr>
              <w:spacing w:after="20" w:line="252"/>
              <w:jc w:val="left"/>
            </w:pPr>
            <w:r>
              <w:rPr>
                <w:color w:val="64748B"/>
                <w:sz w:val="14"/>
                <w:szCs w:val="14"/>
              </w:rPr>
              <w:t xml:space="preserve">Congreso Nacional · 2008</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de acceso a la información pública.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Permite reservar datos de salud y vida privada ante solicitudes de información, y orienta qué puede publicarse sobre el sistema.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Recomendaciones del CPLT sobre datos personales</w:t>
            </w:r>
          </w:p>
          <w:p>
            <w:pPr>
              <w:spacing w:after="20" w:line="252"/>
              <w:jc w:val="left"/>
            </w:pPr>
            <w:r>
              <w:rPr>
                <w:color w:val="64748B"/>
                <w:sz w:val="14"/>
                <w:szCs w:val="14"/>
              </w:rPr>
              <w:t xml:space="preserve">Consejo para la Transparencia · 2011</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Recomendaciones a los órganos públicos sobre el tratamiento de datos personales.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Guía práctica para tratar datos de funcionarios mientras la Agencia no publique sus propias guías.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Guía del CPLT de protección de datos para instituciones públicas</w:t>
            </w:r>
          </w:p>
          <w:p>
            <w:pPr>
              <w:spacing w:after="20" w:line="252"/>
              <w:jc w:val="left"/>
            </w:pPr>
            <w:r>
              <w:rPr>
                <w:color w:val="64748B"/>
                <w:sz w:val="14"/>
                <w:szCs w:val="14"/>
              </w:rPr>
              <w:t xml:space="preserve">Consejo para la Transparencia · 2024</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Guía de buenas prácticas para instituciones públicas.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Útil para redactar la política de privacidad y los procedimientos del sistema.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El sistema trata solo lo que la zona C necesita, con base legal y seguridad, y nunca el diagnóstico.</w:t>
            </w:r>
          </w:p>
        </w:tc>
      </w:tr>
    </w:tbl>
    <w:p>
      <w:pPr>
        <w:keepNext/>
        <w:pageBreakBefore/>
        <w:spacing w:after="60"/>
      </w:pPr>
      <w:bookmarkStart w:id="908" w:name="_idx_09"/>
      <w:r>
        <w:rPr>
          <w:rFonts w:ascii="Consolas" w:hAnsi="Consolas" w:eastAsia="Consolas" w:cs="Consolas"/>
          <w:b/>
          <w:bCs/>
          <w:color w:val="0D9488"/>
          <w:spacing w:val="30"/>
          <w:sz w:val="16"/>
          <w:szCs w:val="16"/>
        </w:rPr>
        <w:t xml:space="preserve">SECCIÓN 09</w:t>
      </w:r>
      <w:r>
        <w:rPr>
          <w:rFonts w:ascii="Consolas" w:hAnsi="Consolas" w:eastAsia="Consolas" w:cs="Consolas"/>
          <w:color w:val="94A3B8"/>
          <w:sz w:val="16"/>
          <w:szCs w:val="16"/>
        </w:rPr>
        <w:t xml:space="preserve">  /  ciberseguridad</w:t>
      </w:r>
      <w:bookmarkEnd w:id="908"/>
    </w:p>
    <w:p>
      <w:pPr>
        <w:pStyle w:val="Heading1"/>
        <w:keepNext/>
        <w:spacing w:after="160"/>
      </w:pPr>
      <w:r>
        <w:rPr>
          <w:rFonts w:ascii="Calibri" w:hAnsi="Calibri" w:eastAsia="Calibri" w:cs="Calibri"/>
          <w:b/>
          <w:bCs/>
          <w:color w:val="0F172A"/>
          <w:sz w:val="40"/>
          <w:szCs w:val="40"/>
        </w:rPr>
        <w:t xml:space="preserve">Ciberseguridad y delitos informáticos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La DEP y los SLEP prestan servicios esenciales, y el sistema operará sobre el portal de otro servicio público.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Conocer los deberes de seguridad, los plazos de reporte y el límite penal de la automatización.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Ley 21.663, sus reglamentos e instrucciones de la ANCI, la política nacional, el DS 7/2023 y la Ley 21.459.</w:t>
            </w:r>
          </w:p>
        </w:tc>
      </w:tr>
    </w:tbl>
    <w:p>
      <w:pPr>
        <w:spacing w:after="0"/>
      </w:pPr>
    </w:p>
    <w:p>
      <w:pPr>
        <w:spacing w:before="0" w:after="140" w:line="276"/>
        <w:jc w:val="left"/>
      </w:pPr>
      <w:r>
        <w:rPr>
          <w:rFonts w:ascii="Calibri" w:hAnsi="Calibri" w:eastAsia="Calibri" w:cs="Calibri"/>
          <w:color w:val="334155"/>
          <w:sz w:val="20"/>
          <w:szCs w:val="20"/>
        </w:rPr>
        <w:t xml:space="preserve">Dos tipos de normas se cruzan aquí. Las de ciberseguridad obligan a proteger el sistema y a reportar incidentes en plazos muy cortos. La ley de delitos informáticos marca hasta dónde puede llegar un robot sobre un portal ajeno.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21.663</w:t>
            </w:r>
          </w:p>
          <w:p>
            <w:pPr>
              <w:spacing w:after="20" w:line="252"/>
              <w:jc w:val="left"/>
            </w:pPr>
            <w:r>
              <w:rPr>
                <w:color w:val="64748B"/>
                <w:sz w:val="14"/>
                <w:szCs w:val="14"/>
              </w:rPr>
              <w:t xml:space="preserve">Congreso Nacional · 8-abr-2024</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Marco de Ciberseguridad; crea la Agencia Nacional de Ciberseguridad (ANCI).</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Obliga a la DEP y a cada SLEP a gestionar riesgos y a reportar incidentes, con alerta temprana en 3 horas. El sistema debe quedar dentro de ese protocolo.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295/2024</w:t>
            </w:r>
          </w:p>
          <w:p>
            <w:pPr>
              <w:spacing w:after="20" w:line="252"/>
              <w:jc w:val="left"/>
            </w:pPr>
            <w:r>
              <w:rPr>
                <w:color w:val="64748B"/>
                <w:sz w:val="14"/>
                <w:szCs w:val="14"/>
              </w:rPr>
              <w:t xml:space="preserve">Ministerio del Interior</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Reglamento de reporte de incidentes de ciberseguridad.</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Detalla cómo y en qué plazos se reporta. Aplica a cualquier incidente que afecte datos de licencias.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285/2024</w:t>
            </w:r>
          </w:p>
          <w:p>
            <w:pPr>
              <w:spacing w:after="20" w:line="252"/>
              <w:jc w:val="left"/>
            </w:pPr>
            <w:r>
              <w:rPr>
                <w:color w:val="64748B"/>
                <w:sz w:val="14"/>
                <w:szCs w:val="14"/>
              </w:rPr>
              <w:t xml:space="preserve">Ministerio del Interior</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Reglamento de calificación de operadores de importancia vital.</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Si la DEP o un SLEP fueran calificados, se suman deberes. Debe verificarse en la nómina.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Res. Ex. 87/2025</w:t>
            </w:r>
          </w:p>
          <w:p>
            <w:pPr>
              <w:spacing w:after="20" w:line="252"/>
              <w:jc w:val="left"/>
            </w:pPr>
            <w:r>
              <w:rPr>
                <w:color w:val="64748B"/>
                <w:sz w:val="14"/>
                <w:szCs w:val="14"/>
              </w:rPr>
              <w:t xml:space="preserve">ANCI · 17-dic-2025</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Primera nómina de operadores de importancia vital.</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Permite verificar si la DEP, algún SLEP o FONASA tienen deberes reforzados.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Instrucción General ANCI N° 1</w:t>
            </w:r>
          </w:p>
          <w:p>
            <w:pPr>
              <w:spacing w:after="20" w:line="252"/>
              <w:jc w:val="left"/>
            </w:pPr>
            <w:r>
              <w:rPr>
                <w:color w:val="64748B"/>
                <w:sz w:val="14"/>
                <w:szCs w:val="14"/>
              </w:rPr>
              <w:t xml:space="preserve">ANCI · jun-2025</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Inscripción de los prestadores de servicios esenciales y designación de encargado.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La DEP y cada SLEP deben estar inscritos y tener encargado; es el canal de reporte del sistema.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Instrucciones Generales ANCI N° 2, 3 y 4</w:t>
            </w:r>
          </w:p>
          <w:p>
            <w:pPr>
              <w:spacing w:after="20" w:line="252"/>
              <w:jc w:val="left"/>
            </w:pPr>
            <w:r>
              <w:rPr>
                <w:color w:val="64748B"/>
                <w:sz w:val="14"/>
                <w:szCs w:val="14"/>
              </w:rPr>
              <w:t xml:space="preserve">ANCI · dic-2025</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Registro, delegado de ciberseguridad y medidas mínimas de contención de incidentes.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La N° 4 fija acciones de contención dentro de 3 horas (cambiar claves, cortar accesos remotos expuestos) que el plan de incidentes del sistema debe prever.</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p>
            <w:pPr>
              <w:spacing w:after="20" w:line="252"/>
              <w:jc w:val="left"/>
            </w:pPr>
            <w:r>
              <w:rPr>
                <w:i/>
                <w:iCs/>
                <w:color w:val="64748B"/>
                <w:sz w:val="14"/>
                <w:szCs w:val="14"/>
              </w:rPr>
              <w:t xml:space="preserve">Fuente secundaria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164/2023</w:t>
            </w:r>
          </w:p>
          <w:p>
            <w:pPr>
              <w:spacing w:after="20" w:line="252"/>
              <w:jc w:val="left"/>
            </w:pPr>
            <w:r>
              <w:rPr>
                <w:color w:val="64748B"/>
                <w:sz w:val="14"/>
                <w:szCs w:val="14"/>
              </w:rPr>
              <w:t xml:space="preserve">Ministerio del Interior</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Política Nacional de Ciberseguridad 2023–2028.</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Marco estratégico del Estado. Orienta prioridades, sin obligaciones directas para el proyecto.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Res. Ex. 28/2025</w:t>
            </w:r>
          </w:p>
          <w:p>
            <w:pPr>
              <w:spacing w:after="20" w:line="252"/>
              <w:jc w:val="left"/>
            </w:pPr>
            <w:r>
              <w:rPr>
                <w:color w:val="64748B"/>
                <w:sz w:val="14"/>
                <w:szCs w:val="14"/>
              </w:rPr>
              <w:t xml:space="preserve">ANCI · DO 6-ago-2025</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Plan de acción de la Política Nacional de Ciberseguridad.</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Contexto de las medidas del Estado. Su aplicación al proyecto es marginal.</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p>
            <w:pPr>
              <w:spacing w:after="20" w:line="252"/>
              <w:jc w:val="left"/>
            </w:pPr>
            <w:r>
              <w:rPr>
                <w:i/>
                <w:iCs/>
                <w:color w:val="64748B"/>
                <w:sz w:val="14"/>
                <w:szCs w:val="14"/>
              </w:rPr>
              <w:t xml:space="preserve">Fuente secundaria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21.459</w:t>
            </w:r>
          </w:p>
          <w:p>
            <w:pPr>
              <w:spacing w:after="20" w:line="252"/>
              <w:jc w:val="left"/>
            </w:pPr>
            <w:r>
              <w:rPr>
                <w:color w:val="64748B"/>
                <w:sz w:val="14"/>
                <w:szCs w:val="14"/>
              </w:rPr>
              <w:t xml:space="preserve">Congreso Nacional · 2022</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de delitos informáticos.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Pone el límite penal: acceder excediendo la autorización o saltando barreras técnicas es delito. Por eso el robot solo puede operar con autorización escrita de FONASA y con la sesión iniciada por la persona.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7/2023</w:t>
            </w:r>
          </w:p>
          <w:p>
            <w:pPr>
              <w:spacing w:after="20" w:line="252"/>
              <w:jc w:val="left"/>
            </w:pPr>
            <w:r>
              <w:rPr>
                <w:color w:val="64748B"/>
                <w:sz w:val="14"/>
                <w:szCs w:val="14"/>
              </w:rPr>
              <w:t xml:space="preserve">SEGPRES · 17-ago-2023</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 técnica de seguridad de la información y ciberseguridad.</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Exige política de seguridad, responsables institucionales y gestión de riesgos y de proveedores de nube. El sistema se integra a esa gestión de la DEP.</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Un incidente con datos de licencias se reporta en 3 horas, y el robot solo opera con autorización expresa de FONASA.</w:t>
            </w:r>
          </w:p>
        </w:tc>
      </w:tr>
    </w:tbl>
    <w:p>
      <w:pPr>
        <w:keepNext/>
        <w:pageBreakBefore/>
        <w:spacing w:after="60"/>
      </w:pPr>
      <w:bookmarkStart w:id="909" w:name="_idx_10"/>
      <w:r>
        <w:rPr>
          <w:rFonts w:ascii="Consolas" w:hAnsi="Consolas" w:eastAsia="Consolas" w:cs="Consolas"/>
          <w:b/>
          <w:bCs/>
          <w:color w:val="0D9488"/>
          <w:spacing w:val="30"/>
          <w:sz w:val="16"/>
          <w:szCs w:val="16"/>
        </w:rPr>
        <w:t xml:space="preserve">SECCIÓN 10</w:t>
      </w:r>
      <w:r>
        <w:rPr>
          <w:rFonts w:ascii="Consolas" w:hAnsi="Consolas" w:eastAsia="Consolas" w:cs="Consolas"/>
          <w:color w:val="94A3B8"/>
          <w:sz w:val="16"/>
          <w:szCs w:val="16"/>
        </w:rPr>
        <w:t xml:space="preserve">  /  estado digital</w:t>
      </w:r>
      <w:bookmarkEnd w:id="909"/>
    </w:p>
    <w:p>
      <w:pPr>
        <w:pStyle w:val="Heading1"/>
        <w:keepNext/>
        <w:spacing w:after="160"/>
      </w:pPr>
      <w:r>
        <w:rPr>
          <w:rFonts w:ascii="Calibri" w:hAnsi="Calibri" w:eastAsia="Calibri" w:cs="Calibri"/>
          <w:b/>
          <w:bCs/>
          <w:color w:val="0F172A"/>
          <w:sz w:val="40"/>
          <w:szCs w:val="40"/>
        </w:rPr>
        <w:t xml:space="preserve">Estado digital e interoperabilidad</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El proyecto es parte de la transformación digital que la ley ya exige a la DEP y a los SLEP.</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Ubicar las obligaciones de procedimiento electrónico, interoperabilidad y firma que respaldan o condicionan el sistema.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Ley 21.180, su reglamento y gradualidad, las normas técnicas de 2023 y las leyes de procedimiento y firma electrónica.</w:t>
            </w:r>
          </w:p>
        </w:tc>
      </w:tr>
    </w:tbl>
    <w:p>
      <w:pPr>
        <w:spacing w:after="0"/>
      </w:pPr>
    </w:p>
    <w:p>
      <w:pPr>
        <w:spacing w:before="0" w:after="140" w:line="276"/>
        <w:jc w:val="left"/>
      </w:pPr>
      <w:r>
        <w:rPr>
          <w:rFonts w:ascii="Calibri" w:hAnsi="Calibri" w:eastAsia="Calibri" w:cs="Calibri"/>
          <w:color w:val="334155"/>
          <w:sz w:val="20"/>
          <w:szCs w:val="20"/>
        </w:rPr>
        <w:t xml:space="preserve">La Ley de Transformación Digital obliga a los servicios a tramitar por medios electrónicos y a intercambiar datos por la Red de Interoperabilidad. Estas normas no fueron pensadas para las licencias, pero dan el marco y la base legal del camino de servicios web.</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21.180</w:t>
            </w:r>
          </w:p>
          <w:p>
            <w:pPr>
              <w:spacing w:after="20" w:line="252"/>
              <w:jc w:val="left"/>
            </w:pPr>
            <w:r>
              <w:rPr>
                <w:color w:val="64748B"/>
                <w:sz w:val="14"/>
                <w:szCs w:val="14"/>
              </w:rPr>
              <w:t xml:space="preserve">Congreso Nacional · 2019</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de Transformación Digital del Estado.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Obliga a tramitar por medios electrónicos y a interoperar. Respalda el sistema como parte del cumplimiento de la ley.</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21.464</w:t>
            </w:r>
          </w:p>
          <w:p>
            <w:pPr>
              <w:spacing w:after="20" w:line="252"/>
              <w:jc w:val="left"/>
            </w:pPr>
            <w:r>
              <w:rPr>
                <w:color w:val="64748B"/>
                <w:sz w:val="14"/>
                <w:szCs w:val="14"/>
              </w:rPr>
              <w:t xml:space="preserve">Congreso Nacional · 2022</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Extiende la implementación de la Ley 21.180 hasta el 31 de diciembre de 2027.</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Fija el horizonte de las obligaciones digitales que el sistema ayuda a cumplir.</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DFL 1/2020</w:t>
            </w:r>
          </w:p>
          <w:p>
            <w:pPr>
              <w:spacing w:after="20" w:line="252"/>
              <w:jc w:val="left"/>
            </w:pPr>
            <w:r>
              <w:rPr>
                <w:color w:val="64748B"/>
                <w:sz w:val="14"/>
                <w:szCs w:val="14"/>
              </w:rPr>
              <w:t xml:space="preserve">SEGPRES</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Gradualidad de la transformación digital.</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Ubica a la DEP y a los SLEP en el Grupo A y define cuándo les rige cada fase, como interoperabilidad y expediente electrónico.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4/2020</w:t>
            </w:r>
          </w:p>
          <w:p>
            <w:pPr>
              <w:spacing w:after="20" w:line="252"/>
              <w:jc w:val="left"/>
            </w:pPr>
            <w:r>
              <w:rPr>
                <w:color w:val="64748B"/>
                <w:sz w:val="14"/>
                <w:szCs w:val="14"/>
              </w:rPr>
              <w:t xml:space="preserve">SEGPRES</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Reglamento de la Ley 21.180.</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Regula los procedimientos electrónicos y es la base de las normas técnicas y de las guías de WikiGuías.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8/2023</w:t>
            </w:r>
          </w:p>
          <w:p>
            <w:pPr>
              <w:spacing w:after="20" w:line="252"/>
              <w:jc w:val="left"/>
            </w:pPr>
            <w:r>
              <w:rPr>
                <w:color w:val="64748B"/>
                <w:sz w:val="14"/>
                <w:szCs w:val="14"/>
              </w:rPr>
              <w:t xml:space="preserve">SEGPRES · 17-ago-2023</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 técnica de notificaciones.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Relevante si el sistema notifica a funcionarios, por ejemplo sobre el estado de su licencia. Aplicación indirecta.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10/2023</w:t>
            </w:r>
          </w:p>
          <w:p>
            <w:pPr>
              <w:spacing w:after="20" w:line="252"/>
              <w:jc w:val="left"/>
            </w:pPr>
            <w:r>
              <w:rPr>
                <w:color w:val="64748B"/>
                <w:sz w:val="14"/>
                <w:szCs w:val="14"/>
              </w:rPr>
              <w:t xml:space="preserve">SEGPRES · 17-ago-2023</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 técnica de documentos y expedientes electrónicos.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Orienta cómo conservar la evidencia de cada tramitación.</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11/2023</w:t>
            </w:r>
          </w:p>
          <w:p>
            <w:pPr>
              <w:spacing w:after="20" w:line="252"/>
              <w:jc w:val="left"/>
            </w:pPr>
            <w:r>
              <w:rPr>
                <w:color w:val="64748B"/>
                <w:sz w:val="14"/>
                <w:szCs w:val="14"/>
              </w:rPr>
              <w:t xml:space="preserve">SEGPRES · 17-ago-2023</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 técnica de calidad y funcionamiento de las plataformas.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Fija continuidad y niveles de servicio, y obliga a considerar la Guía de desarrollo de software.</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12/2023</w:t>
            </w:r>
          </w:p>
          <w:p>
            <w:pPr>
              <w:spacing w:after="20" w:line="252"/>
              <w:jc w:val="left"/>
            </w:pPr>
            <w:r>
              <w:rPr>
                <w:color w:val="64748B"/>
                <w:sz w:val="14"/>
                <w:szCs w:val="14"/>
              </w:rPr>
              <w:t xml:space="preserve">SEGPRES · 17-ago-2023</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 técnica de interoperabilidad.</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Permite pedir datos a FONASA por la Red de Interoperabilidad (Gestor de Solicitudes). Es la base legal del camino de servicios web.</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876/2025</w:t>
            </w:r>
          </w:p>
          <w:p>
            <w:pPr>
              <w:spacing w:after="20" w:line="252"/>
              <w:jc w:val="left"/>
            </w:pPr>
            <w:r>
              <w:rPr>
                <w:color w:val="64748B"/>
                <w:sz w:val="14"/>
                <w:szCs w:val="14"/>
              </w:rPr>
              <w:t xml:space="preserve">2025</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Modifica la norma técnica de interoperabilidad.</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Debe leerse junto con el DS 12/2023. Su contenido exacto se precisará en la segunda etapa.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19.880</w:t>
            </w:r>
          </w:p>
          <w:p>
            <w:pPr>
              <w:spacing w:after="20" w:line="252"/>
              <w:jc w:val="left"/>
            </w:pPr>
            <w:r>
              <w:rPr>
                <w:color w:val="64748B"/>
                <w:sz w:val="14"/>
                <w:szCs w:val="14"/>
              </w:rPr>
              <w:t xml:space="preserve">Congreso Nacional · 2003</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de bases de los procedimientos administrativos.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Define los días hábiles (los sábados son inhábiles, art. 25) para contar el plazo de 3 días, y exige soporte electrónico.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19.799</w:t>
            </w:r>
          </w:p>
          <w:p>
            <w:pPr>
              <w:spacing w:after="20" w:line="252"/>
              <w:jc w:val="left"/>
            </w:pPr>
            <w:r>
              <w:rPr>
                <w:color w:val="64748B"/>
                <w:sz w:val="14"/>
                <w:szCs w:val="14"/>
              </w:rPr>
              <w:t xml:space="preserve">Congreso Nacional · 2002</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de documentos electrónicos y firma electrónica.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Determina a quién se atribuye un acto: si el sistema actúa con la sesión de una persona, el acto es de esa persona.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181/2002</w:t>
            </w:r>
          </w:p>
          <w:p>
            <w:pPr>
              <w:spacing w:after="20" w:line="252"/>
              <w:jc w:val="left"/>
            </w:pPr>
            <w:r>
              <w:rPr>
                <w:color w:val="64748B"/>
                <w:sz w:val="14"/>
                <w:szCs w:val="14"/>
              </w:rPr>
              <w:t xml:space="preserve">Ministerio de Economía</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Reglamento de la Ley 19.799.</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Precisa los requisitos de la firma electrónica. Relevante solo si el sistema firma documentos.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B91C1C"/>
                <w:sz w:val="17"/>
                <w:szCs w:val="17"/>
              </w:rPr>
              <w:t xml:space="preserve">● </w:t>
            </w:r>
            <w:r>
              <w:rPr>
                <w:b/>
                <w:bCs/>
                <w:color w:val="B91C1C"/>
                <w:sz w:val="17"/>
                <w:szCs w:val="17"/>
              </w:rPr>
              <w:t xml:space="preserve">Por confirmar</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21.658</w:t>
            </w:r>
          </w:p>
          <w:p>
            <w:pPr>
              <w:spacing w:after="20" w:line="252"/>
              <w:jc w:val="left"/>
            </w:pPr>
            <w:r>
              <w:rPr>
                <w:color w:val="64748B"/>
                <w:sz w:val="14"/>
                <w:szCs w:val="14"/>
              </w:rPr>
              <w:t xml:space="preserve">Congreso Nacional · 9-feb-2024</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Crea la Secretaría de Gobierno Digital.</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Es el organismo que administra ClaveÚnica, la Red de Interoperabilidad y WikiGuías.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El sistema no es un proyecto aislado: ayuda a cumplir obligaciones digitales que la DEP y los SLEP ya tienen.</w:t>
            </w:r>
          </w:p>
        </w:tc>
      </w:tr>
    </w:tbl>
    <w:p>
      <w:pPr>
        <w:keepNext/>
        <w:pageBreakBefore/>
        <w:spacing w:after="60"/>
      </w:pPr>
      <w:bookmarkStart w:id="910" w:name="_idx_11"/>
      <w:r>
        <w:rPr>
          <w:rFonts w:ascii="Consolas" w:hAnsi="Consolas" w:eastAsia="Consolas" w:cs="Consolas"/>
          <w:b/>
          <w:bCs/>
          <w:color w:val="0D9488"/>
          <w:spacing w:val="30"/>
          <w:sz w:val="16"/>
          <w:szCs w:val="16"/>
        </w:rPr>
        <w:t xml:space="preserve">SECCIÓN 11</w:t>
      </w:r>
      <w:r>
        <w:rPr>
          <w:rFonts w:ascii="Consolas" w:hAnsi="Consolas" w:eastAsia="Consolas" w:cs="Consolas"/>
          <w:color w:val="94A3B8"/>
          <w:sz w:val="16"/>
          <w:szCs w:val="16"/>
        </w:rPr>
        <w:t xml:space="preserve">  /  wikiguías</w:t>
      </w:r>
      <w:bookmarkEnd w:id="910"/>
    </w:p>
    <w:p>
      <w:pPr>
        <w:pStyle w:val="Heading1"/>
        <w:keepNext/>
        <w:spacing w:after="160"/>
      </w:pPr>
      <w:r>
        <w:rPr>
          <w:rFonts w:ascii="Calibri" w:hAnsi="Calibri" w:eastAsia="Calibri" w:cs="Calibri"/>
          <w:b/>
          <w:bCs/>
          <w:color w:val="0F172A"/>
          <w:sz w:val="40"/>
          <w:szCs w:val="40"/>
        </w:rPr>
        <w:t xml:space="preserve">Gobierno Digital: WikiGuías y documentos técnicos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Las normas técnicas se aplican mediante guías oficiales que dicen cómo integrar, autenticar e interoperar.</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Reunir las guías que el equipo técnico debe seguir al construir el sistema.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Revisión de wikiguias.digital.gob.cl, la plataforma oficial de la Secretaría de Gobierno Digital.</w:t>
            </w:r>
          </w:p>
        </w:tc>
      </w:tr>
    </w:tbl>
    <w:p>
      <w:pPr>
        <w:spacing w:after="0"/>
      </w:pPr>
    </w:p>
    <w:p>
      <w:pPr>
        <w:spacing w:before="0" w:after="140" w:line="276"/>
        <w:jc w:val="left"/>
      </w:pPr>
      <w:r>
        <w:rPr>
          <w:rFonts w:ascii="Calibri" w:hAnsi="Calibri" w:eastAsia="Calibri" w:cs="Calibri"/>
          <w:color w:val="334155"/>
          <w:sz w:val="20"/>
          <w:szCs w:val="20"/>
        </w:rPr>
        <w:t xml:space="preserve">Desde abril de 2025, WikiGuías es la plataforma oficial de las guías técnicas del Estado. Las guías no crean obligaciones nuevas, pero desarrollan las normas técnicas de 2023 y son la referencia práctica para el equipo técnico.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Res. Ex. 250/2025</w:t>
            </w:r>
          </w:p>
          <w:p>
            <w:pPr>
              <w:spacing w:after="20" w:line="252"/>
              <w:jc w:val="left"/>
            </w:pPr>
            <w:r>
              <w:rPr>
                <w:color w:val="64748B"/>
                <w:sz w:val="14"/>
                <w:szCs w:val="14"/>
              </w:rPr>
              <w:t xml:space="preserve">Subsecretaría de Hacienda · 15-abr-2025</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Establece WikiGuías como plataforma oficial de las guías técnicas.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Da carácter oficial a las guías: las versiones vigentes son las publicadas ahí.</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p>
            <w:pPr>
              <w:spacing w:after="20" w:line="252"/>
              <w:jc w:val="left"/>
            </w:pPr>
            <w:r>
              <w:rPr>
                <w:i/>
                <w:iCs/>
                <w:color w:val="64748B"/>
                <w:sz w:val="14"/>
                <w:szCs w:val="14"/>
              </w:rPr>
              <w:t xml:space="preserve">Fuente secundaria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Guía Técnica de Interoperabilidad</w:t>
            </w:r>
          </w:p>
          <w:p>
            <w:pPr>
              <w:spacing w:after="20" w:line="252"/>
              <w:jc w:val="left"/>
            </w:pPr>
            <w:r>
              <w:rPr>
                <w:color w:val="64748B"/>
                <w:sz w:val="14"/>
                <w:szCs w:val="14"/>
              </w:rPr>
              <w:t xml:space="preserve">Secretaría de Gobierno Digital</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Desarrolla el DS 12/2023: nodos, trazabilidad, Portal PISEE y protocolos.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Es el manual para conectar el sistema a la Red y pedir datos a FONASA.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Modelo de Interoperabilidad</w:t>
            </w:r>
          </w:p>
          <w:p>
            <w:pPr>
              <w:spacing w:after="20" w:line="252"/>
              <w:jc w:val="left"/>
            </w:pPr>
            <w:r>
              <w:rPr>
                <w:color w:val="64748B"/>
                <w:sz w:val="14"/>
                <w:szCs w:val="14"/>
              </w:rPr>
              <w:t xml:space="preserve">Secretaría de Gobierno Digital</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Marco conceptual de la Red de Interoperabilidad.</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Ayuda a diseñar la integración, sin obligaciones propias.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Términos y condiciones de integración y uso de PISEE</w:t>
            </w:r>
          </w:p>
          <w:p>
            <w:pPr>
              <w:spacing w:after="20" w:line="252"/>
              <w:jc w:val="left"/>
            </w:pPr>
            <w:r>
              <w:rPr>
                <w:color w:val="64748B"/>
                <w:sz w:val="14"/>
                <w:szCs w:val="14"/>
              </w:rPr>
              <w:t xml:space="preserve">Secretaría de Gobierno Digital · actualización 2025</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Condiciones para integrar y usar la plataforma PISEE.</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Fijan las reglas de uso de la Red mientras opere PISEE. Falta confirmar la resolución que los aprueba.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B91C1C"/>
                <w:sz w:val="17"/>
                <w:szCs w:val="17"/>
              </w:rPr>
              <w:t xml:space="preserve">● </w:t>
            </w:r>
            <w:r>
              <w:rPr>
                <w:b/>
                <w:bCs/>
                <w:color w:val="B91C1C"/>
                <w:sz w:val="17"/>
                <w:szCs w:val="17"/>
              </w:rPr>
              <w:t xml:space="preserve">Por confirmar</w:t>
            </w:r>
          </w:p>
          <w:p>
            <w:pPr>
              <w:spacing w:after="20" w:line="252"/>
              <w:jc w:val="left"/>
            </w:pPr>
            <w:r>
              <w:rPr>
                <w:i/>
                <w:iCs/>
                <w:color w:val="64748B"/>
                <w:sz w:val="14"/>
                <w:szCs w:val="14"/>
              </w:rPr>
              <w:t xml:space="preserve">Fuente secundaria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Guía Técnica de Autenticación</w:t>
            </w:r>
          </w:p>
          <w:p>
            <w:pPr>
              <w:spacing w:after="20" w:line="252"/>
              <w:jc w:val="left"/>
            </w:pPr>
            <w:r>
              <w:rPr>
                <w:color w:val="64748B"/>
                <w:sz w:val="14"/>
                <w:szCs w:val="14"/>
              </w:rPr>
              <w:t xml:space="preserve">Secretaría de Gobierno Digital</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Desarrolla el DS 9/2023.</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Fija los requisitos de autenticación, doble factor y revocación para el acceso al sistema.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Manual de Integración de ClaveÚnica</w:t>
            </w:r>
          </w:p>
          <w:p>
            <w:pPr>
              <w:spacing w:after="20" w:line="252"/>
              <w:jc w:val="left"/>
            </w:pPr>
            <w:r>
              <w:rPr>
                <w:color w:val="64748B"/>
                <w:sz w:val="14"/>
                <w:szCs w:val="14"/>
              </w:rPr>
              <w:t xml:space="preserve">Secretaría de Gobierno Digital</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Pasos técnicos para integrar ClaveÚnica a una aplicación.</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Necesario para que los encargados entren al sistema con su ClaveÚnica (OpenID Connect, dominio .gob.cl, certificación).</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Guía Técnica de Calidad</w:t>
            </w:r>
          </w:p>
          <w:p>
            <w:pPr>
              <w:spacing w:after="20" w:line="252"/>
              <w:jc w:val="left"/>
            </w:pPr>
            <w:r>
              <w:rPr>
                <w:color w:val="64748B"/>
                <w:sz w:val="14"/>
                <w:szCs w:val="14"/>
              </w:rPr>
              <w:t xml:space="preserve">Secretaría de Gobierno Digital</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Desarrolla el DS 11/2023.</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Continuidad y niveles de servicio del sistema.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Guía Técnica de Documentos y Expedientes</w:t>
            </w:r>
          </w:p>
          <w:p>
            <w:pPr>
              <w:spacing w:after="20" w:line="252"/>
              <w:jc w:val="left"/>
            </w:pPr>
            <w:r>
              <w:rPr>
                <w:color w:val="64748B"/>
                <w:sz w:val="14"/>
                <w:szCs w:val="14"/>
              </w:rPr>
              <w:t xml:space="preserve">Secretaría de Gobierno Digital</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Desarrolla el DS 10/2023.</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Conservación de la evidencia de cada tramitación.</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Guía Técnica de Notificaciones</w:t>
            </w:r>
          </w:p>
          <w:p>
            <w:pPr>
              <w:spacing w:after="20" w:line="252"/>
              <w:jc w:val="left"/>
            </w:pPr>
            <w:r>
              <w:rPr>
                <w:color w:val="64748B"/>
                <w:sz w:val="14"/>
                <w:szCs w:val="14"/>
              </w:rPr>
              <w:t xml:space="preserve">Secretaría de Gobierno Digital</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Desarrolla el DS 8/2023.</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Aplica solo si el sistema notifica a funcionarios; uso marginal.</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Guía de Desarrollo de Software v2.0</w:t>
            </w:r>
          </w:p>
          <w:p>
            <w:pPr>
              <w:spacing w:after="20" w:line="252"/>
              <w:jc w:val="left"/>
            </w:pPr>
            <w:r>
              <w:rPr>
                <w:color w:val="64748B"/>
                <w:sz w:val="14"/>
                <w:szCs w:val="14"/>
              </w:rPr>
              <w:t xml:space="preserve">Gobierno Digital · may-2021</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Lineamientos de desarrollo de software para el Estado.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El DS 11/2023 obliga a considerarla. Define buenas prácticas de seguridad, documentación de API y control de versiones.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Recomendaciones para adquirir nube pública</w:t>
            </w:r>
          </w:p>
          <w:p>
            <w:pPr>
              <w:spacing w:after="20" w:line="252"/>
              <w:jc w:val="left"/>
            </w:pPr>
            <w:r>
              <w:rPr>
                <w:color w:val="64748B"/>
                <w:sz w:val="14"/>
                <w:szCs w:val="14"/>
              </w:rPr>
              <w:t xml:space="preserve">Secretaría de Gobierno Digital</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Recomendaciones para contratar servicios de nube.</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Orientan dónde alojar los datos de licencias y qué exigir al proveedor.</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Las guías dicen cómo cumplir las normas técnicas; el equipo técnico debe seguir la versión publicada en WikiGuías.</w:t>
            </w:r>
          </w:p>
        </w:tc>
      </w:tr>
    </w:tbl>
    <w:p>
      <w:pPr>
        <w:keepNext/>
        <w:pageBreakBefore/>
        <w:spacing w:after="60"/>
      </w:pPr>
      <w:bookmarkStart w:id="911" w:name="_idx_12"/>
      <w:r>
        <w:rPr>
          <w:rFonts w:ascii="Consolas" w:hAnsi="Consolas" w:eastAsia="Consolas" w:cs="Consolas"/>
          <w:b/>
          <w:bCs/>
          <w:color w:val="0D9488"/>
          <w:spacing w:val="30"/>
          <w:sz w:val="16"/>
          <w:szCs w:val="16"/>
        </w:rPr>
        <w:t xml:space="preserve">SECCIÓN 12</w:t>
      </w:r>
      <w:r>
        <w:rPr>
          <w:rFonts w:ascii="Consolas" w:hAnsi="Consolas" w:eastAsia="Consolas" w:cs="Consolas"/>
          <w:color w:val="94A3B8"/>
          <w:sz w:val="16"/>
          <w:szCs w:val="16"/>
        </w:rPr>
        <w:t xml:space="preserve">  /  identidad</w:t>
      </w:r>
      <w:bookmarkEnd w:id="911"/>
    </w:p>
    <w:p>
      <w:pPr>
        <w:pStyle w:val="Heading1"/>
        <w:keepNext/>
        <w:spacing w:after="160"/>
      </w:pPr>
      <w:r>
        <w:rPr>
          <w:rFonts w:ascii="Calibri" w:hAnsi="Calibri" w:eastAsia="Calibri" w:cs="Calibri"/>
          <w:b/>
          <w:bCs/>
          <w:color w:val="0F172A"/>
          <w:sz w:val="40"/>
          <w:szCs w:val="40"/>
        </w:rPr>
        <w:t xml:space="preserve">Identidad digital: ClaveÚnica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El PIEE se usa con la ClaveÚnica personal de quien tramita; sus reglas definen hasta dónde puede llegar un robot.</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Fijar el límite de la automatización del acceso y las condiciones para integrar ClaveÚnica al sistema.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DS 9/2023 y Res. Ex. 733/2025 de Hacienda.</w:t>
            </w:r>
          </w:p>
        </w:tc>
      </w:tr>
    </w:tbl>
    <w:p>
      <w:pPr>
        <w:spacing w:after="0"/>
      </w:pPr>
    </w:p>
    <w:p>
      <w:pPr>
        <w:spacing w:before="0" w:after="140" w:line="276"/>
        <w:jc w:val="left"/>
      </w:pPr>
      <w:r>
        <w:rPr>
          <w:rFonts w:ascii="Calibri" w:hAnsi="Calibri" w:eastAsia="Calibri" w:cs="Calibri"/>
          <w:color w:val="334155"/>
          <w:sz w:val="20"/>
          <w:szCs w:val="20"/>
        </w:rPr>
        <w:t xml:space="preserve">Son solo dos normas, pero de ellas depende el diseño de todos los caminos: el sistema puede usar ClaveÚnica para que el encargado entre, pero no puede guardarla ni usarla en su nombre.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9/2023</w:t>
            </w:r>
          </w:p>
          <w:p>
            <w:pPr>
              <w:spacing w:after="20" w:line="252"/>
              <w:jc w:val="left"/>
            </w:pPr>
            <w:r>
              <w:rPr>
                <w:color w:val="64748B"/>
                <w:sz w:val="14"/>
                <w:szCs w:val="14"/>
              </w:rPr>
              <w:t xml:space="preserve">SEGPRES · 17-ago-2023</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 técnica de autenticación.</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Obliga a usar mecanismos oficiales como ClaveÚnica, también para funcionarios, y exige trazabilidad de los accesos.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Res. Ex. 733/2025</w:t>
            </w:r>
          </w:p>
          <w:p>
            <w:pPr>
              <w:spacing w:after="20" w:line="252"/>
              <w:jc w:val="left"/>
            </w:pPr>
            <w:r>
              <w:rPr>
                <w:color w:val="64748B"/>
                <w:sz w:val="14"/>
                <w:szCs w:val="14"/>
              </w:rPr>
              <w:t xml:space="preserve">Ministerio de Hacienda · DO 6-nov-2025</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Términos y condiciones de ClaveÚnica.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Prohíbe almacenar credenciales y automatizar el acceso con ClaveÚnica. Por eso la persona siempre inicia sesión y el robot solo asiste.</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La persona inicia sesión con su ClaveÚnica; ningún sistema puede guardarla ni usarla por ella.</w:t>
            </w:r>
          </w:p>
        </w:tc>
      </w:tr>
    </w:tbl>
    <w:p>
      <w:pPr>
        <w:keepNext/>
        <w:pageBreakBefore/>
        <w:spacing w:after="60"/>
      </w:pPr>
      <w:bookmarkStart w:id="912" w:name="_idx_13"/>
      <w:r>
        <w:rPr>
          <w:rFonts w:ascii="Consolas" w:hAnsi="Consolas" w:eastAsia="Consolas" w:cs="Consolas"/>
          <w:b/>
          <w:bCs/>
          <w:color w:val="0D9488"/>
          <w:spacing w:val="30"/>
          <w:sz w:val="16"/>
          <w:szCs w:val="16"/>
        </w:rPr>
        <w:t xml:space="preserve">SECCIÓN 13</w:t>
      </w:r>
      <w:r>
        <w:rPr>
          <w:rFonts w:ascii="Consolas" w:hAnsi="Consolas" w:eastAsia="Consolas" w:cs="Consolas"/>
          <w:color w:val="94A3B8"/>
          <w:sz w:val="16"/>
          <w:szCs w:val="16"/>
        </w:rPr>
        <w:t xml:space="preserve">  /  IA</w:t>
      </w:r>
      <w:bookmarkEnd w:id="912"/>
    </w:p>
    <w:p>
      <w:pPr>
        <w:pStyle w:val="Heading1"/>
        <w:keepNext/>
        <w:spacing w:after="160"/>
      </w:pPr>
      <w:r>
        <w:rPr>
          <w:rFonts w:ascii="Calibri" w:hAnsi="Calibri" w:eastAsia="Calibri" w:cs="Calibri"/>
          <w:b/>
          <w:bCs/>
          <w:color w:val="0F172A"/>
          <w:sz w:val="40"/>
          <w:szCs w:val="40"/>
        </w:rPr>
        <w:t xml:space="preserve">Inteligencia artificial</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El proyecto usa IA local para los datos de licencias y Claude para tareas sin datos personales.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Conocer las reglas que ya aplican al uso de IA en el Estado y las que vienen.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Proyecto de ley de IA, Política Nacional, Oficio Circular 711, Consejo para la Transparencia, ChileCompra y Ley 21.719.</w:t>
            </w:r>
          </w:p>
        </w:tc>
      </w:tr>
    </w:tbl>
    <w:p>
      <w:pPr>
        <w:spacing w:after="0"/>
      </w:pPr>
    </w:p>
    <w:p>
      <w:pPr>
        <w:spacing w:before="0" w:after="140" w:line="276"/>
        <w:jc w:val="left"/>
      </w:pPr>
      <w:r>
        <w:rPr>
          <w:rFonts w:ascii="Calibri" w:hAnsi="Calibri" w:eastAsia="Calibri" w:cs="Calibri"/>
          <w:color w:val="334155"/>
          <w:sz w:val="20"/>
          <w:szCs w:val="20"/>
        </w:rPr>
        <w:t xml:space="preserve">Chile aún no tiene una ley de IA, pero sí lineamientos para el sector público y reglas de datos que ya condicionan su uso. Juntas explican la separación del proyecto: la IA local trata los datos de licencias y la IA en la nube solo trabaja sin datos personales.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Boletín 16.821-19</w:t>
            </w:r>
          </w:p>
          <w:p>
            <w:pPr>
              <w:spacing w:after="20" w:line="252"/>
              <w:jc w:val="left"/>
            </w:pPr>
            <w:r>
              <w:rPr>
                <w:color w:val="64748B"/>
                <w:sz w:val="14"/>
                <w:szCs w:val="14"/>
              </w:rPr>
              <w:t xml:space="preserve">Ejecutivo · may-2024</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Proyecto de ley que regula los sistemas de inteligencia artificial (segundo trámite, Senado).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Clasificará los usos por nivel de riesgo, y la gestión de personas podría quedar como alto riesgo. Diseñar con supervisión humana anticipa esa exigencia.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B45309"/>
                <w:sz w:val="17"/>
                <w:szCs w:val="17"/>
              </w:rPr>
              <w:t xml:space="preserve">● </w:t>
            </w:r>
            <w:r>
              <w:rPr>
                <w:b/>
                <w:bCs/>
                <w:color w:val="B45309"/>
                <w:sz w:val="17"/>
                <w:szCs w:val="17"/>
              </w:rPr>
              <w:t xml:space="preserve">En trámite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Política Nacional de IA</w:t>
            </w:r>
          </w:p>
          <w:p>
            <w:pPr>
              <w:spacing w:after="20" w:line="252"/>
              <w:jc w:val="left"/>
            </w:pPr>
            <w:r>
              <w:rPr>
                <w:color w:val="64748B"/>
                <w:sz w:val="14"/>
                <w:szCs w:val="14"/>
              </w:rPr>
              <w:t xml:space="preserve">Minciencia · actualizada en 2024</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Política del Estado sobre inteligencia artificial.</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Pide IA supervisada por personas y respalda el modelo «la IA propone, la persona decide».</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Oficio Circular 711/2023</w:t>
            </w:r>
          </w:p>
          <w:p>
            <w:pPr>
              <w:spacing w:after="20" w:line="252"/>
              <w:jc w:val="left"/>
            </w:pPr>
            <w:r>
              <w:rPr>
                <w:color w:val="64748B"/>
                <w:sz w:val="14"/>
                <w:szCs w:val="14"/>
              </w:rPr>
              <w:t xml:space="preserve">SEGPRES y Minciencia · dic-2023</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Lineamientos para el uso de IA en los órganos del Estado.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Recomienda no ingresar datos personales en herramientas de IA generativa no contratadas por el órgano. Por eso Claude solo se usa sin datos personales y los datos de licencias quedan en la IA local.</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Res. Ex. 372/2024</w:t>
            </w:r>
          </w:p>
          <w:p>
            <w:pPr>
              <w:spacing w:after="20" w:line="252"/>
              <w:jc w:val="left"/>
            </w:pPr>
            <w:r>
              <w:rPr>
                <w:color w:val="64748B"/>
                <w:sz w:val="14"/>
                <w:szCs w:val="14"/>
              </w:rPr>
              <w:t xml:space="preserve">Consejo para la Transparencia · ago-2024</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Recomendaciones de transparencia algorítmica.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Pide documentar qué hace cada modelo, con qué datos y con qué intervención humana.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Directiva ChileCompra N° 44/2026</w:t>
            </w:r>
          </w:p>
          <w:p>
            <w:pPr>
              <w:spacing w:after="20" w:line="252"/>
              <w:jc w:val="left"/>
            </w:pPr>
            <w:r>
              <w:rPr>
                <w:color w:val="64748B"/>
                <w:sz w:val="14"/>
                <w:szCs w:val="14"/>
              </w:rPr>
              <w:t xml:space="preserve">ChileCompra · mar-2026</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Recomendaciones para contratar proyectos de ciencia de datos e IA.</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Aplica si se contrata IA o servicios en las propuestas óptima y avanzada: auditoría algorítmica, evaluación de impacto y seguridad en los contratos.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p>
            <w:pPr>
              <w:spacing w:after="20" w:line="252"/>
              <w:jc w:val="left"/>
            </w:pPr>
            <w:r>
              <w:rPr>
                <w:i/>
                <w:iCs/>
                <w:color w:val="64748B"/>
                <w:sz w:val="14"/>
                <w:szCs w:val="14"/>
              </w:rPr>
              <w:t xml:space="preserve">Fuente secundaria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Guía de Formulación Ética de Proyectos de Ciencia de Datos</w:t>
            </w:r>
          </w:p>
          <w:p>
            <w:pPr>
              <w:spacing w:after="20" w:line="252"/>
              <w:jc w:val="left"/>
            </w:pPr>
            <w:r>
              <w:rPr>
                <w:color w:val="64748B"/>
                <w:sz w:val="14"/>
                <w:szCs w:val="14"/>
              </w:rPr>
              <w:t xml:space="preserve">Gobierno Digital</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Guía para evaluar riesgos éticos en proyectos de datos.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La recomienda el Oficio 711 para evaluar los riesgos antes de usar IA.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21.719, arts. 8 bis y 15 ter</w:t>
            </w:r>
          </w:p>
          <w:p>
            <w:pPr>
              <w:spacing w:after="20" w:line="252"/>
              <w:jc w:val="left"/>
            </w:pPr>
            <w:r>
              <w:rPr>
                <w:color w:val="64748B"/>
                <w:sz w:val="14"/>
                <w:szCs w:val="14"/>
              </w:rPr>
              <w:t xml:space="preserve">Congreso Nacional</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Derechos frente a decisiones automatizadas y evaluación de impacto.</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Ninguna decisión sobre una licencia puede quedar solo en manos de la IA, y debe evaluarse el impacto antes de usarla con datos personales.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0D9488"/>
                <w:sz w:val="17"/>
                <w:szCs w:val="17"/>
              </w:rPr>
              <w:t xml:space="preserve">● </w:t>
            </w:r>
            <w:r>
              <w:rPr>
                <w:b/>
                <w:bCs/>
                <w:color w:val="0D9488"/>
                <w:sz w:val="17"/>
                <w:szCs w:val="17"/>
              </w:rPr>
              <w:t xml:space="preserve">Por entrar en vigor</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La IA propone y la persona decide; los datos de licencias nunca salen a una IA en la nube.</w:t>
            </w:r>
          </w:p>
        </w:tc>
      </w:tr>
    </w:tbl>
    <w:p>
      <w:pPr>
        <w:keepNext/>
        <w:pageBreakBefore/>
        <w:spacing w:after="60"/>
      </w:pPr>
      <w:bookmarkStart w:id="913" w:name="_idx_14"/>
      <w:r>
        <w:rPr>
          <w:rFonts w:ascii="Consolas" w:hAnsi="Consolas" w:eastAsia="Consolas" w:cs="Consolas"/>
          <w:b/>
          <w:bCs/>
          <w:color w:val="0D9488"/>
          <w:spacing w:val="30"/>
          <w:sz w:val="16"/>
          <w:szCs w:val="16"/>
        </w:rPr>
        <w:t xml:space="preserve">SECCIÓN 14</w:t>
      </w:r>
      <w:r>
        <w:rPr>
          <w:rFonts w:ascii="Consolas" w:hAnsi="Consolas" w:eastAsia="Consolas" w:cs="Consolas"/>
          <w:color w:val="94A3B8"/>
          <w:sz w:val="16"/>
          <w:szCs w:val="16"/>
        </w:rPr>
        <w:t xml:space="preserve">  /  compras</w:t>
      </w:r>
      <w:bookmarkEnd w:id="913"/>
    </w:p>
    <w:p>
      <w:pPr>
        <w:pStyle w:val="Heading1"/>
        <w:keepNext/>
        <w:spacing w:after="160"/>
      </w:pPr>
      <w:r>
        <w:rPr>
          <w:rFonts w:ascii="Calibri" w:hAnsi="Calibri" w:eastAsia="Calibri" w:cs="Calibri"/>
          <w:b/>
          <w:bCs/>
          <w:color w:val="0F172A"/>
          <w:sz w:val="40"/>
          <w:szCs w:val="40"/>
        </w:rPr>
        <w:t xml:space="preserve">Compras públicas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Las propuestas óptima y avanzada compran licencias, equipos o servicios, y cada compra tiene su procedimiento.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Saber por qué vía se adquiere cada componente del proyecto.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Ley 19.886 modificada por la Ley 21.634, DS 661/2024, directivas y bases tipo de ChileCompra, convenios marco y EvalTIC.</w:t>
            </w:r>
          </w:p>
        </w:tc>
      </w:tr>
    </w:tbl>
    <w:p>
      <w:pPr>
        <w:spacing w:after="0"/>
      </w:pPr>
    </w:p>
    <w:p>
      <w:pPr>
        <w:spacing w:before="0" w:after="140" w:line="276"/>
        <w:jc w:val="left"/>
      </w:pPr>
      <w:r>
        <w:rPr>
          <w:rFonts w:ascii="Calibri" w:hAnsi="Calibri" w:eastAsia="Calibri" w:cs="Calibri"/>
          <w:color w:val="334155"/>
          <w:sz w:val="20"/>
          <w:szCs w:val="20"/>
        </w:rPr>
        <w:t xml:space="preserve">La propuesta de costo cero no compra nada. Las otras sí, y deben seguir las reglas de compras públicas: Compra Ágil hasta 100 UTM, convenio marco cuando existe y licitación como regla general.</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19.886 y Ley 21.634</w:t>
            </w:r>
          </w:p>
          <w:p>
            <w:pPr>
              <w:spacing w:after="20" w:line="252"/>
              <w:jc w:val="left"/>
            </w:pPr>
            <w:r>
              <w:rPr>
                <w:color w:val="64748B"/>
                <w:sz w:val="14"/>
                <w:szCs w:val="14"/>
              </w:rPr>
              <w:t xml:space="preserve">Congreso Nacional · 2003 y 2023</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de compras públicas y su modernización.</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Toda compra del proyecto (robot, IA, nube, equipos) sigue sus procedimientos.</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DS 661/2024</w:t>
            </w:r>
          </w:p>
          <w:p>
            <w:pPr>
              <w:spacing w:after="20" w:line="252"/>
              <w:jc w:val="left"/>
            </w:pPr>
            <w:r>
              <w:rPr>
                <w:color w:val="64748B"/>
                <w:sz w:val="14"/>
                <w:szCs w:val="14"/>
              </w:rPr>
              <w:t xml:space="preserve">Ministerio de Hacienda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Reglamento de compras públicas.</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Define Compra Ágil, convenio marco, trato directo y licitación, y con eso el procedimiento de cada propuesta.</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Directiva ChileCompra N° 32</w:t>
            </w:r>
          </w:p>
          <w:p>
            <w:pPr>
              <w:spacing w:after="20" w:line="252"/>
              <w:jc w:val="left"/>
            </w:pPr>
            <w:r>
              <w:rPr>
                <w:color w:val="64748B"/>
                <w:sz w:val="14"/>
                <w:szCs w:val="14"/>
              </w:rPr>
              <w:t xml:space="preserve">ChileCompra · 2018</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Recomendaciones para contratar servicios en la nube.</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Orienta cláusulas de localización de datos, seguridad y salida del proveedor.</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4338CA"/>
                <w:sz w:val="17"/>
                <w:szCs w:val="17"/>
              </w:rPr>
              <w:t xml:space="preserve">● </w:t>
            </w:r>
            <w:r>
              <w:rPr>
                <w:b/>
                <w:bCs/>
                <w:color w:val="4338CA"/>
                <w:sz w:val="17"/>
                <w:szCs w:val="17"/>
              </w:rPr>
              <w:t xml:space="preserve">Orientadora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Base Tipo de servicios de cloud computing</w:t>
            </w:r>
          </w:p>
          <w:p>
            <w:pPr>
              <w:spacing w:after="20" w:line="252"/>
              <w:jc w:val="left"/>
            </w:pPr>
            <w:r>
              <w:rPr>
                <w:color w:val="64748B"/>
                <w:sz w:val="14"/>
                <w:szCs w:val="14"/>
              </w:rPr>
              <w:t xml:space="preserve">ChileCompra · ago-2026</w:t>
            </w:r>
            <w:r>
              <w:rPr>
                <w:b/>
                <w:bCs/>
                <w:color w:val="B45309"/>
                <w:sz w:val="14"/>
                <w:szCs w:val="14"/>
              </w:rPr>
              <w:t xml:space="preserve">  ★ nueva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Bases estándar para contratar nube desde 100 UTM.</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Si una propuesta usa nube sobre ese monto, simplifica y ordena la contratación.</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p>
            <w:pPr>
              <w:spacing w:after="20" w:line="252"/>
              <w:jc w:val="left"/>
            </w:pPr>
            <w:r>
              <w:rPr>
                <w:i/>
                <w:iCs/>
                <w:color w:val="64748B"/>
                <w:sz w:val="14"/>
                <w:szCs w:val="14"/>
              </w:rPr>
              <w:t xml:space="preserve">Fuente secundaria</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Convenios marco 2239-19-LR23 y 2239-2-LR26</w:t>
            </w:r>
          </w:p>
          <w:p>
            <w:pPr>
              <w:spacing w:after="20" w:line="252"/>
              <w:jc w:val="left"/>
            </w:pPr>
            <w:r>
              <w:rPr>
                <w:color w:val="64748B"/>
                <w:sz w:val="14"/>
                <w:szCs w:val="14"/>
              </w:rPr>
              <w:t xml:space="preserve">ChileCompra</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Catálogos de software, servicios TI, IA, RPA y nube.</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Son la vía natural para comprar licencias y servicios del proyecto sin licitar.</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EvalTIC</w:t>
            </w:r>
          </w:p>
          <w:p>
            <w:pPr>
              <w:spacing w:after="20" w:line="252"/>
              <w:jc w:val="left"/>
            </w:pPr>
            <w:r>
              <w:rPr>
                <w:color w:val="64748B"/>
                <w:sz w:val="14"/>
                <w:szCs w:val="14"/>
              </w:rPr>
              <w:t xml:space="preserve">DIPRES y Gobierno Digital</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Metodología de formulación presupuestaria de proyectos TIC.</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Necesaria para pedir presupuesto si el proyecto crece más allá del piloto.</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20.730</w:t>
            </w:r>
          </w:p>
          <w:p>
            <w:pPr>
              <w:spacing w:after="20" w:line="252"/>
              <w:jc w:val="left"/>
            </w:pPr>
            <w:r>
              <w:rPr>
                <w:color w:val="64748B"/>
                <w:sz w:val="14"/>
                <w:szCs w:val="14"/>
              </w:rPr>
              <w:t xml:space="preserve">Congreso Nacional · 2014</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del lobby.</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Las reuniones con proveedores pueden quedar registradas. Aplicación marginal.</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Cada componente con costo se compra por la vía que fija el DS 661/2024.</w:t>
            </w:r>
          </w:p>
        </w:tc>
      </w:tr>
    </w:tbl>
    <w:p>
      <w:pPr>
        <w:keepNext/>
        <w:pageBreakBefore/>
        <w:spacing w:after="60"/>
      </w:pPr>
      <w:bookmarkStart w:id="914" w:name="_idx_15"/>
      <w:r>
        <w:rPr>
          <w:rFonts w:ascii="Consolas" w:hAnsi="Consolas" w:eastAsia="Consolas" w:cs="Consolas"/>
          <w:b/>
          <w:bCs/>
          <w:color w:val="0D9488"/>
          <w:spacing w:val="30"/>
          <w:sz w:val="16"/>
          <w:szCs w:val="16"/>
        </w:rPr>
        <w:t xml:space="preserve">SECCIÓN 15</w:t>
      </w:r>
      <w:r>
        <w:rPr>
          <w:rFonts w:ascii="Consolas" w:hAnsi="Consolas" w:eastAsia="Consolas" w:cs="Consolas"/>
          <w:color w:val="94A3B8"/>
          <w:sz w:val="16"/>
          <w:szCs w:val="16"/>
        </w:rPr>
        <w:t xml:space="preserve">  /  propiedad intelectual</w:t>
      </w:r>
      <w:bookmarkEnd w:id="914"/>
    </w:p>
    <w:p>
      <w:pPr>
        <w:pStyle w:val="Heading1"/>
        <w:keepNext/>
        <w:spacing w:after="160"/>
      </w:pPr>
      <w:r>
        <w:rPr>
          <w:rFonts w:ascii="Calibri" w:hAnsi="Calibri" w:eastAsia="Calibri" w:cs="Calibri"/>
          <w:b/>
          <w:bCs/>
          <w:color w:val="0F172A"/>
          <w:sz w:val="40"/>
          <w:szCs w:val="40"/>
        </w:rPr>
        <w:t xml:space="preserve">Propiedad intelectual</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El sistema se desarrolla en la DEP y reutiliza componentes de terceros con distintas licencias.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Asegurar que la DEP sea titular del código y que respete las licencias de lo que usa.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Ley 17.336 y licencias del software y de los modelos de IA.</w:t>
            </w:r>
          </w:p>
        </w:tc>
      </w:tr>
    </w:tbl>
    <w:p>
      <w:pPr>
        <w:spacing w:after="0"/>
      </w:pPr>
    </w:p>
    <w:p>
      <w:pPr>
        <w:spacing w:before="0" w:after="140" w:line="276"/>
        <w:jc w:val="left"/>
      </w:pPr>
      <w:r>
        <w:rPr>
          <w:rFonts w:ascii="Calibri" w:hAnsi="Calibri" w:eastAsia="Calibri" w:cs="Calibri"/>
          <w:color w:val="334155"/>
          <w:sz w:val="20"/>
          <w:szCs w:val="20"/>
        </w:rPr>
        <w:t xml:space="preserve">Una sola ley, pero necesaria: determina quién es dueño del código del sistema y obliga a cumplir las licencias del software libre y de los modelos de IA que se reutilicen.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2250"/>
        <w:gridCol w:w="2650"/>
        <w:gridCol w:w="3420"/>
        <w:gridCol w:w="1320"/>
      </w:tblGrid>
      <w:tr>
        <w:trPr>
          <w:cantSplit/>
          <w:tblHeader/>
        </w:trPr>
        <w:tc>
          <w:tcPr>
            <w:tcW w:w="22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ES</w:t>
            </w:r>
          </w:p>
        </w:tc>
        <w:tc>
          <w:tcPr>
            <w:tcW w:w="34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LA NECESITA EL PROYECTO</w:t>
            </w:r>
          </w:p>
        </w:tc>
        <w:tc>
          <w:tcPr>
            <w:tcW w:w="13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w:t>
            </w:r>
          </w:p>
        </w:tc>
      </w:tr>
      <w:tr>
        <w:trPr>
          <w:cantSplit/>
        </w:trPr>
        <w:tc>
          <w:tcPr>
            <w:tcW w:w="22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rFonts w:ascii="Calibri" w:hAnsi="Calibri" w:eastAsia="Calibri" w:cs="Calibri"/>
                <w:b/>
                <w:bCs/>
                <w:color w:val="0F172A"/>
                <w:sz w:val="17"/>
                <w:szCs w:val="17"/>
              </w:rPr>
              <w:t xml:space="preserve">Ley 17.336</w:t>
            </w:r>
          </w:p>
          <w:p>
            <w:pPr>
              <w:spacing w:after="20" w:line="252"/>
              <w:jc w:val="left"/>
            </w:pPr>
            <w:r>
              <w:rPr>
                <w:color w:val="64748B"/>
                <w:sz w:val="14"/>
                <w:szCs w:val="14"/>
              </w:rPr>
              <w:t xml:space="preserve">Congreso Nacional · 1970</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de propiedad intelectual.</w:t>
            </w:r>
          </w:p>
        </w:tc>
        <w:tc>
          <w:tcPr>
            <w:tcW w:w="34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Determina que el software hecho por funcionarios o por encargo pertenece a la institución, con resguardos, y obliga a respetar las licencias del software y de los modelos de IA que se usen.</w:t>
            </w:r>
          </w:p>
        </w:tc>
        <w:tc>
          <w:tcPr>
            <w:tcW w:w="13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20" w:line="252"/>
              <w:jc w:val="left"/>
            </w:pPr>
            <w:r>
              <w:rPr>
                <w:color w:val="15803D"/>
                <w:sz w:val="17"/>
                <w:szCs w:val="17"/>
              </w:rPr>
              <w:t xml:space="preserve">● </w:t>
            </w:r>
            <w:r>
              <w:rPr>
                <w:b/>
                <w:bCs/>
                <w:color w:val="15803D"/>
                <w:sz w:val="17"/>
                <w:szCs w:val="17"/>
              </w:rPr>
              <w:t xml:space="preserve">Vigente</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EN UNA FRASE</w:t>
            </w:r>
          </w:p>
          <w:p>
            <w:pPr>
              <w:spacing w:after="50" w:line="260"/>
            </w:pPr>
            <w:r>
              <w:rPr>
                <w:color w:val="334155"/>
                <w:sz w:val="19"/>
                <w:szCs w:val="19"/>
              </w:rPr>
              <w:t xml:space="preserve">La DEP debe ser titular del código y cumplir las licencias de lo que reutiliza.</w:t>
            </w:r>
          </w:p>
        </w:tc>
      </w:tr>
    </w:tbl>
    <w:p>
      <w:pPr>
        <w:keepNext/>
        <w:pageBreakBefore/>
        <w:spacing w:after="60"/>
      </w:pPr>
      <w:bookmarkStart w:id="915" w:name="_idx_16"/>
      <w:r>
        <w:rPr>
          <w:rFonts w:ascii="Consolas" w:hAnsi="Consolas" w:eastAsia="Consolas" w:cs="Consolas"/>
          <w:b/>
          <w:bCs/>
          <w:color w:val="0D9488"/>
          <w:spacing w:val="30"/>
          <w:sz w:val="16"/>
          <w:szCs w:val="16"/>
        </w:rPr>
        <w:t xml:space="preserve">SECCIÓN 16</w:t>
      </w:r>
      <w:r>
        <w:rPr>
          <w:rFonts w:ascii="Consolas" w:hAnsi="Consolas" w:eastAsia="Consolas" w:cs="Consolas"/>
          <w:color w:val="94A3B8"/>
          <w:sz w:val="16"/>
          <w:szCs w:val="16"/>
        </w:rPr>
        <w:t xml:space="preserve">  /  vigilancia</w:t>
      </w:r>
      <w:bookmarkEnd w:id="915"/>
    </w:p>
    <w:p>
      <w:pPr>
        <w:pStyle w:val="Heading1"/>
        <w:keepNext/>
        <w:spacing w:after="160"/>
      </w:pPr>
      <w:r>
        <w:rPr>
          <w:rFonts w:ascii="Calibri" w:hAnsi="Calibri" w:eastAsia="Calibri" w:cs="Calibri"/>
          <w:b/>
          <w:bCs/>
          <w:color w:val="0F172A"/>
          <w:sz w:val="40"/>
          <w:szCs w:val="40"/>
        </w:rPr>
        <w:t xml:space="preserve">Vigilancia normativa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Varias normas que afectan al proyecto están en discusión y pueden cambiar mientras se construye.</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Saber qué vigilar, qué cambiaría y qué hacer si se aprueba.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Seguimiento de los proyectos de ley y de las fechas legales que cruzan el cronograma.</w:t>
            </w:r>
          </w:p>
        </w:tc>
      </w:tr>
    </w:tbl>
    <w:p>
      <w:pPr>
        <w:spacing w:after="0"/>
      </w:pPr>
    </w:p>
    <w:p>
      <w:pPr>
        <w:pStyle w:val="Heading2"/>
        <w:keepNext/>
        <w:spacing w:before="260" w:after="120"/>
      </w:pPr>
      <w:r>
        <w:rPr>
          <w:rFonts w:ascii="Consolas" w:hAnsi="Consolas" w:eastAsia="Consolas" w:cs="Consolas"/>
          <w:b/>
          <w:bCs/>
          <w:color w:val="0D9488"/>
          <w:sz w:val="22"/>
          <w:szCs w:val="22"/>
        </w:rPr>
        <w:t xml:space="preserve">16.1  </w:t>
      </w:r>
      <w:r>
        <w:rPr>
          <w:rFonts w:ascii="Calibri" w:hAnsi="Calibri" w:eastAsia="Calibri" w:cs="Calibri"/>
          <w:b/>
          <w:bCs/>
          <w:color w:val="0F172A"/>
          <w:sz w:val="25"/>
          <w:szCs w:val="25"/>
        </w:rPr>
        <w:t xml:space="preserve">Proyectos de ley en trámite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1700"/>
        <w:gridCol w:w="2900"/>
        <w:gridCol w:w="2600"/>
        <w:gridCol w:w="2440"/>
      </w:tblGrid>
      <w:tr>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PROYECTO</w:t>
            </w:r>
          </w:p>
        </w:tc>
        <w:tc>
          <w:tcPr>
            <w:tcW w:w="2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CAMBIARÍA</w:t>
            </w:r>
          </w:p>
        </w:tc>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ESTADO AL CORTE</w:t>
            </w:r>
          </w:p>
        </w:tc>
        <w:tc>
          <w:tcPr>
            <w:tcW w:w="2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QUÉ HACER</w:t>
            </w:r>
          </w:p>
        </w:tc>
      </w:tr>
      <w:tr>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Boletín 18.623-07</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Posterga la Ley 21.719 a dic-2027 (o seis meses, según propuestas en el Senado).</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Primer trámite en el Senado, con urgencia suma. Discusión en la Comisión de Constitución desde octubre de 2026.</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Diseñar para el 1-dic-2026; revisar al aprobarse.</w:t>
            </w:r>
          </w:p>
        </w:tc>
      </w:tr>
      <w:tr>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Boletín 17.678-11</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Carencia de 2 días y remuneración diaria durante la licencia en el sector público.</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En la Comisión de Salud del Senado; con observaciones de la SUSESO.</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Si se aprueba, ajustar los cálculos de remuneración y recuperación.</w:t>
            </w:r>
          </w:p>
        </w:tc>
      </w:tr>
      <w:tr>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Boletín 17.375-11</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Traspaso de funciones de la COMPIN a FONASA.</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En trámite.</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Vigilar cambios en el PIEE y en quién resuelve las licencias.</w:t>
            </w:r>
          </w:p>
        </w:tc>
      </w:tr>
      <w:tr>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Boletín 17.914-13</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Uso indebido de licencias como causal de despido.</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Ingresó a la Cámara en oct-2025.</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Impacto indirecto; mantener la reserva del diagnóstico.</w:t>
            </w:r>
          </w:p>
        </w:tc>
      </w:tr>
      <w:tr>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Boletín 16.821-19</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de inteligencia artificial por niveles de riesgo.</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Segundo trámite en el Senado.</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Mantener supervisión humana y evaluación de impacto.</w:t>
            </w:r>
          </w:p>
        </w:tc>
      </w:tr>
      <w:tr>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Boletín 18.551-04</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Plazo de instalación de los SLEP hasta 2040.</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En trámite.</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Diseñar el sistema para crecer de 36 a 70 SLEP.</w:t>
            </w:r>
          </w:p>
        </w:tc>
      </w:tr>
    </w:tbl>
    <w:p>
      <w:pPr>
        <w:spacing w:after="0"/>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CRITERIO ADOPTADO</w:t>
            </w:r>
          </w:p>
          <w:p>
            <w:pPr>
              <w:spacing w:after="50" w:line="260"/>
            </w:pPr>
            <w:r>
              <w:rPr>
                <w:color w:val="334155"/>
                <w:sz w:val="19"/>
                <w:szCs w:val="19"/>
              </w:rPr>
              <w:t xml:space="preserve">El sistema se diseña con las normas </w:t>
            </w:r>
            <w:r>
              <w:rPr>
                <w:b/>
                <w:bCs/>
                <w:color w:val="0F172A"/>
                <w:sz w:val="19"/>
                <w:szCs w:val="19"/>
              </w:rPr>
              <w:t xml:space="preserve">vigentes</w:t>
            </w:r>
            <w:r>
              <w:rPr>
                <w:color w:val="334155"/>
                <w:sz w:val="19"/>
                <w:szCs w:val="19"/>
              </w:rPr>
              <w:t xml:space="preserve"> al corte. Un proyecto de ley solo cambia el diseño cuando se publica en el Diario Oficial.</w:t>
            </w:r>
          </w:p>
        </w:tc>
      </w:tr>
    </w:tbl>
    <w:p>
      <w:pPr>
        <w:pStyle w:val="Heading2"/>
        <w:keepNext/>
        <w:spacing w:before="260" w:after="120"/>
      </w:pPr>
      <w:r>
        <w:rPr>
          <w:rFonts w:ascii="Consolas" w:hAnsi="Consolas" w:eastAsia="Consolas" w:cs="Consolas"/>
          <w:b/>
          <w:bCs/>
          <w:color w:val="0D9488"/>
          <w:sz w:val="22"/>
          <w:szCs w:val="22"/>
        </w:rPr>
        <w:t xml:space="preserve">16.2  </w:t>
      </w:r>
      <w:r>
        <w:rPr>
          <w:rFonts w:ascii="Calibri" w:hAnsi="Calibri" w:eastAsia="Calibri" w:cs="Calibri"/>
          <w:b/>
          <w:bCs/>
          <w:color w:val="0F172A"/>
          <w:sz w:val="25"/>
          <w:szCs w:val="25"/>
        </w:rPr>
        <w:t xml:space="preserve">Fechas que cruzan el proyecto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1500"/>
        <w:gridCol w:w="3600"/>
        <w:gridCol w:w="4540"/>
      </w:tblGrid>
      <w:tr>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FECHA</w:t>
            </w:r>
          </w:p>
        </w:tc>
        <w:tc>
          <w:tcPr>
            <w:tcW w:w="3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HITO</w:t>
            </w:r>
          </w:p>
        </w:tc>
        <w:tc>
          <w:tcPr>
            <w:tcW w:w="45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EFECTO EN EL PROYECTO</w:t>
            </w:r>
          </w:p>
        </w:tc>
      </w:tr>
      <w:tr>
        <w:trPr>
          <w:cantSplit/>
        </w:trPr>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15-oct-2026</w:t>
            </w:r>
          </w:p>
        </w:tc>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Cierre definitivo del PUE de FONASA</w:t>
            </w:r>
          </w:p>
        </w:tc>
        <w:tc>
          <w:tcPr>
            <w:tcW w:w="4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Completar la homologación de cada SLEP en el PIEE.</w:t>
            </w:r>
          </w:p>
        </w:tc>
      </w:tr>
      <w:tr>
        <w:trPr>
          <w:cantSplit/>
        </w:trPr>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1-dic-2026</w:t>
            </w:r>
          </w:p>
        </w:tc>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Vigencia de la Ley 21.719 (fecha vigente)</w:t>
            </w:r>
          </w:p>
        </w:tc>
        <w:tc>
          <w:tcPr>
            <w:tcW w:w="4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El sistema debe cumplirla desde ese día.</w:t>
            </w:r>
          </w:p>
        </w:tc>
      </w:tr>
      <w:tr>
        <w:trPr>
          <w:cantSplit/>
        </w:trPr>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31-dic-2026</w:t>
            </w:r>
          </w:p>
        </w:tc>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Fin de la plataforma PISEE</w:t>
            </w:r>
          </w:p>
        </w:tc>
        <w:tc>
          <w:tcPr>
            <w:tcW w:w="4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La interoperabilidad pasa a la nueva Red (DS 12/2023).</w:t>
            </w:r>
          </w:p>
        </w:tc>
      </w:tr>
      <w:tr>
        <w:trPr>
          <w:cantSplit/>
        </w:trPr>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4-ene-2027</w:t>
            </w:r>
          </w:p>
        </w:tc>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Vigencia de la Circular SUSESO 3926</w:t>
            </w:r>
          </w:p>
        </w:tc>
        <w:tc>
          <w:tcPr>
            <w:tcW w:w="4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Actualizar el seguimiento de rechazos y reclamos.</w:t>
            </w:r>
          </w:p>
        </w:tc>
      </w:tr>
      <w:tr>
        <w:trPr>
          <w:cantSplit/>
        </w:trPr>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31-dic-2027</w:t>
            </w:r>
          </w:p>
        </w:tc>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Plazo final de la Ley 21.180</w:t>
            </w:r>
          </w:p>
        </w:tc>
        <w:tc>
          <w:tcPr>
            <w:tcW w:w="4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Transformación digital completa de los órganos.</w:t>
            </w:r>
          </w:p>
        </w:tc>
      </w:tr>
    </w:tbl>
    <w:p>
      <w:pPr>
        <w:keepNext/>
        <w:pageBreakBefore/>
        <w:spacing w:after="60"/>
      </w:pPr>
      <w:bookmarkStart w:id="916" w:name="_idx_17"/>
      <w:r>
        <w:rPr>
          <w:rFonts w:ascii="Consolas" w:hAnsi="Consolas" w:eastAsia="Consolas" w:cs="Consolas"/>
          <w:b/>
          <w:bCs/>
          <w:color w:val="0D9488"/>
          <w:spacing w:val="30"/>
          <w:sz w:val="16"/>
          <w:szCs w:val="16"/>
        </w:rPr>
        <w:t xml:space="preserve">SECCIÓN 17</w:t>
      </w:r>
      <w:r>
        <w:rPr>
          <w:rFonts w:ascii="Consolas" w:hAnsi="Consolas" w:eastAsia="Consolas" w:cs="Consolas"/>
          <w:color w:val="94A3B8"/>
          <w:sz w:val="16"/>
          <w:szCs w:val="16"/>
        </w:rPr>
        <w:t xml:space="preserve">  /  próximos pasos</w:t>
      </w:r>
      <w:bookmarkEnd w:id="916"/>
    </w:p>
    <w:p>
      <w:pPr>
        <w:pStyle w:val="Heading1"/>
        <w:keepNext/>
        <w:spacing w:after="160"/>
      </w:pPr>
      <w:r>
        <w:rPr>
          <w:rFonts w:ascii="Calibri" w:hAnsi="Calibri" w:eastAsia="Calibri" w:cs="Calibri"/>
          <w:b/>
          <w:bCs/>
          <w:color w:val="0F172A"/>
          <w:sz w:val="40"/>
          <w:szCs w:val="40"/>
        </w:rPr>
        <w:t xml:space="preserve">Próximos pasos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4"/>
      </w:tblGrid>
      <w:tr>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POR QUÉ</w:t>
            </w:r>
          </w:p>
          <w:p>
            <w:pPr>
              <w:spacing w:after="20" w:line="250"/>
            </w:pPr>
            <w:r>
              <w:rPr>
                <w:color w:val="334155"/>
                <w:sz w:val="17"/>
                <w:szCs w:val="17"/>
              </w:rPr>
              <w:t xml:space="preserve">La versión 2 necesita los textos oficiales para indicar qué artículo afecta al proyecto.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PARA QUÉ</w:t>
            </w:r>
          </w:p>
          <w:p>
            <w:pPr>
              <w:spacing w:after="20" w:line="250"/>
            </w:pPr>
            <w:r>
              <w:rPr>
                <w:color w:val="334155"/>
                <w:sz w:val="17"/>
                <w:szCs w:val="17"/>
              </w:rPr>
              <w:t xml:space="preserve">Ordenar la descarga de los PDF por prioridad.</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vAlign w:val="top"/>
          </w:tcPr>
          <w:p>
            <w:pPr>
              <w:spacing w:after="60"/>
            </w:pPr>
            <w:r>
              <w:rPr>
                <w:rFonts w:ascii="Consolas" w:hAnsi="Consolas" w:eastAsia="Consolas" w:cs="Consolas"/>
                <w:b/>
                <w:bCs/>
                <w:color w:val="0D9488"/>
                <w:spacing w:val="20"/>
                <w:sz w:val="15"/>
                <w:szCs w:val="15"/>
              </w:rPr>
              <w:t xml:space="preserve">CÓMO</w:t>
            </w:r>
          </w:p>
          <w:p>
            <w:pPr>
              <w:spacing w:after="20" w:line="250"/>
            </w:pPr>
            <w:r>
              <w:rPr>
                <w:color w:val="334155"/>
                <w:sz w:val="17"/>
                <w:szCs w:val="17"/>
              </w:rPr>
              <w:t xml:space="preserve">Cuatro lotes, del más al menos determinante para el diseño.</w:t>
            </w:r>
          </w:p>
        </w:tc>
      </w:tr>
    </w:tbl>
    <w:p>
      <w:pPr>
        <w:spacing w:after="0"/>
      </w:pPr>
    </w:p>
    <w:p>
      <w:pPr>
        <w:pStyle w:val="Heading2"/>
        <w:keepNext/>
        <w:spacing w:before="260" w:after="120"/>
      </w:pPr>
      <w:r>
        <w:rPr>
          <w:rFonts w:ascii="Consolas" w:hAnsi="Consolas" w:eastAsia="Consolas" w:cs="Consolas"/>
          <w:b/>
          <w:bCs/>
          <w:color w:val="0D9488"/>
          <w:sz w:val="22"/>
          <w:szCs w:val="22"/>
        </w:rPr>
        <w:t xml:space="preserve">17.1  </w:t>
      </w:r>
      <w:r>
        <w:rPr>
          <w:rFonts w:ascii="Calibri" w:hAnsi="Calibri" w:eastAsia="Calibri" w:cs="Calibri"/>
          <w:b/>
          <w:bCs/>
          <w:color w:val="0F172A"/>
          <w:sz w:val="25"/>
          <w:szCs w:val="25"/>
        </w:rPr>
        <w:t xml:space="preserve">Lotes de descarga de los textos oficiales</w:t>
      </w:r>
    </w:p>
    <w:p>
      <w:pPr>
        <w:spacing w:before="0" w:after="140" w:line="276"/>
        <w:jc w:val="left"/>
      </w:pPr>
      <w:r>
        <w:rPr>
          <w:rFonts w:ascii="Calibri" w:hAnsi="Calibri" w:eastAsia="Calibri" w:cs="Calibri"/>
          <w:color w:val="334155"/>
          <w:sz w:val="20"/>
          <w:szCs w:val="20"/>
        </w:rPr>
        <w:t xml:space="preserve">Los PDF se guardan con el nombre sugerido en la planilla complementaria, para que el índice HTML de la tercera etapa los encuentre. Cada lote cabe en un envío.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00"/>
        <w:gridCol w:w="1700"/>
        <w:gridCol w:w="4440"/>
        <w:gridCol w:w="2600"/>
      </w:tblGrid>
      <w:tr>
        <w:trPr>
          <w:cantSplit/>
          <w:tblHeader/>
        </w:trPr>
        <w:tc>
          <w:tcPr>
            <w:tcW w:w="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LOTE</w:t>
            </w:r>
          </w:p>
        </w:tc>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GRUPO</w:t>
            </w:r>
          </w:p>
        </w:tc>
        <w:tc>
          <w:tcPr>
            <w:tcW w:w="4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NORMAS</w:t>
            </w:r>
          </w:p>
        </w:tc>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vAlign w:val="top"/>
          </w:tcPr>
          <w:p>
            <w:pPr>
              <w:spacing w:after="40" w:line="252"/>
              <w:jc w:val="left"/>
            </w:pPr>
            <w:r>
              <w:rPr>
                <w:rFonts w:ascii="Consolas" w:hAnsi="Consolas" w:eastAsia="Consolas" w:cs="Consolas"/>
                <w:b/>
                <w:bCs/>
                <w:color w:val="FFFFFF"/>
                <w:sz w:val="15"/>
                <w:szCs w:val="15"/>
              </w:rPr>
              <w:t xml:space="preserve">POR QUÉ EN ESTE ORDEN</w:t>
            </w:r>
          </w:p>
        </w:tc>
      </w:tr>
      <w:tr>
        <w:trPr>
          <w:cantSplit/>
        </w:trPr>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Lote 1</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Licencias y personal</w:t>
            </w:r>
          </w:p>
        </w:tc>
        <w:tc>
          <w:tcPr>
            <w:tcW w:w="4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DS 3/1984 · Ley 20.585 · Ley 21.746 · Circular 3779 · Circular 3868 · Compendio SUSESO (libros II, VI y VII) · Dictamen 9937-2012 · Ley 18.196 · DFL 29/2004 · DFL 1/1996 · Ley 21.109</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Son las reglas del trámite: plazo, zona C, diagnóstico y recuperación del subsidio.</w:t>
            </w:r>
          </w:p>
        </w:tc>
      </w:tr>
      <w:tr>
        <w:trPr>
          <w:cantSplit/>
        </w:trPr>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Lote 2</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Datos, acceso y seguridad</w:t>
            </w:r>
          </w:p>
        </w:tc>
        <w:tc>
          <w:tcPr>
            <w:tcW w:w="4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Ley 19.628 · Ley 21.719 · Ley 20.584 · Res. Ex. 733/2025 · DS 9/2023 · DS 7/2023 · DS 12/2023 · Ley 21.459 · Ley 21.663 · DS 295/2024</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Definen qué datos se tratan, cómo se entra al PIEE y el límite del robot.</w:t>
            </w:r>
          </w:p>
        </w:tc>
      </w:tr>
      <w:tr>
        <w:trPr>
          <w:cantSplit/>
        </w:trPr>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Lote 3</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IA, compras e institucional</w:t>
            </w:r>
          </w:p>
        </w:tc>
        <w:tc>
          <w:tcPr>
            <w:tcW w:w="4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Oficio 711/2023 · Res. Ex. 372/2024 CPLT · Directiva ChileCompra 44/2026 · Ley 21.040 · Ley 21.819 · Ley 19.886 · DS 661/2024 · Circulares 3913, 3917 y 3926 · Oficio SUSESO 2744-2026</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Condicionan las propuestas óptima y avanzada y el rol de la DEP.</w:t>
            </w:r>
          </w:p>
        </w:tc>
      </w:tr>
      <w:tr>
        <w:trPr>
          <w:cantSplit/>
        </w:trPr>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rFonts w:ascii="Calibri" w:hAnsi="Calibri" w:eastAsia="Calibri" w:cs="Calibri"/>
                <w:b/>
                <w:bCs/>
                <w:color w:val="0F172A"/>
                <w:sz w:val="17"/>
                <w:szCs w:val="17"/>
              </w:rPr>
              <w:t xml:space="preserve">Lote 4</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Resto del inventario</w:t>
            </w:r>
          </w:p>
        </w:tc>
        <w:tc>
          <w:tcPr>
            <w:tcW w:w="4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Normas orientadoras, complementarias y por confirmar.</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top"/>
          </w:tcPr>
          <w:p>
            <w:pPr>
              <w:spacing w:after="40" w:line="252"/>
              <w:jc w:val="left"/>
            </w:pPr>
            <w:r>
              <w:rPr>
                <w:color w:val="334155"/>
                <w:sz w:val="17"/>
                <w:szCs w:val="17"/>
              </w:rPr>
              <w:t xml:space="preserve">Completan el análisis; su impacto es menor o indirecto.</w:t>
            </w:r>
          </w:p>
        </w:tc>
      </w:tr>
    </w:tbl>
    <w:p>
      <w:pPr>
        <w:spacing w:after="0"/>
      </w:pPr>
    </w:p>
    <w:p>
      <w:pPr>
        <w:pStyle w:val="Heading2"/>
        <w:keepNext/>
        <w:spacing w:before="260" w:after="120"/>
      </w:pPr>
      <w:r>
        <w:rPr>
          <w:rFonts w:ascii="Consolas" w:hAnsi="Consolas" w:eastAsia="Consolas" w:cs="Consolas"/>
          <w:b/>
          <w:bCs/>
          <w:color w:val="0D9488"/>
          <w:sz w:val="22"/>
          <w:szCs w:val="22"/>
        </w:rPr>
        <w:t xml:space="preserve">17.2  </w:t>
      </w:r>
      <w:r>
        <w:rPr>
          <w:rFonts w:ascii="Calibri" w:hAnsi="Calibri" w:eastAsia="Calibri" w:cs="Calibri"/>
          <w:b/>
          <w:bCs/>
          <w:color w:val="0F172A"/>
          <w:sz w:val="25"/>
          <w:szCs w:val="25"/>
        </w:rPr>
        <w:t xml:space="preserve">Qué hará la versión 2</w:t>
      </w:r>
    </w:p>
    <w:p>
      <w:pPr>
        <w:pStyle w:val="ListParagraph"/>
        <w:numPr>
          <w:ilvl w:val="0"/>
          <w:numId w:val="2"/>
        </w:numPr>
        <w:spacing w:after="70" w:line="264"/>
      </w:pPr>
      <w:r>
        <w:rPr>
          <w:color w:val="334155"/>
          <w:sz w:val="20"/>
          <w:szCs w:val="20"/>
        </w:rPr>
        <w:t xml:space="preserve">Para cada norma, indicar el artículo o la sección exacta que afecta al proyecto y citar su texto vigente.</w:t>
      </w:r>
    </w:p>
    <w:p>
      <w:pPr>
        <w:pStyle w:val="ListParagraph"/>
        <w:numPr>
          <w:ilvl w:val="0"/>
          <w:numId w:val="2"/>
        </w:numPr>
        <w:spacing w:after="70" w:line="264"/>
      </w:pPr>
      <w:r>
        <w:rPr>
          <w:color w:val="334155"/>
          <w:sz w:val="20"/>
          <w:szCs w:val="20"/>
        </w:rPr>
        <w:t xml:space="preserve">Explicar cómo se interpreta en el contexto de la automatización y qué exige al diseño de cada camino.</w:t>
      </w:r>
    </w:p>
    <w:p>
      <w:pPr>
        <w:pStyle w:val="ListParagraph"/>
        <w:numPr>
          <w:ilvl w:val="0"/>
          <w:numId w:val="2"/>
        </w:numPr>
        <w:spacing w:after="70" w:line="264"/>
      </w:pPr>
      <w:r>
        <w:rPr>
          <w:color w:val="334155"/>
          <w:sz w:val="20"/>
          <w:szCs w:val="20"/>
        </w:rPr>
        <w:t xml:space="preserve">Verificar las normas marcadas como fuente secundaria o por confirmar, y actualizar su estado.</w:t>
      </w:r>
    </w:p>
    <w:p>
      <w:pPr>
        <w:pStyle w:val="ListParagraph"/>
        <w:numPr>
          <w:ilvl w:val="0"/>
          <w:numId w:val="2"/>
        </w:numPr>
        <w:spacing w:after="70" w:line="264"/>
      </w:pPr>
      <w:r>
        <w:rPr>
          <w:color w:val="334155"/>
          <w:sz w:val="20"/>
          <w:szCs w:val="20"/>
        </w:rPr>
        <w:t xml:space="preserve">Actualizar los capítulos de marco legal del Informe de factibilidad (08.x.1) donde corresponda, empezando por la fecha de cierre del PUE.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000" w:firstRow="0" w:lastRow="0" w:firstColumn="0" w:lastColumn="0" w:noHBand="0" w:noVBand="0"/>
      </w:tblPr>
      <w:tblGrid>
        <w:gridCol w:w="9640"/>
      </w:tblGrid>
      <w:tr>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vAlign w:val="top"/>
          </w:tcPr>
          <w:p>
            <w:pPr>
              <w:spacing w:after="60"/>
            </w:pPr>
            <w:r>
              <w:rPr>
                <w:rFonts w:ascii="Consolas" w:hAnsi="Consolas" w:eastAsia="Consolas" w:cs="Consolas"/>
                <w:b/>
                <w:bCs/>
                <w:color w:val="0D9488"/>
                <w:spacing w:val="20"/>
                <w:sz w:val="15"/>
                <w:szCs w:val="15"/>
              </w:rPr>
              <w:t xml:space="preserve">RECOMENDACIÓN</w:t>
            </w:r>
          </w:p>
          <w:p>
            <w:pPr>
              <w:spacing w:after="50" w:line="260"/>
            </w:pPr>
            <w:r>
              <w:rPr>
                <w:color w:val="334155"/>
                <w:sz w:val="19"/>
                <w:szCs w:val="19"/>
              </w:rPr>
              <w:t xml:space="preserve">Validar este inventario con el área jurídica de la DEP antes de la versión 2, y descargar primero el </w:t>
            </w:r>
            <w:r>
              <w:rPr>
                <w:b/>
                <w:bCs/>
                <w:color w:val="0F172A"/>
                <w:sz w:val="19"/>
                <w:szCs w:val="19"/>
              </w:rPr>
              <w:t xml:space="preserve">Lote 1</w:t>
            </w:r>
            <w:r>
              <w:rPr>
                <w:color w:val="334155"/>
                <w:sz w:val="19"/>
                <w:szCs w:val="19"/>
              </w:rPr>
              <w:t xml:space="preserve">: contiene las reglas que definen el trámite que se automatiza.</w:t>
            </w:r>
          </w:p>
        </w:tc>
      </w:tr>
    </w:tbl>
    <w:p>
      <w:pPr>
        <w:keepNext/>
        <w:pageBreakBefore/>
        <w:spacing w:after="60"/>
      </w:pPr>
      <w:bookmarkStart w:id="917" w:name="_idx_A"/>
      <w:r>
        <w:rPr>
          <w:rFonts w:ascii="Consolas" w:hAnsi="Consolas" w:eastAsia="Consolas" w:cs="Consolas"/>
          <w:b/>
          <w:bCs/>
          <w:color w:val="0D9488"/>
          <w:spacing w:val="30"/>
          <w:sz w:val="16"/>
          <w:szCs w:val="16"/>
        </w:rPr>
        <w:t xml:space="preserve">ANEXO A</w:t>
      </w:r>
      <w:r>
        <w:rPr>
          <w:rFonts w:ascii="Consolas" w:hAnsi="Consolas" w:eastAsia="Consolas" w:cs="Consolas"/>
          <w:color w:val="94A3B8"/>
          <w:sz w:val="16"/>
          <w:szCs w:val="16"/>
        </w:rPr>
        <w:t xml:space="preserve">  /  fuentes</w:t>
      </w:r>
      <w:bookmarkEnd w:id="917"/>
    </w:p>
    <w:p>
      <w:pPr>
        <w:pStyle w:val="Heading1"/>
        <w:keepNext/>
        <w:spacing w:after="160"/>
      </w:pPr>
      <w:r>
        <w:rPr>
          <w:rFonts w:ascii="Calibri" w:hAnsi="Calibri" w:eastAsia="Calibri" w:cs="Calibri"/>
          <w:b/>
          <w:bCs/>
          <w:color w:val="0F172A"/>
          <w:sz w:val="40"/>
          <w:szCs w:val="40"/>
        </w:rPr>
        <w:t xml:space="preserve">Fuentes consultadas</w:t>
      </w:r>
    </w:p>
    <w:p>
      <w:pPr>
        <w:spacing w:before="0" w:after="140" w:line="276"/>
        <w:jc w:val="left"/>
      </w:pPr>
      <w:r>
        <w:rPr>
          <w:rFonts w:ascii="Calibri" w:hAnsi="Calibri" w:eastAsia="Calibri" w:cs="Calibri"/>
          <w:color w:val="334155"/>
          <w:sz w:val="20"/>
          <w:szCs w:val="20"/>
        </w:rPr>
        <w:t xml:space="preserve">Fuentes revisadas al 8 de octubre de 2026. Los enlaces de cada norma están en la planilla complementaria.</w:t>
      </w:r>
    </w:p>
    <w:p>
      <w:pPr>
        <w:pStyle w:val="ListParagraph"/>
        <w:numPr>
          <w:ilvl w:val="0"/>
          <w:numId w:val="2"/>
        </w:numPr>
        <w:spacing w:after="70" w:line="264"/>
      </w:pPr>
      <w:r>
        <w:rPr>
          <w:color w:val="334155"/>
          <w:sz w:val="20"/>
          <w:szCs w:val="20"/>
        </w:rPr>
        <w:t xml:space="preserve">Informe 00 — Marco Legal y Normativo de GDP-SLEP Studio (corte 2-oct-2026), Anexos B y C.</w:t>
      </w:r>
    </w:p>
    <w:p>
      <w:pPr>
        <w:pStyle w:val="ListParagraph"/>
        <w:numPr>
          <w:ilvl w:val="0"/>
          <w:numId w:val="2"/>
        </w:numPr>
        <w:spacing w:after="70" w:line="264"/>
      </w:pPr>
      <w:r>
        <w:rPr>
          <w:color w:val="334155"/>
          <w:sz w:val="20"/>
          <w:szCs w:val="20"/>
        </w:rPr>
        <w:t xml:space="preserve">SUSESO — Circulares 3913, 3917 y 3926; Oficio O-01-S-02744-2026; Circular 3868; Compendio de Normas sobre Licencias Médicas, Subsidios y SANNA: suseso.gob.cl.</w:t>
      </w:r>
    </w:p>
    <w:p>
      <w:pPr>
        <w:pStyle w:val="ListParagraph"/>
        <w:numPr>
          <w:ilvl w:val="0"/>
          <w:numId w:val="2"/>
        </w:numPr>
        <w:spacing w:after="70" w:line="264"/>
      </w:pPr>
      <w:r>
        <w:rPr>
          <w:color w:val="334155"/>
          <w:sz w:val="20"/>
          <w:szCs w:val="20"/>
        </w:rPr>
        <w:t xml:space="preserve">FONASA — Portal de licencias para empleadores, Manual PIEE, Manual de homologación y aviso de extensión del PUE (1-oct-2026): fonasa.gob.cl/empleadores.</w:t>
      </w:r>
    </w:p>
    <w:p>
      <w:pPr>
        <w:pStyle w:val="ListParagraph"/>
        <w:numPr>
          <w:ilvl w:val="0"/>
          <w:numId w:val="2"/>
        </w:numPr>
        <w:spacing w:after="70" w:line="264"/>
      </w:pPr>
      <w:r>
        <w:rPr>
          <w:color w:val="334155"/>
          <w:sz w:val="20"/>
          <w:szCs w:val="20"/>
        </w:rPr>
        <w:t xml:space="preserve">WikiGuías — Guías técnicas de Interoperabilidad, Autenticación, Calidad, Documentos y Expedientes y Notificaciones; Manual de Integración ClaveÚnica; Res. Ex. 733/2025 y Res. Ex. 250/2025: wikiguias.digital.gob.cl.</w:t>
      </w:r>
    </w:p>
    <w:p>
      <w:pPr>
        <w:pStyle w:val="ListParagraph"/>
        <w:numPr>
          <w:ilvl w:val="0"/>
          <w:numId w:val="2"/>
        </w:numPr>
        <w:spacing w:after="70" w:line="264"/>
      </w:pPr>
      <w:r>
        <w:rPr>
          <w:color w:val="334155"/>
          <w:sz w:val="20"/>
          <w:szCs w:val="20"/>
        </w:rPr>
        <w:t xml:space="preserve">Ministerio de Salud — Proyecto que modifica el Subsidio de Incapacidad Laboral, Boletín 17.678-11 (ago-2025): minsal.cl.</w:t>
      </w:r>
    </w:p>
    <w:p>
      <w:pPr>
        <w:pStyle w:val="ListParagraph"/>
        <w:numPr>
          <w:ilvl w:val="0"/>
          <w:numId w:val="2"/>
        </w:numPr>
        <w:spacing w:after="70" w:line="264"/>
      </w:pPr>
      <w:r>
        <w:rPr>
          <w:color w:val="334155"/>
          <w:sz w:val="20"/>
          <w:szCs w:val="20"/>
        </w:rPr>
        <w:t xml:space="preserve">Senado — Comisión de Salud sobre el proyecto de carencia (abr-2026): senado.cl.</w:t>
      </w:r>
    </w:p>
    <w:p>
      <w:pPr>
        <w:pStyle w:val="ListParagraph"/>
        <w:numPr>
          <w:ilvl w:val="0"/>
          <w:numId w:val="2"/>
        </w:numPr>
        <w:spacing w:after="70" w:line="264"/>
      </w:pPr>
      <w:r>
        <w:rPr>
          <w:color w:val="334155"/>
          <w:sz w:val="20"/>
          <w:szCs w:val="20"/>
        </w:rPr>
        <w:t xml:space="preserve">Pauta (2-oct-2026) y SG Legal (29-sep-2026) — Estado del Boletín 18.623-07.</w:t>
      </w:r>
    </w:p>
    <w:p>
      <w:pPr>
        <w:pStyle w:val="ListParagraph"/>
        <w:numPr>
          <w:ilvl w:val="0"/>
          <w:numId w:val="2"/>
        </w:numPr>
        <w:spacing w:after="70" w:line="264"/>
      </w:pPr>
      <w:r>
        <w:rPr>
          <w:color w:val="334155"/>
          <w:sz w:val="20"/>
          <w:szCs w:val="20"/>
        </w:rPr>
        <w:t xml:space="preserve">Carey (dic-2025) — Instrucciones Generales ANCI N° 2, 3 y 4; Política Nacional de Ciberseguridad (DS 164/2023).</w:t>
      </w:r>
    </w:p>
    <w:p>
      <w:pPr>
        <w:pStyle w:val="ListParagraph"/>
        <w:numPr>
          <w:ilvl w:val="0"/>
          <w:numId w:val="2"/>
        </w:numPr>
        <w:spacing w:after="70" w:line="264"/>
      </w:pPr>
      <w:r>
        <w:rPr>
          <w:color w:val="334155"/>
          <w:sz w:val="20"/>
          <w:szCs w:val="20"/>
        </w:rPr>
        <w:t xml:space="preserve">Diario Oficial — Res. Ex. 28/2025 ANCI (6-ago-2025).</w:t>
      </w:r>
    </w:p>
    <w:p>
      <w:pPr>
        <w:pStyle w:val="ListParagraph"/>
        <w:numPr>
          <w:ilvl w:val="0"/>
          <w:numId w:val="2"/>
        </w:numPr>
        <w:spacing w:after="70" w:line="264"/>
      </w:pPr>
      <w:r>
        <w:rPr>
          <w:color w:val="334155"/>
          <w:sz w:val="20"/>
          <w:szCs w:val="20"/>
        </w:rPr>
        <w:t xml:space="preserve">ChileCompra — Directiva N° 44/2026 (mar-2026) y Base Tipo de cloud computing (ago-2026): chilecompra.cl.</w:t>
      </w:r>
    </w:p>
    <w:p>
      <w:pPr>
        <w:pStyle w:val="ListParagraph"/>
        <w:numPr>
          <w:ilvl w:val="0"/>
          <w:numId w:val="2"/>
        </w:numPr>
        <w:spacing w:after="70" w:line="264"/>
      </w:pPr>
      <w:r>
        <w:rPr>
          <w:color w:val="334155"/>
          <w:sz w:val="20"/>
          <w:szCs w:val="20"/>
        </w:rPr>
        <w:t xml:space="preserve">Consejo para la Transparencia — Guía de protección de datos personales para instituciones públicas (2024).</w:t>
      </w:r>
    </w:p>
    <w:p>
      <w:pPr>
        <w:pStyle w:val="ListParagraph"/>
        <w:numPr>
          <w:ilvl w:val="0"/>
          <w:numId w:val="2"/>
        </w:numPr>
        <w:spacing w:after="70" w:line="264"/>
      </w:pPr>
      <w:r>
        <w:rPr>
          <w:color w:val="334155"/>
          <w:sz w:val="20"/>
          <w:szCs w:val="20"/>
        </w:rPr>
        <w:t xml:space="preserve">Diario Constitucional (feb-2026) — Tramitación del Boletín 16.821-19; LyD (ago-2026) — Boletín 17.914-13.</w:t>
      </w:r>
    </w:p>
    <w:p>
      <w:pPr>
        <w:pStyle w:val="ListParagraph"/>
        <w:numPr>
          <w:ilvl w:val="0"/>
          <w:numId w:val="2"/>
        </w:numPr>
        <w:spacing w:after="70" w:line="264"/>
      </w:pPr>
      <w:r>
        <w:rPr>
          <w:color w:val="334155"/>
          <w:sz w:val="20"/>
          <w:szCs w:val="20"/>
        </w:rPr>
        <w:t xml:space="preserve">BCN LeyChile — textos de leyes y decretos citados (a descargar en la segunda etapa).</w:t>
      </w:r>
    </w:p>
    <w:sectPr>
      <w:headerReference w:type="default" r:id="rId7"/>
      <w:headerReference w:type="first" r:id="rId8"/>
      <w:footerReference w:type="default" r:id="rId9"/>
      <w:footerReference w:type="first" r:id="rId10"/>
      <w:pgSz w:w="12240" w:h="15840" w:orient="portrait"/>
      <w:pgMar w:top="1250" w:right="1300" w:bottom="1150" w:left="1300" w:header="60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94A3B8"/>
        <w:sz w:val="14"/>
        <w:szCs w:val="14"/>
      </w:rPr>
      <w:t xml:space="preserve">DEP · Subdepartamento GDP-SLEP · Uso interno</w:t>
    </w:r>
    <w:r>
      <w:rPr>
        <w:rFonts w:ascii="Consolas" w:cs="Consolas" w:eastAsia="Consolas" w:hAnsi="Consolas"/>
        <w:color w:val="94A3B8"/>
        <w:sz w:val="14"/>
        <w:szCs w:val="14"/>
      </w:rPr>
      <w:t xml:space="preserve">	pág. </w:t>
    </w:r>
    <w:r>
      <w:rPr>
        <w:rFonts w:ascii="Consolas" w:cs="Consolas" w:eastAsia="Consolas" w:hAnsi="Consolas"/>
        <w:b/>
        <w:bCs/>
        <w:color w:val="0F172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640"/>
      </w:tabs>
    </w:pPr>
    <w:r>
      <w:rPr>
        <w:rFonts w:ascii="Consolas" w:cs="Consolas" w:eastAsia="Consolas" w:hAnsi="Consolas"/>
        <w:b/>
        <w:bCs/>
        <w:color w:val="0D9488"/>
        <w:spacing w:val="20"/>
        <w:sz w:val="14"/>
        <w:szCs w:val="14"/>
      </w:rPr>
      <w:t xml:space="preserve">GDP - SLEP STUDIO</w:t>
    </w:r>
    <w:r>
      <w:rPr>
        <w:rFonts w:ascii="Consolas" w:cs="Consolas" w:eastAsia="Consolas" w:hAnsi="Consolas"/>
        <w:color w:val="94A3B8"/>
        <w:spacing w:val="10"/>
        <w:sz w:val="14"/>
        <w:szCs w:val="14"/>
      </w:rPr>
      <w:t xml:space="preserve">	INFORME 00.1  ·  MARCO LEGAL DE LICENCIAS MÉDICAS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9488"/>
      </w:rPr>
    </w:lvl>
  </w:abstractNum>
  <w:abstractNum w:abstractNumId="3" w15:restartNumberingAfterBreak="0">
    <w:multiLevelType w:val="hybridMultilevel"/>
    <w:lvl w:ilvl="0" w15:tentative="1">
      <w:start w:val="1"/>
      <w:numFmt w:val="decimal"/>
      <w:lvlText w:val="%1."/>
      <w:lvlJc w:val="left"/>
      <w:pPr>
        <w:ind w:left="440" w:hanging="300"/>
      </w:pPr>
      <w:rPr>
        <w:b/>
        <w:bCs/>
        <w:color w:val="0D948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0F172A"/>
      <w:sz w:val="25"/>
      <w:szCs w:val="25"/>
    </w:rPr>
  </w:style>
  <w:style w:type="paragraph" w:styleId="Heading3">
    <w:name w:val="Heading 3"/>
    <w:basedOn w:val="Normal"/>
    <w:next w:val="Normal"/>
    <w:qFormat/>
    <w:pPr>
      <w:outlineLvl w:val="2"/>
    </w:pPr>
    <w:rPr>
      <w:rFonts w:ascii="Calibri" w:cs="Calibri" w:eastAsia="Calibri" w:hAnsi="Calibri"/>
      <w:b/>
      <w:bCs/>
      <w:color w:val="0F766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00.1 — Marco legal del proyecto de automatización de licencias médicas</dc:title>
  <dc:subject>GDP-SLEP Studio</dc:subject>
  <dc:creator>César Torres</dc:creator>
  <dc:description>Inventario normativo del proyecto de automatización de licencias médicas</dc:description>
  <cp:lastModifiedBy>Un-named</cp:lastModifiedBy>
  <cp:revision>1</cp:revision>
  <dcterms:created xsi:type="dcterms:W3CDTF">2026-10-02T15:58:53.774Z</dcterms:created>
  <dcterms:modified xsi:type="dcterms:W3CDTF">2026-10-02T15:58:53.774Z</dcterms:modified>
</cp:coreProperties>
</file>

<file path=docProps/custom.xml><?xml version="1.0" encoding="utf-8"?>
<Properties xmlns="http://schemas.openxmlformats.org/officeDocument/2006/custom-properties" xmlns:vt="http://schemas.openxmlformats.org/officeDocument/2006/docPropsVTypes"/>
</file>