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marco-legal</w:t>
      </w:r>
    </w:p>
    <w:p>
      <w:pPr>
        <w:spacing w:after="240"/>
      </w:pPr>
      <w:r>
        <w:rPr>
          <w:rFonts w:ascii="Consolas" w:cs="Consolas" w:eastAsia="Consolas" w:hAnsi="Consolas"/>
          <w:b/>
          <w:bCs/>
          <w:color w:val="64748B"/>
          <w:spacing w:val="40"/>
          <w:sz w:val="18"/>
          <w:szCs w:val="18"/>
        </w:rPr>
        <w:t xml:space="preserve">INFORME 00  ·  SERIE DE INFORMES GDP-SLEP STUDIO</w:t>
      </w:r>
    </w:p>
    <w:p>
      <w:pPr>
        <w:spacing w:after="0"/>
      </w:pPr>
      <w:r>
        <w:rPr>
          <w:rFonts w:ascii="Calibri" w:cs="Calibri" w:eastAsia="Calibri" w:hAnsi="Calibri"/>
          <w:b/>
          <w:bCs/>
          <w:color w:val="0F172A"/>
          <w:sz w:val="80"/>
          <w:szCs w:val="80"/>
        </w:rPr>
        <w:t xml:space="preserve">Marco Legal</w:t>
      </w:r>
    </w:p>
    <w:p>
      <w:pPr>
        <w:spacing w:after="220"/>
      </w:pPr>
      <w:r>
        <w:rPr>
          <w:rFonts w:ascii="Calibri" w:cs="Calibri" w:eastAsia="Calibri" w:hAnsi="Calibri"/>
          <w:b/>
          <w:bCs/>
          <w:color w:val="0F172A"/>
          <w:sz w:val="80"/>
          <w:szCs w:val="80"/>
        </w:rPr>
        <w:t xml:space="preserve">y Normativo</w:t>
      </w:r>
    </w:p>
    <w:p>
      <w:pPr>
        <w:pBdr>
          <w:bottom w:val="single" w:color="0D9488" w:sz="24" w:space="1"/>
        </w:pBdr>
        <w:spacing w:after="300"/>
        <w:ind w:right="8340"/>
      </w:pPr>
    </w:p>
    <w:p>
      <w:pPr>
        <w:spacing w:after="120"/>
      </w:pPr>
      <w:r>
        <w:rPr>
          <w:rFonts w:ascii="Calibri" w:cs="Calibri" w:eastAsia="Calibri" w:hAnsi="Calibri"/>
          <w:color w:val="0D9488"/>
          <w:sz w:val="30"/>
          <w:szCs w:val="30"/>
        </w:rPr>
        <w:t xml:space="preserve">Normas que rigen el portal GDP-SLEP Studio y sus aplicaciones</w:t>
      </w:r>
    </w:p>
    <w:p>
      <w:pPr>
        <w:spacing w:after="1000" w:line="290"/>
      </w:pPr>
      <w:r>
        <w:rPr>
          <w:rFonts w:ascii="Calibri" w:cs="Calibri" w:eastAsia="Calibri" w:hAnsi="Calibri"/>
          <w:color w:val="64748B"/>
          <w:sz w:val="20"/>
          <w:szCs w:val="20"/>
        </w:rPr>
        <w:t xml:space="preserve">Datos personales y de salud, ciberseguridad, Estado digital, ClaveÚnica, sumarios administrativos, licencias médicas, inteligencia artificial, nube, compras públicas, propiedad intelectual y la vía documentada de FONASA.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Portal institucional de aplicaciones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Marco legal y normativo · Informe transversal de la serie</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DESARROLLADOR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CORTE NORMATIVO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2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Análisis técnico-normativo elaborado por el equipo de desarrollo. No reemplaza la revisión del área jurídica de la DEP.</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00 — Marco Legal y Normativo del ecosistema GDP-SLEP Studio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transversal. Es la base normativa de los informes 1 al 13</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Identificar, explicar y aplicar al proyecto todas las normas vigentes, en trámite y relevantes para el portal y cada una de sus aplicaciones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Alcance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Portal GDP-SLEP Studio · Validador de Formularios · Automatización de licencias médicas (RPA, API + webservice + LAYA, mixta) · IA local orquestadora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Fecha de corte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Normas, proyectos y fuentes revisados al 2 de octubre de 2026</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Desarrollador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Carácter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Análisis técnico-normativo para la toma de decisiones del proyecto. Las interpretaciones se identifican como tales y se recomienda su validación por el área jurídica de la DEP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Conclusión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portal y el Validador son legalmente viables. La automatización de licencias médicas es viable solo por vías autorizadas (operadores LME, Red de Interoperabilidad, autorización de FONASA); un robot que opere el PIEE con la ClaveÚnica de un funcionario no es viable</w:t>
            </w:r>
          </w:p>
        </w:tc>
      </w:tr>
    </w:tbl>
    <w:p>
      <w:pPr>
        <w:spacing w:after="120" w:before="0" w:line="120"/>
      </w:pPr>
    </w:p>
    <w:p>
      <w:pPr>
        <w:pageBreakBefore/>
        <w:spacing w:after="0"/>
      </w:pPr>
    </w:p>
    <w:p>
      <w:pPr>
        <w:pStyle w:val="Heading3"/>
        <w:keepNext/>
        <w:spacing w:after="80" w:before="180"/>
      </w:pPr>
      <w:r>
        <w:rPr>
          <w:rFonts w:ascii="Calibri" w:cs="Calibri" w:eastAsia="Calibri" w:hAnsi="Calibri"/>
          <w:b/>
          <w:bCs/>
          <w:color w:val="0F766E"/>
          <w:sz w:val="22"/>
          <w:szCs w:val="22"/>
        </w:rPr>
        <w:t xml:space="preserve">Lugar de este informe en la serie</w:t>
      </w:r>
    </w:p>
    <w:p>
      <w:pPr>
        <w:spacing w:after="140" w:before="0" w:line="276"/>
        <w:jc w:val="left"/>
      </w:pPr>
      <w:r>
        <w:rPr>
          <w:rFonts w:ascii="Calibri" w:cs="Calibri" w:eastAsia="Calibri" w:hAnsi="Calibri"/>
          <w:color w:val="334155"/>
          <w:sz w:val="20"/>
          <w:szCs w:val="20"/>
        </w:rPr>
        <w:t xml:space="preserve">El Informe 00 se ubica antes de toda la serie porque responde una pregunta previa a cualquier factibilidad: </w:t>
      </w:r>
      <w:r>
        <w:rPr>
          <w:rFonts w:ascii="Calibri" w:cs="Calibri" w:eastAsia="Calibri" w:hAnsi="Calibri"/>
          <w:b/>
          <w:bCs/>
          <w:color w:val="0F172A"/>
          <w:sz w:val="20"/>
          <w:szCs w:val="20"/>
        </w:rPr>
        <w:t xml:space="preserve">¿qué exige la ley a cada cosa que el proyecto quiere construir?</w:t>
      </w:r>
      <w:r>
        <w:rPr>
          <w:rFonts w:ascii="Calibri" w:cs="Calibri" w:eastAsia="Calibri" w:hAnsi="Calibri"/>
          <w:color w:val="334155"/>
          <w:sz w:val="20"/>
          <w:szCs w:val="20"/>
        </w:rPr>
        <w:t xml:space="preserve"> Los informes de factibilidad y técnicos se apoyan en sus conclusiones y no repiten el análisis normativo.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0"/>
        <w:gridCol w:w="380"/>
        <w:gridCol w:w="7210"/>
      </w:tblGrid>
      <w:tr>
        <w:trPr>
          <w:cantSplit/>
        </w:trPr>
        <w:tc>
          <w:tcPr>
            <w:tcW w:type="dxa" w:w="2050"/>
            <w:vMerge w:val="restart"/>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MARCO LEGAL</w:t>
            </w:r>
          </w:p>
          <w:p>
            <w:pPr>
              <w:spacing w:after="20" w:line="240"/>
              <w:jc w:val="left"/>
            </w:pPr>
            <w:r>
              <w:rPr>
                <w:b/>
                <w:bCs/>
                <w:color w:val="FFFFFF"/>
                <w:sz w:val="17"/>
                <w:szCs w:val="17"/>
              </w:rPr>
              <w:t xml:space="preserve">Informe 00</w:t>
            </w:r>
          </w:p>
          <w:p>
            <w:pPr>
              <w:spacing w:after="0" w:line="230"/>
              <w:jc w:val="left"/>
            </w:pPr>
            <w:r>
              <w:rPr>
                <w:color w:val="94A3B8"/>
                <w:sz w:val="14"/>
                <w:szCs w:val="14"/>
              </w:rPr>
              <w:t xml:space="preserve">Base normativa de toda la serie</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Práctica (junio–julio 2026) · Informes 1 a 5</w:t>
            </w:r>
          </w:p>
          <w:p>
            <w:pPr>
              <w:spacing w:after="0" w:line="230"/>
              <w:jc w:val="left"/>
            </w:pPr>
            <w:r>
              <w:rPr>
                <w:color w:val="64748B"/>
                <w:sz w:val="14"/>
                <w:szCs w:val="14"/>
              </w:rPr>
              <w:t xml:space="preserve">Diagnóstico · Factibilidad del portal · Factibilidad del Validador · Técnico del PMV · Entrega del PMV</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Transformación (septiembre 2026) · Informes 6 y 7</w:t>
            </w:r>
          </w:p>
          <w:p>
            <w:pPr>
              <w:spacing w:after="0" w:line="230"/>
              <w:jc w:val="left"/>
            </w:pPr>
            <w:r>
              <w:rPr>
                <w:color w:val="64748B"/>
                <w:sz w:val="14"/>
                <w:szCs w:val="14"/>
              </w:rPr>
              <w:t xml:space="preserve">Factibilidad y técnico de la transformación al estándar institucional</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Licencias médicas (octubre–noviembre 2026) · Informes 8 a 11</w:t>
            </w:r>
          </w:p>
          <w:p>
            <w:pPr>
              <w:spacing w:after="0" w:line="230"/>
              <w:jc w:val="left"/>
            </w:pPr>
            <w:r>
              <w:rPr>
                <w:color w:val="64748B"/>
                <w:sz w:val="14"/>
                <w:szCs w:val="14"/>
              </w:rPr>
              <w:t xml:space="preserve">Factibilidad · RPA · API + webservice + LAYA · Propuesta mixta</w:t>
            </w:r>
          </w:p>
        </w:tc>
      </w:tr>
      <w:tr>
        <w:trPr>
          <w:cantSplit/>
        </w:trPr>
        <w:tc>
          <w:tcPr>
            <w:vMerge w:val="continue"/>
            <w:tcBorders>
              <w:top w:val="single" w:color="0F172A" w:sz="6"/>
              <w:left w:val="single" w:color="0F172A" w:sz="6"/>
              <w:bottom w:val="single" w:color="0F172A" w:sz="6"/>
              <w:right w:val="single" w:color="0F172A" w:sz="6"/>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Portal e IA local (diciembre 2026 – enero 2027) · Informes 12 y 13</w:t>
            </w:r>
          </w:p>
          <w:p>
            <w:pPr>
              <w:spacing w:after="0" w:line="230"/>
              <w:jc w:val="left"/>
            </w:pPr>
            <w:r>
              <w:rPr>
                <w:color w:val="64748B"/>
                <w:sz w:val="14"/>
                <w:szCs w:val="14"/>
              </w:rPr>
              <w:t xml:space="preserve">Factibilidad de la IA local orquestadora · Técnico de GDP-SLEP Studio + IA local</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Posición del Informe 00 dentro de la serie de informes del ecosistema.</w:t>
      </w:r>
    </w:p>
    <w:p>
      <w:pPr>
        <w:pStyle w:val="Heading3"/>
        <w:keepNext/>
        <w:spacing w:after="80" w:before="180"/>
      </w:pPr>
      <w:r>
        <w:rPr>
          <w:rFonts w:ascii="Calibri" w:cs="Calibri" w:eastAsia="Calibri" w:hAnsi="Calibri"/>
          <w:b/>
          <w:bCs/>
          <w:color w:val="0F766E"/>
          <w:sz w:val="22"/>
          <w:szCs w:val="22"/>
        </w:rPr>
        <w:t xml:space="preserve">Cómo leer este informe</w:t>
      </w:r>
    </w:p>
    <w:p>
      <w:pPr>
        <w:spacing w:after="140" w:before="0" w:line="276"/>
        <w:jc w:val="left"/>
      </w:pPr>
      <w:r>
        <w:rPr>
          <w:rFonts w:ascii="Calibri" w:cs="Calibri" w:eastAsia="Calibri" w:hAnsi="Calibri"/>
          <w:color w:val="334155"/>
          <w:sz w:val="20"/>
          <w:szCs w:val="20"/>
        </w:rPr>
        <w:t xml:space="preserve">Cada sección abre con un recuadro de tres columnas: </w:t>
      </w:r>
      <w:r>
        <w:rPr>
          <w:rFonts w:ascii="Calibri" w:cs="Calibri" w:eastAsia="Calibri" w:hAnsi="Calibri"/>
          <w:b/>
          <w:bCs/>
          <w:color w:val="0F172A"/>
          <w:sz w:val="20"/>
          <w:szCs w:val="20"/>
        </w:rPr>
        <w:t xml:space="preserve">por qué</w:t>
      </w:r>
      <w:r>
        <w:rPr>
          <w:rFonts w:ascii="Calibri" w:cs="Calibri" w:eastAsia="Calibri" w:hAnsi="Calibri"/>
          <w:color w:val="334155"/>
          <w:sz w:val="20"/>
          <w:szCs w:val="20"/>
        </w:rPr>
        <w:t xml:space="preserve"> se analiza esa materia, </w:t>
      </w:r>
      <w:r>
        <w:rPr>
          <w:rFonts w:ascii="Calibri" w:cs="Calibri" w:eastAsia="Calibri" w:hAnsi="Calibri"/>
          <w:b/>
          <w:bCs/>
          <w:color w:val="0F172A"/>
          <w:sz w:val="20"/>
          <w:szCs w:val="20"/>
        </w:rPr>
        <w:t xml:space="preserve">para qué</w:t>
      </w:r>
      <w:r>
        <w:rPr>
          <w:rFonts w:ascii="Calibri" w:cs="Calibri" w:eastAsia="Calibri" w:hAnsi="Calibri"/>
          <w:color w:val="334155"/>
          <w:sz w:val="20"/>
          <w:szCs w:val="20"/>
        </w:rPr>
        <w:t xml:space="preserve"> sirve la conclusión y </w:t>
      </w:r>
      <w:r>
        <w:rPr>
          <w:rFonts w:ascii="Calibri" w:cs="Calibri" w:eastAsia="Calibri" w:hAnsi="Calibri"/>
          <w:b/>
          <w:bCs/>
          <w:color w:val="0F172A"/>
          <w:sz w:val="20"/>
          <w:szCs w:val="20"/>
        </w:rPr>
        <w:t xml:space="preserve">cómo</w:t>
      </w:r>
      <w:r>
        <w:rPr>
          <w:rFonts w:ascii="Calibri" w:cs="Calibri" w:eastAsia="Calibri" w:hAnsi="Calibri"/>
          <w:color w:val="334155"/>
          <w:sz w:val="20"/>
          <w:szCs w:val="20"/>
        </w:rPr>
        <w:t xml:space="preserve"> se evaluó. Las tablas de normas indican el </w:t>
      </w:r>
      <w:r>
        <w:rPr>
          <w:rFonts w:ascii="Calibri" w:cs="Calibri" w:eastAsia="Calibri" w:hAnsi="Calibri"/>
          <w:b/>
          <w:bCs/>
          <w:color w:val="0F172A"/>
          <w:sz w:val="20"/>
          <w:szCs w:val="20"/>
        </w:rPr>
        <w:t xml:space="preserve">estado</w:t>
      </w:r>
      <w:r>
        <w:rPr>
          <w:rFonts w:ascii="Calibri" w:cs="Calibri" w:eastAsia="Calibri" w:hAnsi="Calibri"/>
          <w:color w:val="334155"/>
          <w:sz w:val="20"/>
          <w:szCs w:val="20"/>
        </w:rPr>
        <w:t xml:space="preserve"> de cada fuente: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MARCA</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SIGNIFICADO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Vigente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Norma publicada y en vigor a la fecha de corte.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8"/>
                <w:szCs w:val="18"/>
              </w:rPr>
              <w:t xml:space="preserve">Por entrar en vigor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Norma publicada cuya vigencia es posterior a la fecha de corte (por ejemplo, Ley 21.719).</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En trámite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Proyecto de ley o regulación en discusión: orienta el diseño, pero no obliga todavía.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64748B"/>
                <w:sz w:val="18"/>
                <w:szCs w:val="18"/>
              </w:rPr>
              <w:t xml:space="preserve">Interpretación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Lectura técnico-normativa del desarrollador sobre cómo aplica la norma al proyecto. Debe validarla el área jurídica.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8"/>
                <w:szCs w:val="18"/>
              </w:rPr>
              <w:t xml:space="preserve">Por confirmar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Dato que no pudo verificarse en fuente oficial a la fecha de corte. Se detalla en el Anexo D.</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Resumen ejecutivo</w:t>
            </w:r>
          </w:p>
          <w:p>
            <w:r>
              <w:rPr>
                <w:color w:val="64748B"/>
                <w:sz w:val="16"/>
                <w:szCs w:val="16"/>
              </w:rPr>
              <w:t xml:space="preserve">Las conclusiones en dos páginas.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Alcance y método</w:t>
            </w:r>
          </w:p>
          <w:p>
            <w:r>
              <w:rPr>
                <w:color w:val="64748B"/>
                <w:sz w:val="16"/>
                <w:szCs w:val="16"/>
              </w:rPr>
              <w:t xml:space="preserve">Qué se analizó, con qué fuentes y con qué límites.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Marco institucional: DEP y SLEP</w:t>
            </w:r>
          </w:p>
          <w:p>
            <w:r>
              <w:rPr>
                <w:color w:val="64748B"/>
                <w:sz w:val="16"/>
                <w:szCs w:val="16"/>
              </w:rPr>
              <w:t xml:space="preserve">Quién puede decidir qué. Ley 21.040, Ley 21.819, Ley 18.575.</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Personal, sumarios y Contraloría</w:t>
            </w:r>
          </w:p>
          <w:p>
            <w:r>
              <w:rPr>
                <w:color w:val="64748B"/>
                <w:sz w:val="16"/>
                <w:szCs w:val="16"/>
              </w:rPr>
              <w:t xml:space="preserve">Estatutos, sumario administrativo, CIC, SIAD.</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Licencias médicas</w:t>
            </w:r>
          </w:p>
          <w:p>
            <w:r>
              <w:rPr>
                <w:color w:val="64748B"/>
                <w:sz w:val="16"/>
                <w:szCs w:val="16"/>
              </w:rPr>
              <w:t xml:space="preserve">DS 3/1984, Ley 20.585, Ley 21.746, SUSESO, reserva del diagnóstico.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Protección de datos personales y de salud</w:t>
            </w:r>
          </w:p>
          <w:p>
            <w:r>
              <w:rPr>
                <w:color w:val="64748B"/>
                <w:sz w:val="16"/>
                <w:szCs w:val="16"/>
              </w:rPr>
              <w:t xml:space="preserve">Ley 19.628, Ley 21.719, Ley 20.584, Ley 20.285.</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Ciberseguridad y delitos informáticos</w:t>
            </w:r>
          </w:p>
          <w:p>
            <w:r>
              <w:rPr>
                <w:color w:val="64748B"/>
                <w:sz w:val="16"/>
                <w:szCs w:val="16"/>
              </w:rPr>
              <w:t xml:space="preserve">Ley 21.663, DS 295, DS 7/2023, Ley 21.459.</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Transformación digital del Estado</w:t>
            </w:r>
          </w:p>
          <w:p>
            <w:r>
              <w:rPr>
                <w:color w:val="64748B"/>
                <w:sz w:val="16"/>
                <w:szCs w:val="16"/>
              </w:rPr>
              <w:t xml:space="preserve">Ley 21.180, normas técnicas, Ley 19.880, Ley 19.799, Guía de software.</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09</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Identidad digital: ClaveÚnica</w:t>
            </w:r>
          </w:p>
          <w:p>
            <w:r>
              <w:rPr>
                <w:color w:val="64748B"/>
                <w:sz w:val="16"/>
                <w:szCs w:val="16"/>
              </w:rPr>
              <w:t xml:space="preserve">DS 9/2023, Res. Ex. 733/2025, procedimiento de integración.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10</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Inteligencia artificial</w:t>
            </w:r>
          </w:p>
          <w:p>
            <w:r>
              <w:rPr>
                <w:color w:val="64748B"/>
                <w:sz w:val="16"/>
                <w:szCs w:val="16"/>
              </w:rPr>
              <w:t xml:space="preserve">Proyecto de ley, Política Nacional, Oficio 711, CPLT.</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Nube y localización de datos</w:t>
            </w:r>
          </w:p>
          <w:p>
            <w:r>
              <w:rPr>
                <w:color w:val="64748B"/>
                <w:sz w:val="16"/>
                <w:szCs w:val="16"/>
              </w:rPr>
              <w:t xml:space="preserve">Regiones en Chile, transferencia internacional, contratos.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Compras públicas y contratación</w:t>
            </w:r>
          </w:p>
          <w:p>
            <w:r>
              <w:rPr>
                <w:color w:val="64748B"/>
                <w:sz w:val="16"/>
                <w:szCs w:val="16"/>
              </w:rPr>
              <w:t xml:space="preserve">Ley 19.886, Ley 21.634, convenios marco, honorarios.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Propiedad intelectual y licencias de software</w:t>
            </w:r>
          </w:p>
          <w:p>
            <w:r>
              <w:rPr>
                <w:color w:val="64748B"/>
                <w:sz w:val="16"/>
                <w:szCs w:val="16"/>
              </w:rPr>
              <w:t xml:space="preserve">Ley 17.336, GPLv3, Apache-2.0, n8n, modelos de IA.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La vía documentada por FONASA</w:t>
            </w:r>
          </w:p>
          <w:p>
            <w:r>
              <w:rPr>
                <w:color w:val="64748B"/>
                <w:sz w:val="16"/>
                <w:szCs w:val="16"/>
              </w:rPr>
              <w:t xml:space="preserve">PIEE, operadores LME, Red de Interoperabilidad.</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Aplicación del marco a cada solución</w:t>
            </w:r>
          </w:p>
          <w:p>
            <w:r>
              <w:rPr>
                <w:color w:val="64748B"/>
                <w:sz w:val="16"/>
                <w:szCs w:val="16"/>
              </w:rPr>
              <w:t xml:space="preserve">Semáforo legal por aplicación.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16</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Calendario normativo</w:t>
            </w:r>
          </w:p>
          <w:p>
            <w:r>
              <w:rPr>
                <w:color w:val="64748B"/>
                <w:sz w:val="16"/>
                <w:szCs w:val="16"/>
              </w:rPr>
              <w:t xml:space="preserve">Fechas legales que cruzan el cronograma del proyecto.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17</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Riesgos legales y mitigaciones</w:t>
            </w:r>
          </w:p>
          <w:p>
            <w:r>
              <w:rPr>
                <w:color w:val="64748B"/>
                <w:sz w:val="16"/>
                <w:szCs w:val="16"/>
              </w:rPr>
              <w:t xml:space="preserve">Qué puede salir mal y cómo se previene.</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18</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Conclusiones y recomendaciones</w:t>
            </w:r>
          </w:p>
          <w:p>
            <w:r>
              <w:rPr>
                <w:color w:val="64748B"/>
                <w:sz w:val="16"/>
                <w:szCs w:val="16"/>
              </w:rPr>
              <w:t xml:space="preserve">Acciones concretas y responsables.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A–D</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0"/>
                <w:szCs w:val="20"/>
              </w:rPr>
              <w:t xml:space="preserve">Anexos</w:t>
            </w:r>
          </w:p>
          <w:p>
            <w:r>
              <w:rPr>
                <w:color w:val="64748B"/>
                <w:sz w:val="16"/>
                <w:szCs w:val="16"/>
              </w:rPr>
              <w:t xml:space="preserve">Glosario · Índice de normas · Fuentes · Puntos por confirmar.</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ejecutivo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proyecto trata datos de personas, automatiza trámites ante otros servicios públicos y usará IA. Cada decisión técnica tiene una consecuencia legal.</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Que la jefatura sepa qué aplicaciones pueden avanzar, cuáles requieren autorizaciones previas y cuál camino debe descartarse.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Se revisaron más de cuarenta normas, proyectos, dictámenes y circulares, y se aplicaron a cada solución con un semáforo legal.</w:t>
            </w:r>
          </w:p>
        </w:tc>
      </w:tr>
    </w:tbl>
    <w:p>
      <w:pPr>
        <w:spacing w:after="140" w:before="0" w:line="120"/>
      </w:pPr>
    </w:p>
    <w:p>
      <w:pPr>
        <w:spacing w:after="140" w:before="0" w:line="276"/>
        <w:jc w:val="left"/>
      </w:pPr>
      <w:r>
        <w:rPr>
          <w:rFonts w:ascii="Calibri" w:cs="Calibri" w:eastAsia="Calibri" w:hAnsi="Calibri"/>
          <w:color w:val="334155"/>
          <w:sz w:val="20"/>
          <w:szCs w:val="20"/>
        </w:rPr>
        <w:t xml:space="preserve">GDP-SLEP Studio es un </w:t>
      </w:r>
      <w:r>
        <w:rPr>
          <w:rFonts w:ascii="Calibri" w:cs="Calibri" w:eastAsia="Calibri" w:hAnsi="Calibri"/>
          <w:b/>
          <w:bCs/>
          <w:color w:val="0F172A"/>
          <w:sz w:val="20"/>
          <w:szCs w:val="20"/>
        </w:rPr>
        <w:t xml:space="preserve">portal institucional de aplicaciones</w:t>
      </w:r>
      <w:r>
        <w:rPr>
          <w:rFonts w:ascii="Calibri" w:cs="Calibri" w:eastAsia="Calibri" w:hAnsi="Calibri"/>
          <w:color w:val="334155"/>
          <w:sz w:val="20"/>
          <w:szCs w:val="20"/>
        </w:rPr>
        <w:t xml:space="preserve"> del Subdepartamento GDP-SLEP de la Dirección de Educación Pública. Su primera aplicación, el </w:t>
      </w:r>
      <w:r>
        <w:rPr>
          <w:rFonts w:ascii="Calibri" w:cs="Calibri" w:eastAsia="Calibri" w:hAnsi="Calibri"/>
          <w:b/>
          <w:bCs/>
          <w:color w:val="0F172A"/>
          <w:sz w:val="20"/>
          <w:szCs w:val="20"/>
        </w:rPr>
        <w:t xml:space="preserve">Validador de Formularios</w:t>
      </w:r>
      <w:r>
        <w:rPr>
          <w:rFonts w:ascii="Calibri" w:cs="Calibri" w:eastAsia="Calibri" w:hAnsi="Calibri"/>
          <w:color w:val="334155"/>
          <w:sz w:val="20"/>
          <w:szCs w:val="20"/>
        </w:rPr>
        <w:t xml:space="preserve">, consolida las cifras agregadas del avance de sumarios por mal uso de licencias médicas que los SLEP reportan a Contraloría. La siguiente es la </w:t>
      </w:r>
      <w:r>
        <w:rPr>
          <w:rFonts w:ascii="Calibri" w:cs="Calibri" w:eastAsia="Calibri" w:hAnsi="Calibri"/>
          <w:b/>
          <w:bCs/>
          <w:color w:val="0F172A"/>
          <w:sz w:val="20"/>
          <w:szCs w:val="20"/>
        </w:rPr>
        <w:t xml:space="preserve">automatización de la tramitación de licencias médicas</w:t>
      </w:r>
      <w:r>
        <w:rPr>
          <w:rFonts w:ascii="Calibri" w:cs="Calibri" w:eastAsia="Calibri" w:hAnsi="Calibri"/>
          <w:color w:val="334155"/>
          <w:sz w:val="20"/>
          <w:szCs w:val="20"/>
        </w:rPr>
        <w:t xml:space="preserve">, evaluada por tres caminos: robot de software (RPA), API + webservice + IA LAYA, y una combinación de ambos. Al final, una </w:t>
      </w:r>
      <w:r>
        <w:rPr>
          <w:rFonts w:ascii="Calibri" w:cs="Calibri" w:eastAsia="Calibri" w:hAnsi="Calibri"/>
          <w:b/>
          <w:bCs/>
          <w:color w:val="0F172A"/>
          <w:sz w:val="20"/>
          <w:szCs w:val="20"/>
        </w:rPr>
        <w:t xml:space="preserve">IA local</w:t>
      </w:r>
      <w:r>
        <w:rPr>
          <w:rFonts w:ascii="Calibri" w:cs="Calibri" w:eastAsia="Calibri" w:hAnsi="Calibri"/>
          <w:color w:val="334155"/>
          <w:sz w:val="20"/>
          <w:szCs w:val="20"/>
        </w:rPr>
        <w:t xml:space="preserve"> orquestará el ecosistema.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40+</w:t>
            </w:r>
          </w:p>
          <w:p>
            <w:pPr>
              <w:spacing w:after="0" w:line="240"/>
            </w:pPr>
            <w:r>
              <w:rPr>
                <w:color w:val="64748B"/>
                <w:sz w:val="16"/>
                <w:szCs w:val="16"/>
              </w:rPr>
              <w:t xml:space="preserve">normas, proyectos y actos analizados</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6</w:t>
            </w:r>
          </w:p>
          <w:p>
            <w:pPr>
              <w:spacing w:after="0" w:line="240"/>
            </w:pPr>
            <w:r>
              <w:rPr>
                <w:color w:val="64748B"/>
                <w:sz w:val="16"/>
                <w:szCs w:val="16"/>
              </w:rPr>
              <w:t xml:space="preserve">soluciones evaluadas con semáforo legal</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1-dic</w:t>
            </w:r>
          </w:p>
          <w:p>
            <w:pPr>
              <w:spacing w:after="0" w:line="240"/>
            </w:pPr>
            <w:r>
              <w:rPr>
                <w:color w:val="64748B"/>
                <w:sz w:val="16"/>
                <w:szCs w:val="16"/>
              </w:rPr>
              <w:t xml:space="preserve">2026: entra en vigor la Ley 21.719</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 h</w:t>
            </w:r>
          </w:p>
          <w:p>
            <w:pPr>
              <w:spacing w:after="0" w:line="240"/>
            </w:pPr>
            <w:r>
              <w:rPr>
                <w:color w:val="64748B"/>
                <w:sz w:val="16"/>
                <w:szCs w:val="16"/>
              </w:rPr>
              <w:t xml:space="preserve">plazo de alerta temprana a la ANCI</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Semáforo legal por solución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700"/>
        <w:gridCol w:w="5240"/>
      </w:tblGrid>
      <w:tr>
        <w:trPr>
          <w:tblHeader/>
        </w:trPr>
        <w:tc>
          <w:tcPr>
            <w:tcW w:type="dxa" w:w="2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SOLUCIÓN</w:t>
            </w:r>
          </w:p>
        </w:tc>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5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 PRINCIPAL</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Portal GDP-SLEP Studio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Viable</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DEP tiene base legal para definir sistemas comunes de los SLEP (Ley 21.040, art. 61). Requiere resolución que lo institucionalice e integración formal de ClaveÚnica.</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Validador de Formularios</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Viable</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Trata solo cifras agregadas: no son datos personales si no permiten identificar a nadie. Riesgo legal bajo.</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RPA sobre el PIEE con ClaveÚnica de un funcionario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 No viable</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Res. Ex. 733/2025 prohíbe almacenar credenciales y automatizar el acceso con ClaveÚnica; además, riesgo bajo la Ley 21.459 si se usan endpoints no autorizados.</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RPA asistido (el funcionario inicia sesión y confirma)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autorización</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Solo defendible con autorización escrita de FONASA y sin almacenar credenciales.</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API + webservice + LAYA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condiciones</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Viable si los datos llegan por un canal autorizado (operador LME o Red de Interoperabilidad), con IA bajo supervisión humana, modelo local y evaluación de impacto.</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Propuesta mixta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condiciones</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Viable si combina canales autorizados con RPA solo asistido. Hereda las condiciones de ambas.</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IA local orquestadora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condiciones</w:t>
            </w:r>
          </w:p>
        </w:tc>
        <w:tc>
          <w:tcPr>
            <w:tcW w:type="dxa" w:w="5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Viable y recomendable por localización de datos; exige supervisión humana, transparencia algorítmica y seguridad por diseño.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Siete hallazgos que cambian decisiones</w:t>
      </w:r>
    </w:p>
    <w:p>
      <w:pPr>
        <w:pStyle w:val="ListParagraph"/>
        <w:numPr>
          <w:ilvl w:val="0"/>
          <w:numId w:val="2"/>
        </w:numPr>
        <w:spacing w:after="70" w:line="264"/>
      </w:pPr>
      <w:r>
        <w:rPr>
          <w:b/>
          <w:bCs/>
          <w:color w:val="0F172A"/>
          <w:sz w:val="20"/>
          <w:szCs w:val="20"/>
        </w:rPr>
        <w:t xml:space="preserve">ClaveÚnica no puede automatizarse.</w:t>
      </w:r>
      <w:r>
        <w:rPr>
          <w:color w:val="334155"/>
          <w:sz w:val="20"/>
          <w:szCs w:val="20"/>
        </w:rPr>
        <w:t xml:space="preserve"> La Resolución Exenta N° 733 de Hacienda (Diario Oficial, 6-nov-2025) prohíbe solicitar o almacenar credenciales y crear o recomendar mecanismos de automatización del acceso con ClaveÚnica. El PIEE de FONASA se usa con ClaveÚnica personal.</w:t>
      </w:r>
    </w:p>
    <w:p>
      <w:pPr>
        <w:pStyle w:val="ListParagraph"/>
        <w:numPr>
          <w:ilvl w:val="0"/>
          <w:numId w:val="2"/>
        </w:numPr>
        <w:spacing w:after="70" w:line="264"/>
      </w:pPr>
      <w:r>
        <w:rPr>
          <w:b/>
          <w:bCs/>
          <w:color w:val="0F172A"/>
          <w:sz w:val="20"/>
          <w:szCs w:val="20"/>
        </w:rPr>
        <w:t xml:space="preserve">El PIEE es el único portal desde el 1 de octubre de 2026.</w:t>
      </w:r>
      <w:r>
        <w:rPr>
          <w:color w:val="334155"/>
          <w:sz w:val="20"/>
          <w:szCs w:val="20"/>
        </w:rPr>
        <w:t xml:space="preserve"> El portal anterior cerró el 30 de septiembre; cualquier mapeo técnico previo debe rehacerse, y el portal nuevo no publica API para empleadores.</w:t>
      </w:r>
    </w:p>
    <w:p>
      <w:pPr>
        <w:pStyle w:val="ListParagraph"/>
        <w:numPr>
          <w:ilvl w:val="0"/>
          <w:numId w:val="2"/>
        </w:numPr>
        <w:spacing w:after="70" w:line="264"/>
      </w:pPr>
      <w:r>
        <w:rPr>
          <w:b/>
          <w:bCs/>
          <w:color w:val="0F172A"/>
          <w:sz w:val="20"/>
          <w:szCs w:val="20"/>
        </w:rPr>
        <w:t xml:space="preserve">Existe una vía documentada y legal:</w:t>
      </w:r>
      <w:r>
        <w:rPr>
          <w:color w:val="334155"/>
          <w:sz w:val="20"/>
          <w:szCs w:val="20"/>
        </w:rPr>
        <w:t xml:space="preserve"> los operadores de licencia médica electrónica (I-MED y Medipass) ofrecen servicios web a los empleadores mediante convenio, y la Red de Interoperabilidad del Estado (DS 12/2023) permite solicitar datos a FONASA con respuesta en 15 días hábiles.</w:t>
      </w:r>
    </w:p>
    <w:p>
      <w:pPr>
        <w:pStyle w:val="ListParagraph"/>
        <w:numPr>
          <w:ilvl w:val="0"/>
          <w:numId w:val="2"/>
        </w:numPr>
        <w:spacing w:after="70" w:line="264"/>
      </w:pPr>
      <w:r>
        <w:rPr>
          <w:b/>
          <w:bCs/>
          <w:color w:val="0F172A"/>
          <w:sz w:val="20"/>
          <w:szCs w:val="20"/>
        </w:rPr>
        <w:t xml:space="preserve">La Ley 21.719 rige desde el 1 de diciembre de 2026,</w:t>
      </w:r>
      <w:r>
        <w:rPr>
          <w:color w:val="334155"/>
          <w:sz w:val="20"/>
          <w:szCs w:val="20"/>
        </w:rPr>
        <w:t xml:space="preserve"> justo al terminar la automatización. Existe un proyecto para postergarla al 1 de diciembre de 2027 (Boletín 18.623-07), aún en primer trámite. Se debe planificar con la fecha vigente.</w:t>
      </w:r>
    </w:p>
    <w:p>
      <w:pPr>
        <w:pStyle w:val="ListParagraph"/>
        <w:numPr>
          <w:ilvl w:val="0"/>
          <w:numId w:val="2"/>
        </w:numPr>
        <w:spacing w:after="70" w:line="264"/>
      </w:pPr>
      <w:r>
        <w:rPr>
          <w:b/>
          <w:bCs/>
          <w:color w:val="0F172A"/>
          <w:sz w:val="20"/>
          <w:szCs w:val="20"/>
        </w:rPr>
        <w:t xml:space="preserve">Para órganos públicos la sanción recae en el jefe superior:</w:t>
      </w:r>
      <w:r>
        <w:rPr>
          <w:color w:val="334155"/>
          <w:sz w:val="20"/>
          <w:szCs w:val="20"/>
        </w:rPr>
        <w:t xml:space="preserve"> multa de 20% a 50% de su remuneración mensual y, con datos sensibles, hasta 30 días de suspensión. No aplica el régimen de hasta 20.000 UTM de los privados.</w:t>
      </w:r>
    </w:p>
    <w:p>
      <w:pPr>
        <w:pStyle w:val="ListParagraph"/>
        <w:numPr>
          <w:ilvl w:val="0"/>
          <w:numId w:val="2"/>
        </w:numPr>
        <w:spacing w:after="70" w:line="264"/>
      </w:pPr>
      <w:r>
        <w:rPr>
          <w:b/>
          <w:bCs/>
          <w:color w:val="0F172A"/>
          <w:sz w:val="20"/>
          <w:szCs w:val="20"/>
        </w:rPr>
        <w:t xml:space="preserve">La región de AWS en Chile no está operativa</w:t>
      </w:r>
      <w:r>
        <w:rPr>
          <w:color w:val="334155"/>
          <w:sz w:val="20"/>
          <w:szCs w:val="20"/>
        </w:rPr>
        <w:t xml:space="preserve"> a la fecha de corte. Datos de salud alojados en otra región implican transferencia internacional; Azure (Chile Central) y Google Cloud (Santiago) sí operan en el país.</w:t>
      </w:r>
    </w:p>
    <w:p>
      <w:pPr>
        <w:pStyle w:val="ListParagraph"/>
        <w:numPr>
          <w:ilvl w:val="0"/>
          <w:numId w:val="2"/>
        </w:numPr>
        <w:spacing w:after="70" w:line="264"/>
      </w:pPr>
      <w:r>
        <w:rPr>
          <w:b/>
          <w:bCs/>
          <w:color w:val="0F172A"/>
          <w:sz w:val="20"/>
          <w:szCs w:val="20"/>
        </w:rPr>
        <w:t xml:space="preserve">LAYA es licencia Apache-2.0, pero no trae conectores para FONASA,</w:t>
      </w:r>
      <w:r>
        <w:rPr>
          <w:color w:val="334155"/>
          <w:sz w:val="20"/>
          <w:szCs w:val="20"/>
        </w:rPr>
        <w:t xml:space="preserve"> y su pasarela n8n usa una licencia "fair-code" que limita el uso a fines internos: debe confirmarse si servir a 36 SLEP califica como uso interno.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color w:val="334155"/>
                <w:sz w:val="19"/>
                <w:szCs w:val="19"/>
              </w:rPr>
              <w:t xml:space="preserve">El marco legal </w:t>
            </w:r>
            <w:r>
              <w:rPr>
                <w:b/>
                <w:bCs/>
                <w:color w:val="0F172A"/>
                <w:sz w:val="19"/>
                <w:szCs w:val="19"/>
              </w:rPr>
              <w:t xml:space="preserve">no impide</w:t>
            </w:r>
            <w:r>
              <w:rPr>
                <w:color w:val="334155"/>
                <w:sz w:val="19"/>
                <w:szCs w:val="19"/>
              </w:rPr>
              <w:t xml:space="preserve"> el proyecto: lo </w:t>
            </w:r>
            <w:r>
              <w:rPr>
                <w:b/>
                <w:bCs/>
                <w:color w:val="0F172A"/>
                <w:sz w:val="19"/>
                <w:szCs w:val="19"/>
              </w:rPr>
              <w:t xml:space="preserve">ordena</w:t>
            </w:r>
            <w:r>
              <w:rPr>
                <w:color w:val="334155"/>
                <w:sz w:val="19"/>
                <w:szCs w:val="19"/>
              </w:rPr>
              <w:t xml:space="preserve">. El portal y el Validador pueden avanzar. La automatización de licencias médicas debe construirse sobre canales autorizados por FONASA o sus operadores, con la IA como apoyo a la decisión humana. El camino que debe descartarse es el robot que opera el portal con la ClaveÚnica de una persona.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alcance</w:t>
      </w:r>
    </w:p>
    <w:p>
      <w:pPr>
        <w:pStyle w:val="Heading1"/>
        <w:keepNext/>
        <w:pBdr>
          <w:bottom w:val="single" w:color="E2E8F0" w:sz="6" w:space="6"/>
        </w:pBdr>
        <w:spacing w:after="160"/>
      </w:pPr>
      <w:r>
        <w:rPr>
          <w:rFonts w:ascii="Calibri" w:cs="Calibri" w:eastAsia="Calibri" w:hAnsi="Calibri"/>
          <w:b/>
          <w:bCs/>
          <w:color w:val="0F172A"/>
          <w:sz w:val="34"/>
          <w:szCs w:val="34"/>
        </w:rPr>
        <w:t xml:space="preserve">Alcance y método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análisis legal sirve solo si se sabe qué cubre, con qué fuentes y hasta qué fecha.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Que el lector distinga entre lo que la ley dice, lo que está en trámite y lo que es interpretación del desarrollador.</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fuentes oficiales (Diario Oficial, BCN, Contraloría, SUSESO, FONASA, ANCI, Gobierno Digital, ChileCompra, Senado y Cámara) con corte al 2 de octubre de 2026.</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2.1  </w:t>
      </w:r>
      <w:r>
        <w:rPr>
          <w:rFonts w:ascii="Calibri" w:cs="Calibri" w:eastAsia="Calibri" w:hAnsi="Calibri"/>
          <w:b/>
          <w:bCs/>
          <w:color w:val="0F172A"/>
          <w:sz w:val="25"/>
          <w:szCs w:val="25"/>
        </w:rPr>
        <w:t xml:space="preserve">Qué se analiza</w:t>
      </w:r>
    </w:p>
    <w:p>
      <w:pPr>
        <w:spacing w:after="140" w:before="0" w:line="276"/>
        <w:jc w:val="left"/>
      </w:pPr>
      <w:r>
        <w:rPr>
          <w:rFonts w:ascii="Calibri" w:cs="Calibri" w:eastAsia="Calibri" w:hAnsi="Calibri"/>
          <w:color w:val="334155"/>
          <w:sz w:val="20"/>
          <w:szCs w:val="20"/>
        </w:rPr>
        <w:t xml:space="preserve">El informe cubre doce bloques normativos y los aplica a seis soluciones del ecosistema. La Fig. 2 muestra cómo se agrupan.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1</w:t>
            </w:r>
          </w:p>
          <w:p>
            <w:pPr>
              <w:spacing w:after="20" w:line="240"/>
              <w:jc w:val="left"/>
            </w:pPr>
            <w:r>
              <w:rPr>
                <w:b/>
                <w:bCs/>
                <w:color w:val="0F172A"/>
                <w:sz w:val="17"/>
                <w:szCs w:val="17"/>
              </w:rPr>
              <w:t xml:space="preserve">Institucional</w:t>
            </w:r>
          </w:p>
          <w:p>
            <w:pPr>
              <w:spacing w:after="0" w:line="230"/>
              <w:jc w:val="left"/>
            </w:pPr>
            <w:r>
              <w:rPr>
                <w:color w:val="64748B"/>
                <w:sz w:val="14"/>
                <w:szCs w:val="14"/>
              </w:rPr>
              <w:t xml:space="preserve">Ley 21.040 · Ley 21.819 · Ley 18.575</w:t>
            </w:r>
          </w:p>
        </w:tc>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2</w:t>
            </w:r>
          </w:p>
          <w:p>
            <w:pPr>
              <w:spacing w:after="20" w:line="240"/>
              <w:jc w:val="left"/>
            </w:pPr>
            <w:r>
              <w:rPr>
                <w:b/>
                <w:bCs/>
                <w:color w:val="0F172A"/>
                <w:sz w:val="17"/>
                <w:szCs w:val="17"/>
              </w:rPr>
              <w:t xml:space="preserve">Personal y sumarios</w:t>
            </w:r>
          </w:p>
          <w:p>
            <w:pPr>
              <w:spacing w:after="0" w:line="230"/>
              <w:jc w:val="left"/>
            </w:pPr>
            <w:r>
              <w:rPr>
                <w:color w:val="64748B"/>
                <w:sz w:val="14"/>
                <w:szCs w:val="14"/>
              </w:rPr>
              <w:t xml:space="preserve">Estatuto Administrativo · Estatuto Docente · Ley 21.109 · Ley 10.336</w:t>
            </w:r>
          </w:p>
        </w:tc>
        <w:tc>
          <w:tcPr>
            <w:tcW w:type="dxa" w:w="3214"/>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3</w:t>
            </w:r>
          </w:p>
          <w:p>
            <w:pPr>
              <w:spacing w:after="20" w:line="240"/>
              <w:jc w:val="left"/>
            </w:pPr>
            <w:r>
              <w:rPr>
                <w:b/>
                <w:bCs/>
                <w:color w:val="0F172A"/>
                <w:sz w:val="17"/>
                <w:szCs w:val="17"/>
              </w:rPr>
              <w:t xml:space="preserve">Licencias médicas</w:t>
            </w:r>
          </w:p>
          <w:p>
            <w:pPr>
              <w:spacing w:after="0" w:line="230"/>
              <w:jc w:val="left"/>
            </w:pPr>
            <w:r>
              <w:rPr>
                <w:color w:val="64748B"/>
                <w:sz w:val="14"/>
                <w:szCs w:val="14"/>
              </w:rPr>
              <w:t xml:space="preserve">DS 3/1984 · Ley 20.585 · Ley 21.746 · Circulares SUSESO</w:t>
            </w:r>
          </w:p>
        </w:tc>
      </w:tr>
      <w:tr>
        <w:trPr>
          <w:cantSplit/>
        </w:trPr>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4</w:t>
            </w:r>
          </w:p>
          <w:p>
            <w:pPr>
              <w:spacing w:after="20" w:line="240"/>
              <w:jc w:val="left"/>
            </w:pPr>
            <w:r>
              <w:rPr>
                <w:b/>
                <w:bCs/>
                <w:color w:val="0F172A"/>
                <w:sz w:val="17"/>
                <w:szCs w:val="17"/>
              </w:rPr>
              <w:t xml:space="preserve">Datos personales y salud</w:t>
            </w:r>
          </w:p>
          <w:p>
            <w:pPr>
              <w:spacing w:after="0" w:line="230"/>
              <w:jc w:val="left"/>
            </w:pPr>
            <w:r>
              <w:rPr>
                <w:color w:val="64748B"/>
                <w:sz w:val="14"/>
                <w:szCs w:val="14"/>
              </w:rPr>
              <w:t xml:space="preserve">Ley 19.628 · Ley 21.719 · Ley 20.584 · Ley 20.285</w:t>
            </w:r>
          </w:p>
        </w:tc>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5</w:t>
            </w:r>
          </w:p>
          <w:p>
            <w:pPr>
              <w:spacing w:after="20" w:line="240"/>
              <w:jc w:val="left"/>
            </w:pPr>
            <w:r>
              <w:rPr>
                <w:b/>
                <w:bCs/>
                <w:color w:val="0F172A"/>
                <w:sz w:val="17"/>
                <w:szCs w:val="17"/>
              </w:rPr>
              <w:t xml:space="preserve">Ciberseguridad</w:t>
            </w:r>
          </w:p>
          <w:p>
            <w:pPr>
              <w:spacing w:after="0" w:line="230"/>
              <w:jc w:val="left"/>
            </w:pPr>
            <w:r>
              <w:rPr>
                <w:color w:val="64748B"/>
                <w:sz w:val="14"/>
                <w:szCs w:val="14"/>
              </w:rPr>
              <w:t xml:space="preserve">Ley 21.663 · DS 295 · DS 7/2023 · Ley 21.459</w:t>
            </w:r>
          </w:p>
        </w:tc>
        <w:tc>
          <w:tcPr>
            <w:tcW w:type="dxa" w:w="3214"/>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6</w:t>
            </w:r>
          </w:p>
          <w:p>
            <w:pPr>
              <w:spacing w:after="20" w:line="240"/>
              <w:jc w:val="left"/>
            </w:pPr>
            <w:r>
              <w:rPr>
                <w:b/>
                <w:bCs/>
                <w:color w:val="0F172A"/>
                <w:sz w:val="17"/>
                <w:szCs w:val="17"/>
              </w:rPr>
              <w:t xml:space="preserve">Estado digital</w:t>
            </w:r>
          </w:p>
          <w:p>
            <w:pPr>
              <w:spacing w:after="0" w:line="230"/>
              <w:jc w:val="left"/>
            </w:pPr>
            <w:r>
              <w:rPr>
                <w:color w:val="64748B"/>
                <w:sz w:val="14"/>
                <w:szCs w:val="14"/>
              </w:rPr>
              <w:t xml:space="preserve">Ley 21.180 · DFL 1 · DS 4 · DS 8–12 · Ley 19.880 · Ley 19.799</w:t>
            </w:r>
          </w:p>
        </w:tc>
      </w:tr>
      <w:tr>
        <w:trPr>
          <w:cantSplit/>
        </w:trPr>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7</w:t>
            </w:r>
          </w:p>
          <w:p>
            <w:pPr>
              <w:spacing w:after="20" w:line="240"/>
              <w:jc w:val="left"/>
            </w:pPr>
            <w:r>
              <w:rPr>
                <w:b/>
                <w:bCs/>
                <w:color w:val="0F172A"/>
                <w:sz w:val="17"/>
                <w:szCs w:val="17"/>
              </w:rPr>
              <w:t xml:space="preserve">Identidad digital</w:t>
            </w:r>
          </w:p>
          <w:p>
            <w:pPr>
              <w:spacing w:after="0" w:line="230"/>
              <w:jc w:val="left"/>
            </w:pPr>
            <w:r>
              <w:rPr>
                <w:color w:val="64748B"/>
                <w:sz w:val="14"/>
                <w:szCs w:val="14"/>
              </w:rPr>
              <w:t xml:space="preserve">DS 9/2023 · Res. Ex. 733/2025</w:t>
            </w:r>
          </w:p>
        </w:tc>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8</w:t>
            </w:r>
          </w:p>
          <w:p>
            <w:pPr>
              <w:spacing w:after="20" w:line="240"/>
              <w:jc w:val="left"/>
            </w:pPr>
            <w:r>
              <w:rPr>
                <w:b/>
                <w:bCs/>
                <w:color w:val="0F172A"/>
                <w:sz w:val="17"/>
                <w:szCs w:val="17"/>
              </w:rPr>
              <w:t xml:space="preserve">Inteligencia artificial</w:t>
            </w:r>
          </w:p>
          <w:p>
            <w:pPr>
              <w:spacing w:after="0" w:line="230"/>
              <w:jc w:val="left"/>
            </w:pPr>
            <w:r>
              <w:rPr>
                <w:color w:val="64748B"/>
                <w:sz w:val="14"/>
                <w:szCs w:val="14"/>
              </w:rPr>
              <w:t xml:space="preserve">Boletín 16821-19 · Política Nacional · Oficio 711 · CPLT 372</w:t>
            </w:r>
          </w:p>
        </w:tc>
        <w:tc>
          <w:tcPr>
            <w:tcW w:type="dxa" w:w="3214"/>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9</w:t>
            </w:r>
          </w:p>
          <w:p>
            <w:pPr>
              <w:spacing w:after="20" w:line="240"/>
              <w:jc w:val="left"/>
            </w:pPr>
            <w:r>
              <w:rPr>
                <w:b/>
                <w:bCs/>
                <w:color w:val="0F172A"/>
                <w:sz w:val="17"/>
                <w:szCs w:val="17"/>
              </w:rPr>
              <w:t xml:space="preserve">Nube</w:t>
            </w:r>
          </w:p>
          <w:p>
            <w:pPr>
              <w:spacing w:after="0" w:line="230"/>
              <w:jc w:val="left"/>
            </w:pPr>
            <w:r>
              <w:rPr>
                <w:color w:val="64748B"/>
                <w:sz w:val="14"/>
                <w:szCs w:val="14"/>
              </w:rPr>
              <w:t xml:space="preserve">Recomendaciones Gobierno Digital · Directiva 32 · regiones</w:t>
            </w:r>
          </w:p>
        </w:tc>
      </w:tr>
      <w:tr>
        <w:trPr>
          <w:cantSplit/>
        </w:trPr>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10</w:t>
            </w:r>
          </w:p>
          <w:p>
            <w:pPr>
              <w:spacing w:after="20" w:line="240"/>
              <w:jc w:val="left"/>
            </w:pPr>
            <w:r>
              <w:rPr>
                <w:b/>
                <w:bCs/>
                <w:color w:val="0F172A"/>
                <w:sz w:val="17"/>
                <w:szCs w:val="17"/>
              </w:rPr>
              <w:t xml:space="preserve">Compras y contratación</w:t>
            </w:r>
          </w:p>
          <w:p>
            <w:pPr>
              <w:spacing w:after="0" w:line="230"/>
              <w:jc w:val="left"/>
            </w:pPr>
            <w:r>
              <w:rPr>
                <w:color w:val="64748B"/>
                <w:sz w:val="14"/>
                <w:szCs w:val="14"/>
              </w:rPr>
              <w:t xml:space="preserve">Ley 19.886 · Ley 21.634 · DS 661 · EvalTIC · EA art. 11</w:t>
            </w:r>
          </w:p>
        </w:tc>
        <w:tc>
          <w:tcPr>
            <w:tcW w:type="dxa" w:w="3213"/>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11</w:t>
            </w:r>
          </w:p>
          <w:p>
            <w:pPr>
              <w:spacing w:after="20" w:line="240"/>
              <w:jc w:val="left"/>
            </w:pPr>
            <w:r>
              <w:rPr>
                <w:b/>
                <w:bCs/>
                <w:color w:val="0F172A"/>
                <w:sz w:val="17"/>
                <w:szCs w:val="17"/>
              </w:rPr>
              <w:t xml:space="preserve">Propiedad intelectual</w:t>
            </w:r>
          </w:p>
          <w:p>
            <w:pPr>
              <w:spacing w:after="0" w:line="230"/>
              <w:jc w:val="left"/>
            </w:pPr>
            <w:r>
              <w:rPr>
                <w:color w:val="64748B"/>
                <w:sz w:val="14"/>
                <w:szCs w:val="14"/>
              </w:rPr>
              <w:t xml:space="preserve">Ley 17.336 · licencias de software y de modelos</w:t>
            </w:r>
          </w:p>
        </w:tc>
        <w:tc>
          <w:tcPr>
            <w:tcW w:type="dxa" w:w="3214"/>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BLOQUE 12</w:t>
            </w:r>
          </w:p>
          <w:p>
            <w:pPr>
              <w:spacing w:after="20" w:line="240"/>
              <w:jc w:val="left"/>
            </w:pPr>
            <w:r>
              <w:rPr>
                <w:b/>
                <w:bCs/>
                <w:color w:val="0F172A"/>
                <w:sz w:val="17"/>
                <w:szCs w:val="17"/>
              </w:rPr>
              <w:t xml:space="preserve">Vía FONASA</w:t>
            </w:r>
          </w:p>
          <w:p>
            <w:pPr>
              <w:spacing w:after="0" w:line="230"/>
              <w:jc w:val="left"/>
            </w:pPr>
            <w:r>
              <w:rPr>
                <w:color w:val="64748B"/>
                <w:sz w:val="14"/>
                <w:szCs w:val="14"/>
              </w:rPr>
              <w:t xml:space="preserve">PIEE · operadores LME · Red de Interoperabilidad</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Los doce bloques normativos analizados.</w:t>
      </w:r>
    </w:p>
    <w:p>
      <w:pPr>
        <w:pStyle w:val="Heading2"/>
        <w:keepNext/>
        <w:spacing w:after="120" w:before="260"/>
      </w:pPr>
      <w:r>
        <w:rPr>
          <w:rFonts w:ascii="Consolas" w:cs="Consolas" w:eastAsia="Consolas" w:hAnsi="Consolas"/>
          <w:b/>
          <w:bCs/>
          <w:color w:val="0D9488"/>
          <w:sz w:val="22"/>
          <w:szCs w:val="22"/>
        </w:rPr>
        <w:t xml:space="preserve">2.2  </w:t>
      </w:r>
      <w:r>
        <w:rPr>
          <w:rFonts w:ascii="Calibri" w:cs="Calibri" w:eastAsia="Calibri" w:hAnsi="Calibri"/>
          <w:b/>
          <w:bCs/>
          <w:color w:val="0F172A"/>
          <w:sz w:val="25"/>
          <w:szCs w:val="25"/>
        </w:rPr>
        <w:t xml:space="preserve">Soluciones a las que se aplica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900"/>
        <w:gridCol w:w="31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SOLUCIÓN</w:t>
            </w:r>
          </w:p>
        </w:tc>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TRATA</w:t>
            </w:r>
          </w:p>
        </w:tc>
        <w:tc>
          <w:tcPr>
            <w:tcW w:type="dxa" w:w="3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PERÍODO DEL PROYECTO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Portal GDP-SLEP Studio</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Cuentas de usuario, roles, bitácoras</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Desarrollo desde diciembre de 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Validador de Formularios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Cifras agregadas por SLEP y mes (sin RUT ni nombres)</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PMV julio 2026 · transformación septiembre 2026 · en revisión por TI</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RPA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Datos de licencias y remuneraciones en el PIEE</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API + webservice + LAYA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Datos de licencias, liquidaciones del mes, clasificación con IA</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Propuesta mixta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Combinación de las dos anteriores</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IA local orquestadora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Eventos y datos de todas las aplicaciones</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Diciembre 2026 – enero 2027</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2.3  </w:t>
      </w:r>
      <w:r>
        <w:rPr>
          <w:rFonts w:ascii="Calibri" w:cs="Calibri" w:eastAsia="Calibri" w:hAnsi="Calibri"/>
          <w:b/>
          <w:bCs/>
          <w:color w:val="0F172A"/>
          <w:sz w:val="25"/>
          <w:szCs w:val="25"/>
        </w:rPr>
        <w:t xml:space="preserve">Límites del análisis</w:t>
      </w:r>
    </w:p>
    <w:p>
      <w:pPr>
        <w:pStyle w:val="ListParagraph"/>
        <w:numPr>
          <w:ilvl w:val="0"/>
          <w:numId w:val="2"/>
        </w:numPr>
        <w:spacing w:after="70" w:line="264"/>
      </w:pPr>
      <w:r>
        <w:rPr>
          <w:color w:val="334155"/>
          <w:sz w:val="20"/>
          <w:szCs w:val="20"/>
        </w:rPr>
        <w:t xml:space="preserve">Es un análisis </w:t>
      </w:r>
      <w:r>
        <w:rPr>
          <w:b/>
          <w:bCs/>
          <w:color w:val="0F172A"/>
          <w:sz w:val="20"/>
          <w:szCs w:val="20"/>
        </w:rPr>
        <w:t xml:space="preserve">técnico-normativo</w:t>
      </w:r>
      <w:r>
        <w:rPr>
          <w:color w:val="334155"/>
          <w:sz w:val="20"/>
          <w:szCs w:val="20"/>
        </w:rPr>
        <w:t xml:space="preserve"> hecho por el equipo de desarrollo. No es un informe en derecho ni reemplaza la revisión del área jurídica de la DEP, que debe validar las interpretaciones marcadas como tales.</w:t>
      </w:r>
    </w:p>
    <w:p>
      <w:pPr>
        <w:pStyle w:val="ListParagraph"/>
        <w:numPr>
          <w:ilvl w:val="0"/>
          <w:numId w:val="2"/>
        </w:numPr>
        <w:spacing w:after="70" w:line="264"/>
      </w:pPr>
      <w:r>
        <w:rPr>
          <w:color w:val="334155"/>
          <w:sz w:val="20"/>
          <w:szCs w:val="20"/>
        </w:rPr>
        <w:t xml:space="preserve">Algunas fuentes oficiales (LeyChile, Diario Oficial) no pudieron leerse completas a la fecha de corte; en esos casos se usaron reproducciones confiables y el dato queda marcado </w:t>
      </w:r>
      <w:r>
        <w:rPr>
          <w:b/>
          <w:bCs/>
          <w:color w:val="0F172A"/>
          <w:sz w:val="20"/>
          <w:szCs w:val="20"/>
        </w:rPr>
        <w:t xml:space="preserve">por confirmar</w:t>
      </w:r>
      <w:r>
        <w:rPr>
          <w:color w:val="334155"/>
          <w:sz w:val="20"/>
          <w:szCs w:val="20"/>
        </w:rPr>
        <w:t xml:space="preserve"> (Anexo D).</w:t>
      </w:r>
    </w:p>
    <w:p>
      <w:pPr>
        <w:pStyle w:val="ListParagraph"/>
        <w:numPr>
          <w:ilvl w:val="0"/>
          <w:numId w:val="2"/>
        </w:numPr>
        <w:spacing w:after="70" w:line="264"/>
      </w:pPr>
      <w:r>
        <w:rPr>
          <w:color w:val="334155"/>
          <w:sz w:val="20"/>
          <w:szCs w:val="20"/>
        </w:rPr>
        <w:t xml:space="preserve">Las normas cambian: la vigencia de la Ley 21.719, el proyecto de ley de IA y el calendario de los SLEP tienen proyectos en trámite. Este informe debe revisarse </w:t>
      </w:r>
      <w:r>
        <w:rPr>
          <w:b/>
          <w:bCs/>
          <w:color w:val="0F172A"/>
          <w:sz w:val="20"/>
          <w:szCs w:val="20"/>
        </w:rPr>
        <w:t xml:space="preserve">cada vez que se publique una norma relevante</w:t>
      </w:r>
      <w:r>
        <w:rPr>
          <w:color w:val="334155"/>
          <w:sz w:val="20"/>
          <w:szCs w:val="20"/>
        </w:rPr>
        <w:t xml:space="preserve"> y, como mínimo, antes de iniciar cada informe de la serie.</w:t>
      </w: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institucional</w:t>
      </w:r>
    </w:p>
    <w:p>
      <w:pPr>
        <w:pStyle w:val="Heading1"/>
        <w:keepNext/>
        <w:pBdr>
          <w:bottom w:val="single" w:color="E2E8F0" w:sz="6" w:space="6"/>
        </w:pBdr>
        <w:spacing w:after="160"/>
      </w:pPr>
      <w:r>
        <w:rPr>
          <w:rFonts w:ascii="Calibri" w:cs="Calibri" w:eastAsia="Calibri" w:hAnsi="Calibri"/>
          <w:b/>
          <w:bCs/>
          <w:color w:val="0F172A"/>
          <w:sz w:val="34"/>
          <w:szCs w:val="34"/>
        </w:rPr>
        <w:t xml:space="preserve">Marco institucional: DEP y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portal común para servicios autónomos solo es posible si alguien tiene la facultad legal de definirlo y si cada servicio conserva sus responsabilidades.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Establecer qué puede decidir la DEP, qué decide cada SLEP y qué acto administrativo da soporte formal al portal.</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Lectura de la Ley 21.040 (arts. 16, 18, 21, 22, 47, 59, 60 y 61), su modificación por la Ley 21.819 y la Ley 18.575.</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Los SLEP: servicios autónomos</w:t>
      </w:r>
    </w:p>
    <w:p>
      <w:pPr>
        <w:spacing w:after="140" w:before="0" w:line="276"/>
        <w:jc w:val="left"/>
      </w:pPr>
      <w:r>
        <w:rPr>
          <w:rFonts w:ascii="Calibri" w:cs="Calibri" w:eastAsia="Calibri" w:hAnsi="Calibri"/>
          <w:color w:val="334155"/>
          <w:sz w:val="20"/>
          <w:szCs w:val="20"/>
        </w:rPr>
        <w:t xml:space="preserve">La Ley 21.040 crea el Sistema de Educación Pública. Su </w:t>
      </w:r>
      <w:r>
        <w:rPr>
          <w:rFonts w:ascii="Calibri" w:cs="Calibri" w:eastAsia="Calibri" w:hAnsi="Calibri"/>
          <w:b/>
          <w:bCs/>
          <w:color w:val="0F172A"/>
          <w:sz w:val="20"/>
          <w:szCs w:val="20"/>
        </w:rPr>
        <w:t xml:space="preserve">art. 16</w:t>
      </w:r>
      <w:r>
        <w:rPr>
          <w:rFonts w:ascii="Calibri" w:cs="Calibri" w:eastAsia="Calibri" w:hAnsi="Calibri"/>
          <w:color w:val="334155"/>
          <w:sz w:val="20"/>
          <w:szCs w:val="20"/>
        </w:rPr>
        <w:t xml:space="preserve"> define a los Servicios Locales de Educación Pública como "órganos públicos funcional y territorialmente descentralizados, con </w:t>
      </w:r>
      <w:r>
        <w:rPr>
          <w:rFonts w:ascii="Calibri" w:cs="Calibri" w:eastAsia="Calibri" w:hAnsi="Calibri"/>
          <w:b/>
          <w:bCs/>
          <w:color w:val="0F172A"/>
          <w:sz w:val="20"/>
          <w:szCs w:val="20"/>
        </w:rPr>
        <w:t xml:space="preserve">personalidad jurídica y patrimonio propios</w:t>
      </w:r>
      <w:r>
        <w:rPr>
          <w:rFonts w:ascii="Calibri" w:cs="Calibri" w:eastAsia="Calibri" w:hAnsi="Calibri"/>
          <w:color w:val="334155"/>
          <w:sz w:val="20"/>
          <w:szCs w:val="20"/>
        </w:rPr>
        <w:t xml:space="preserve">", que se relacionan con el Presidente a través del Ministerio de Educación por intermedio de la DEP.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3800"/>
        <w:gridCol w:w="3840"/>
      </w:tblGrid>
      <w:tr>
        <w:trPr>
          <w:tblHeader/>
        </w:trPr>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CONTENIDO</w:t>
            </w:r>
          </w:p>
        </w:tc>
        <w:tc>
          <w:tcPr>
            <w:tcW w:type="dxa" w:w="3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CONSECUENCIA PARA EL PROYECTO</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Ley 21.040, art. 16</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SLEP con personalidad jurídica y patrimonio propios.</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Cada SLEP es </w:t>
            </w:r>
            <w:r>
              <w:rPr>
                <w:rFonts w:ascii="Calibri" w:cs="Calibri" w:eastAsia="Calibri" w:hAnsi="Calibri"/>
                <w:b/>
                <w:bCs/>
                <w:color w:val="0F172A"/>
                <w:sz w:val="18"/>
                <w:szCs w:val="18"/>
              </w:rPr>
              <w:t xml:space="preserve">responsable</w:t>
            </w:r>
            <w:r>
              <w:rPr>
                <w:rFonts w:ascii="Calibri" w:cs="Calibri" w:eastAsia="Calibri" w:hAnsi="Calibri"/>
                <w:b w:val="false"/>
                <w:bCs w:val="false"/>
                <w:color w:val="334155"/>
                <w:sz w:val="18"/>
                <w:szCs w:val="18"/>
              </w:rPr>
              <w:t xml:space="preserve"> de los datos de su personal y empleador con RUT propio ante FONASA.</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18 b) y f)</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Los SLEP administran sus recursos y mantienen sistemas de seguimiento, información y monitoreo según lineamientos de la DEP.</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adopción del portal por cada SLEP se ordena bajo lineamientos de la DEP.</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21</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Director Ejecutivo nombrado por Alta Dirección Pública, por 6 años.</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Es el jefe superior del SLEP para efectos de responsabilidad en datos y ciberseguridad.</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22 d)</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Director Ejecutivo contrata, designa y pone término a las funciones del personal.</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potestad disciplinaria (sumarios) es de cada SLEP, no de la DEP.</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47</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Régimen del personal de los SLEP.</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Determina qué estatuto disciplinario se aplica (Sección 04).</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La DEP: conducción y sistemas comunes</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DEP</w:t>
      </w:r>
      <w:r>
        <w:rPr>
          <w:rFonts w:ascii="Calibri" w:cs="Calibri" w:eastAsia="Calibri" w:hAnsi="Calibri"/>
          <w:color w:val="334155"/>
          <w:sz w:val="20"/>
          <w:szCs w:val="20"/>
        </w:rPr>
        <w:t xml:space="preserve"> es un "servicio público centralizado, dependiente del Ministerio de Educación" (art. 59) cuyo objeto es la "conducción estratégica y la coordinación del Sistema", prestando a los SLEP "apoyo técnico y administrativo" (art. 60). Su </w:t>
      </w:r>
      <w:r>
        <w:rPr>
          <w:rFonts w:ascii="Calibri" w:cs="Calibri" w:eastAsia="Calibri" w:hAnsi="Calibri"/>
          <w:b/>
          <w:bCs/>
          <w:color w:val="0F172A"/>
          <w:sz w:val="20"/>
          <w:szCs w:val="20"/>
        </w:rPr>
        <w:t xml:space="preserve">art. 61</w:t>
      </w:r>
      <w:r>
        <w:rPr>
          <w:rFonts w:ascii="Calibri" w:cs="Calibri" w:eastAsia="Calibri" w:hAnsi="Calibri"/>
          <w:color w:val="334155"/>
          <w:sz w:val="20"/>
          <w:szCs w:val="20"/>
        </w:rPr>
        <w:t xml:space="preserve"> le entrega funciones que sustentan directamente el portal: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4300"/>
        <w:gridCol w:w="36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LETRA DEL ART. 61</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FUNCIÓN</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USO EN GDP-SLEP STUDIO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Prestar asistencia técnica a la gestión pedagógica, administrativa y financiera de los SLEP.</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Fundamento del portal como apoyo técnico.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h)</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Coordinar a los Servicios Locales.</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Estandarizar procesos de gestión de personas.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ñ)</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Requerir de los SLEP la información necesaria y sistematizarla, procesarla y publicarla.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Base del Validador y de los reportes consolidados.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Definir políticas de operación y funcionamiento de los sistemas de seguimiento, administración, información y monitoreo, incluida su interconexión e interoperabilidad.</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Fundamento principal del portal</w:t>
            </w:r>
            <w:r>
              <w:rPr>
                <w:rFonts w:ascii="Calibri" w:cs="Calibri" w:eastAsia="Calibri" w:hAnsi="Calibri"/>
                <w:b w:val="false"/>
                <w:bCs w:val="false"/>
                <w:color w:val="334155"/>
                <w:sz w:val="18"/>
                <w:szCs w:val="18"/>
              </w:rPr>
              <w:t xml:space="preserve"> y de sus integraciones.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u) (Ley 21.819)</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Impartir instrucciones generales y </w:t>
            </w:r>
            <w:r>
              <w:rPr>
                <w:rFonts w:ascii="Calibri" w:cs="Calibri" w:eastAsia="Calibri" w:hAnsi="Calibri"/>
                <w:b/>
                <w:bCs/>
                <w:color w:val="0F172A"/>
                <w:sz w:val="18"/>
                <w:szCs w:val="18"/>
              </w:rPr>
              <w:t xml:space="preserve">vinculantes</w:t>
            </w:r>
            <w:r>
              <w:rPr>
                <w:rFonts w:ascii="Calibri" w:cs="Calibri" w:eastAsia="Calibri" w:hAnsi="Calibri"/>
                <w:b w:val="false"/>
                <w:bCs w:val="false"/>
                <w:color w:val="334155"/>
                <w:sz w:val="18"/>
                <w:szCs w:val="18"/>
              </w:rPr>
              <w:t xml:space="preserve"> a los SLEP en gestión administrativa-financiera; su incumplimiento genera responsabilidad administrativa.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Permite instruir el uso del portal si la materia se enmarca en gestión administrativa-financiera (requiere fundamentación).</w:t>
            </w:r>
          </w:p>
        </w:tc>
      </w:tr>
    </w:tbl>
    <w:p>
      <w:pPr>
        <w:spacing w:after="120" w:before="0" w:line="120"/>
      </w:pPr>
    </w:p>
    <w:p>
      <w:pPr>
        <w:spacing w:after="140" w:before="0" w:line="276"/>
        <w:jc w:val="left"/>
      </w:pPr>
      <w:r>
        <w:rPr>
          <w:rFonts w:ascii="Calibri" w:cs="Calibri" w:eastAsia="Calibri" w:hAnsi="Calibri"/>
          <w:color w:val="334155"/>
          <w:sz w:val="19"/>
          <w:szCs w:val="19"/>
        </w:rPr>
        <w:t xml:space="preserve">La </w:t>
      </w:r>
      <w:r>
        <w:rPr>
          <w:rFonts w:ascii="Calibri" w:cs="Calibri" w:eastAsia="Calibri" w:hAnsi="Calibri"/>
          <w:b/>
          <w:bCs/>
          <w:color w:val="0F172A"/>
          <w:sz w:val="19"/>
          <w:szCs w:val="19"/>
        </w:rPr>
        <w:t xml:space="preserve">Ley 21.819</w:t>
      </w:r>
      <w:r>
        <w:rPr>
          <w:rFonts w:ascii="Calibri" w:cs="Calibri" w:eastAsia="Calibri" w:hAnsi="Calibri"/>
          <w:color w:val="334155"/>
          <w:sz w:val="19"/>
          <w:szCs w:val="19"/>
        </w:rPr>
        <w:t xml:space="preserve"> (Diario Oficial, 25-may-2026) agregó las letras t), u) y v) al art. 61 y modificó el art. 22 en materia de reemplazos. La letra u) es la primera facultad vinculante general de la DEP sobre los SLEP en gestión administrativa-financiera.</w:t>
      </w:r>
    </w:p>
    <w:p>
      <w:pPr>
        <w:pStyle w:val="Heading2"/>
        <w:keepNext/>
        <w:spacing w:after="120" w:before="260"/>
      </w:pPr>
      <w:r>
        <w:rPr>
          <w:rFonts w:ascii="Consolas" w:cs="Consolas" w:eastAsia="Consolas" w:hAnsi="Consolas"/>
          <w:b/>
          <w:bCs/>
          <w:color w:val="0D9488"/>
          <w:sz w:val="22"/>
          <w:szCs w:val="22"/>
        </w:rPr>
        <w:t xml:space="preserve">3.3  </w:t>
      </w:r>
      <w:r>
        <w:rPr>
          <w:rFonts w:ascii="Calibri" w:cs="Calibri" w:eastAsia="Calibri" w:hAnsi="Calibri"/>
          <w:b/>
          <w:bCs/>
          <w:color w:val="0F172A"/>
          <w:sz w:val="25"/>
          <w:szCs w:val="25"/>
        </w:rPr>
        <w:t xml:space="preserve">Principios de la Administración</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18.575</w:t>
      </w:r>
      <w:r>
        <w:rPr>
          <w:rFonts w:ascii="Calibri" w:cs="Calibri" w:eastAsia="Calibri" w:hAnsi="Calibri"/>
          <w:color w:val="334155"/>
          <w:sz w:val="20"/>
          <w:szCs w:val="20"/>
        </w:rPr>
        <w:t xml:space="preserve"> (art. 3) obliga a los órganos a actuar con eficiencia, eficacia y </w:t>
      </w:r>
      <w:r>
        <w:rPr>
          <w:rFonts w:ascii="Calibri" w:cs="Calibri" w:eastAsia="Calibri" w:hAnsi="Calibri"/>
          <w:b/>
          <w:bCs/>
          <w:color w:val="0F172A"/>
          <w:sz w:val="20"/>
          <w:szCs w:val="20"/>
        </w:rPr>
        <w:t xml:space="preserve">coordinación</w:t>
      </w:r>
      <w:r>
        <w:rPr>
          <w:rFonts w:ascii="Calibri" w:cs="Calibri" w:eastAsia="Calibri" w:hAnsi="Calibri"/>
          <w:color w:val="334155"/>
          <w:sz w:val="20"/>
          <w:szCs w:val="20"/>
        </w:rPr>
        <w:t xml:space="preserve">, y su art. 5 exige "evitar la duplicación o interferencia de funciones". Un portal común que reemplaza 36 flujos paralelos de Excel y correo materializa esos principios. Los arts. 52 y 53 (probidad) exigen que la gestión sea eficiente y eficaz en el interés general.</w:t>
      </w:r>
    </w:p>
    <w:p>
      <w:pPr>
        <w:pStyle w:val="Heading2"/>
        <w:keepNext/>
        <w:spacing w:after="120" w:before="260"/>
      </w:pPr>
      <w:r>
        <w:rPr>
          <w:rFonts w:ascii="Consolas" w:cs="Consolas" w:eastAsia="Consolas" w:hAnsi="Consolas"/>
          <w:b/>
          <w:bCs/>
          <w:color w:val="0D9488"/>
          <w:sz w:val="22"/>
          <w:szCs w:val="22"/>
        </w:rPr>
        <w:t xml:space="preserve">3.4  </w:t>
      </w:r>
      <w:r>
        <w:rPr>
          <w:rFonts w:ascii="Calibri" w:cs="Calibri" w:eastAsia="Calibri" w:hAnsi="Calibri"/>
          <w:b/>
          <w:bCs/>
          <w:color w:val="0F172A"/>
          <w:sz w:val="25"/>
          <w:szCs w:val="25"/>
        </w:rPr>
        <w:t xml:space="preserve">Estado de instalación de los SLEP</w:t>
      </w:r>
    </w:p>
    <w:p>
      <w:pPr>
        <w:spacing w:after="140" w:before="0" w:line="276"/>
        <w:jc w:val="left"/>
      </w:pPr>
      <w:r>
        <w:rPr>
          <w:rFonts w:ascii="Calibri" w:cs="Calibri" w:eastAsia="Calibri" w:hAnsi="Calibri"/>
          <w:color w:val="334155"/>
          <w:sz w:val="20"/>
          <w:szCs w:val="20"/>
        </w:rPr>
        <w:t xml:space="preserve">Al 1 de enero de 2026 operan </w:t>
      </w:r>
      <w:r>
        <w:rPr>
          <w:rFonts w:ascii="Calibri" w:cs="Calibri" w:eastAsia="Calibri" w:hAnsi="Calibri"/>
          <w:b/>
          <w:bCs/>
          <w:color w:val="0F172A"/>
          <w:sz w:val="20"/>
          <w:szCs w:val="20"/>
        </w:rPr>
        <w:t xml:space="preserve">36 SLEP</w:t>
      </w:r>
      <w:r>
        <w:rPr>
          <w:rFonts w:ascii="Calibri" w:cs="Calibri" w:eastAsia="Calibri" w:hAnsi="Calibri"/>
          <w:color w:val="334155"/>
          <w:sz w:val="20"/>
          <w:szCs w:val="20"/>
        </w:rPr>
        <w:t xml:space="preserve"> (con el ingreso de diez nuevos, entre ellos Los Álamos), de una meta legal de </w:t>
      </w:r>
      <w:r>
        <w:rPr>
          <w:rFonts w:ascii="Calibri" w:cs="Calibri" w:eastAsia="Calibri" w:hAnsi="Calibri"/>
          <w:b/>
          <w:bCs/>
          <w:color w:val="0F172A"/>
          <w:sz w:val="20"/>
          <w:szCs w:val="20"/>
        </w:rPr>
        <w:t xml:space="preserve">70</w:t>
      </w:r>
      <w:r>
        <w:rPr>
          <w:rFonts w:ascii="Calibri" w:cs="Calibri" w:eastAsia="Calibri" w:hAnsi="Calibri"/>
          <w:color w:val="334155"/>
          <w:sz w:val="20"/>
          <w:szCs w:val="20"/>
        </w:rPr>
        <w:t xml:space="preserve">. El calendario pendiente contempla 34 servicios más entre 2027 y 2029. El </w:t>
      </w:r>
      <w:r>
        <w:rPr>
          <w:rFonts w:ascii="Calibri" w:cs="Calibri" w:eastAsia="Calibri" w:hAnsi="Calibri"/>
          <w:b/>
          <w:bCs/>
          <w:color w:val="0F172A"/>
          <w:sz w:val="20"/>
          <w:szCs w:val="20"/>
        </w:rPr>
        <w:t xml:space="preserve">Boletín 18.551-04</w:t>
      </w:r>
      <w:r>
        <w:rPr>
          <w:rFonts w:ascii="Calibri" w:cs="Calibri" w:eastAsia="Calibri" w:hAnsi="Calibri"/>
          <w:color w:val="334155"/>
          <w:sz w:val="20"/>
          <w:szCs w:val="20"/>
        </w:rPr>
        <w:t xml:space="preserve"> (Senado, agosto de 2026), en trámite, propone extender el plazo de instalación hasta 2040 y permitir postergaciones. Para el proyecto esto significa diseñar para </w:t>
      </w:r>
      <w:r>
        <w:rPr>
          <w:rFonts w:ascii="Calibri" w:cs="Calibri" w:eastAsia="Calibri" w:hAnsi="Calibri"/>
          <w:b/>
          <w:bCs/>
          <w:color w:val="0F172A"/>
          <w:sz w:val="20"/>
          <w:szCs w:val="20"/>
        </w:rPr>
        <w:t xml:space="preserve">36 SLEP hoy y hasta 70</w:t>
      </w:r>
      <w:r>
        <w:rPr>
          <w:rFonts w:ascii="Calibri" w:cs="Calibri" w:eastAsia="Calibri" w:hAnsi="Calibri"/>
          <w:color w:val="334155"/>
          <w:sz w:val="20"/>
          <w:szCs w:val="20"/>
        </w:rPr>
        <w:t xml:space="preserve"> sin depender de una fecha cierta.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Dictar una </w:t>
            </w:r>
            <w:r>
              <w:rPr>
                <w:b/>
                <w:bCs/>
                <w:color w:val="0F172A"/>
                <w:sz w:val="19"/>
                <w:szCs w:val="19"/>
              </w:rPr>
              <w:t xml:space="preserve">resolución de la DEP</w:t>
            </w:r>
            <w:r>
              <w:rPr>
                <w:color w:val="334155"/>
                <w:sz w:val="19"/>
                <w:szCs w:val="19"/>
              </w:rPr>
              <w:t xml:space="preserve"> que cree GDP-SLEP Studio como sistema de información común de los SLEP, invocando el art. 61 letras d), h), ñ), p) y, cuando proceda, u) de la Ley 21.040.</w:t>
            </w:r>
          </w:p>
          <w:p>
            <w:pPr>
              <w:spacing w:after="50" w:line="260"/>
            </w:pPr>
            <w:r>
              <w:rPr>
                <w:color w:val="334155"/>
                <w:sz w:val="19"/>
                <w:szCs w:val="19"/>
              </w:rPr>
              <w:t xml:space="preserve">Ese acto es además la "disposición administrativa" que exige el §3 de los términos de ClaveÚnica (Sección 09) y la base de licitud para tratar datos (Sección 06).</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INTERPRETACIÓN</w:t>
            </w:r>
          </w:p>
          <w:p>
            <w:pPr>
              <w:spacing w:after="50" w:line="260"/>
            </w:pPr>
            <w:r>
              <w:rPr>
                <w:color w:val="334155"/>
                <w:sz w:val="19"/>
                <w:szCs w:val="19"/>
              </w:rPr>
              <w:t xml:space="preserve">La DEP define y provee el sistema; cada SLEP sigue siendo responsable de sus datos y de sus actos (sumarios, tramitación de licencias). El portal no traslada a la DEP potestades que la ley entrega a los Directores Ejecutivos.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sumarios</w:t>
      </w:r>
    </w:p>
    <w:p>
      <w:pPr>
        <w:pStyle w:val="Heading1"/>
        <w:keepNext/>
        <w:pBdr>
          <w:bottom w:val="single" w:color="E2E8F0" w:sz="6" w:space="6"/>
        </w:pBdr>
        <w:spacing w:after="160"/>
      </w:pPr>
      <w:r>
        <w:rPr>
          <w:rFonts w:ascii="Calibri" w:cs="Calibri" w:eastAsia="Calibri" w:hAnsi="Calibri"/>
          <w:b/>
          <w:bCs/>
          <w:color w:val="0F172A"/>
          <w:sz w:val="34"/>
          <w:szCs w:val="34"/>
        </w:rPr>
        <w:t xml:space="preserve">Personal, sumarios y Contraloría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Validador existe porque Contraloría detectó mal uso de licencias médicas y exige a los servicios instruir sumarios e informar su avance.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Entender qué régimen disciplinario aplica a cada funcionario del SLEP, qué pide Contraloría y qué lugar ocupa el Validador frente a la plataforma oficial SIAD.</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del Estatuto Administrativo, Estatuto Docente, Ley 21.109, Ley 10.336, oficios e informes CIC de la Contraloría y reportes de DIPRES.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4.1  </w:t>
      </w:r>
      <w:r>
        <w:rPr>
          <w:rFonts w:ascii="Calibri" w:cs="Calibri" w:eastAsia="Calibri" w:hAnsi="Calibri"/>
          <w:b/>
          <w:bCs/>
          <w:color w:val="0F172A"/>
          <w:sz w:val="25"/>
          <w:szCs w:val="25"/>
        </w:rPr>
        <w:t xml:space="preserve">Qué régimen disciplinario aplica a cada funcionario</w:t>
      </w:r>
    </w:p>
    <w:p>
      <w:pPr>
        <w:spacing w:after="140" w:before="0" w:line="276"/>
        <w:jc w:val="left"/>
      </w:pPr>
      <w:r>
        <w:rPr>
          <w:rFonts w:ascii="Calibri" w:cs="Calibri" w:eastAsia="Calibri" w:hAnsi="Calibri"/>
          <w:color w:val="334155"/>
          <w:sz w:val="20"/>
          <w:szCs w:val="20"/>
        </w:rPr>
        <w:t xml:space="preserve">Los SLEP tienen personal regido por distintos estatutos. Esto importa porque </w:t>
      </w:r>
      <w:r>
        <w:rPr>
          <w:rFonts w:ascii="Calibri" w:cs="Calibri" w:eastAsia="Calibri" w:hAnsi="Calibri"/>
          <w:b/>
          <w:bCs/>
          <w:color w:val="0F172A"/>
          <w:sz w:val="20"/>
          <w:szCs w:val="20"/>
        </w:rPr>
        <w:t xml:space="preserve">las sanciones posibles no son las mismas</w:t>
      </w:r>
      <w:r>
        <w:rPr>
          <w:rFonts w:ascii="Calibri" w:cs="Calibri" w:eastAsia="Calibri" w:hAnsi="Calibri"/>
          <w:color w:val="334155"/>
          <w:sz w:val="20"/>
          <w:szCs w:val="20"/>
        </w:rPr>
        <w:t xml:space="preserve"> para todos y el formulario de avance de sumarios las agrega.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400"/>
        <w:gridCol w:w="2500"/>
        <w:gridCol w:w="24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 DE FUNCIONARIO</w:t>
            </w:r>
          </w:p>
        </w:tc>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PROCEDIMIENTO</w:t>
            </w:r>
          </w:p>
        </w:tc>
        <w:tc>
          <w:tcPr>
            <w:tcW w:type="dxa" w:w="2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SANCIONES POSIBLES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Personal de planta y contrata del SLEP</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Ley 21.040 art. 47 · DFL 29/2004 (Estatuto Administrativo)</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Investigación sumaria o sumario administrativo (Título V)</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Censura, multa, suspensión (30 días a 3 meses), destitución (art. 121)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Profesionales de la educación (docentes)</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DFL 1/1996 (Estatuto Docente)</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Sumario; la jurisprudencia de la CGR lo ha entendido como término o absolución</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Término de la relación o absolución (art. 72 b); por confirmar su aplicación exacta tras la Ley 21.040</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Asistentes de la educación</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Ley 21.109 (Código del Trabajo supletorio, art. 3)</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Sumario administrativo del Título V del DFL 29 (art. 33 c)</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Término por falta de probidad establecida en sumario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Normas clave del sumario administrativo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4300"/>
        <w:gridCol w:w="32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ARTÍCULO (DFL 29/2004)</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CONTENIDO</w:t>
            </w:r>
          </w:p>
        </w:tc>
        <w:tc>
          <w:tcPr>
            <w:tcW w:type="dxa" w:w="3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RELEVANCIA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111</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Durante la licencia el funcionario conserva el total de sus remuneraciones.</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Explica por qué el SLEP debe recuperar el subsidio (Sección 05).</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121</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Sanciones: censura, multa, suspensión, destitución.</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Corresponde a los campos de sanción del formulario.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125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Destitución cuando los hechos vulneran gravemente la probidad.</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Criterio aplicado a viajes con licencia (Corte Suprema, Rol 54.911-2025).</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135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fiscal tiene 20 días para investigar, prorrogables hasta 60.</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Permite estimar plazos esperables de avance.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137 inc. 2°</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sumario es </w:t>
            </w:r>
            <w:r>
              <w:rPr>
                <w:rFonts w:ascii="Calibri" w:cs="Calibri" w:eastAsia="Calibri" w:hAnsi="Calibri"/>
                <w:b/>
                <w:bCs/>
                <w:color w:val="0F172A"/>
                <w:sz w:val="18"/>
                <w:szCs w:val="18"/>
              </w:rPr>
              <w:t xml:space="preserve">secreto hasta la formulación de cargos</w:t>
            </w:r>
            <w:r>
              <w:rPr>
                <w:rFonts w:ascii="Calibri" w:cs="Calibri" w:eastAsia="Calibri" w:hAnsi="Calibri"/>
                <w:b w:val="false"/>
                <w:bCs w:val="false"/>
                <w:color w:val="334155"/>
                <w:sz w:val="18"/>
                <w:szCs w:val="18"/>
              </w:rPr>
              <w:t xml:space="preserve">.</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portal no debe recibir contenido de sumarios en curso: solo cifras.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Arts. 158 y 159</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acción disciplinaria prescribe en 4 años; se suspende al formular cargos; si el proceso se paraliza más de 2 años, continúa corriendo.</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Riesgo de prescripción si el avance se estanca.</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4.3  </w:t>
      </w:r>
      <w:r>
        <w:rPr>
          <w:rFonts w:ascii="Calibri" w:cs="Calibri" w:eastAsia="Calibri" w:hAnsi="Calibri"/>
          <w:b/>
          <w:bCs/>
          <w:color w:val="0F172A"/>
          <w:sz w:val="25"/>
          <w:szCs w:val="25"/>
        </w:rPr>
        <w:t xml:space="preserve">Lo que pide la Contraloría</w:t>
      </w:r>
    </w:p>
    <w:p>
      <w:pPr>
        <w:spacing w:after="140" w:before="0" w:line="276"/>
        <w:jc w:val="left"/>
      </w:pPr>
      <w:r>
        <w:rPr>
          <w:rFonts w:ascii="Calibri" w:cs="Calibri" w:eastAsia="Calibri" w:hAnsi="Calibri"/>
          <w:color w:val="334155"/>
          <w:sz w:val="20"/>
          <w:szCs w:val="20"/>
        </w:rPr>
        <w:t xml:space="preserve">La Contraloría General de la República, con las facultades de la </w:t>
      </w:r>
      <w:r>
        <w:rPr>
          <w:rFonts w:ascii="Calibri" w:cs="Calibri" w:eastAsia="Calibri" w:hAnsi="Calibri"/>
          <w:b/>
          <w:bCs/>
          <w:color w:val="0F172A"/>
          <w:sz w:val="20"/>
          <w:szCs w:val="20"/>
        </w:rPr>
        <w:t xml:space="preserve">Ley 10.336</w:t>
      </w:r>
      <w:r>
        <w:rPr>
          <w:rFonts w:ascii="Calibri" w:cs="Calibri" w:eastAsia="Calibri" w:hAnsi="Calibri"/>
          <w:color w:val="334155"/>
          <w:sz w:val="20"/>
          <w:szCs w:val="20"/>
        </w:rPr>
        <w:t xml:space="preserve"> (art. 9: requerir información a cualquier funcionario; art. 131: investigaciones), ha publicado desde 2025 una serie de </w:t>
      </w:r>
      <w:r>
        <w:rPr>
          <w:rFonts w:ascii="Calibri" w:cs="Calibri" w:eastAsia="Calibri" w:hAnsi="Calibri"/>
          <w:b/>
          <w:bCs/>
          <w:color w:val="0F172A"/>
          <w:sz w:val="20"/>
          <w:szCs w:val="20"/>
        </w:rPr>
        <w:t xml:space="preserve">Consolidados de Información Circularizada (CIC)</w:t>
      </w:r>
      <w:r>
        <w:rPr>
          <w:rFonts w:ascii="Calibri" w:cs="Calibri" w:eastAsia="Calibri" w:hAnsi="Calibri"/>
          <w:color w:val="334155"/>
          <w:sz w:val="20"/>
          <w:szCs w:val="20"/>
        </w:rPr>
        <w:t xml:space="preserve"> sobre uso irregular de licencias médicas. El formulario que consolida el Validador refiere a varios de ellos.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1300"/>
        <w:gridCol w:w="5300"/>
        <w:gridCol w:w="2140"/>
      </w:tblGrid>
      <w:tr>
        <w:trPr>
          <w:tblHeader/>
        </w:trPr>
        <w:tc>
          <w:tcPr>
            <w:tcW w:type="dxa" w:w="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CIC</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FECHA</w:t>
            </w:r>
          </w:p>
        </w:tc>
        <w:tc>
          <w:tcPr>
            <w:tcW w:type="dxa" w:w="5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HALLAZGO PRINCIPAL</w:t>
            </w:r>
          </w:p>
        </w:tc>
        <w:tc>
          <w:tcPr>
            <w:tcW w:type="dxa" w:w="2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RELEVANCIA SLEP</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9</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20-may-2025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25.078 funcionarios salieron del país con licencia en 2023–2024 (35.585 licencias).</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Base de los sumarios</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10</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24-may-2025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250 trabajadores de la salud atendieron partos estando con licencia.</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Baja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13</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30-jun-2025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44 médicos emitieron 10.111 licencias; 3.532 funcionarios involucrados.</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Media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14</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30-jul-2025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Funcionarios de FF.AA., policías y Gendarmería con salidas al extranjero.</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Baja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15</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05-ago-2025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13.286 funcionarios asistieron a casinos estando con licencia.</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Media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16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12-sep-2025</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10.805 funcionarios de servicios regionales viajaron al extranjero; cerca del 15% en SLEP.</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Alta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21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30-mar-2026</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6.311 funcionarios obtuvieron ingresos de otros empleadores estando con licencia.</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Media/alta</w:t>
            </w:r>
          </w:p>
        </w:tc>
      </w:tr>
      <w:tr>
        <w:trPr>
          <w:cantSplit/>
        </w:trPr>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 26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02-oct-2026</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7.207 funcionarios viajaron al extranjero con licencia durante 2025.</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Alta (nuevo)</w:t>
            </w:r>
          </w:p>
        </w:tc>
      </w:tr>
    </w:tbl>
    <w:p>
      <w:pPr>
        <w:spacing w:after="120" w:before="0" w:line="120"/>
      </w:pPr>
    </w:p>
    <w:p>
      <w:pPr>
        <w:spacing w:after="140" w:before="0" w:line="276"/>
        <w:jc w:val="left"/>
      </w:pPr>
      <w:r>
        <w:rPr>
          <w:rFonts w:ascii="Calibri" w:cs="Calibri" w:eastAsia="Calibri" w:hAnsi="Calibri"/>
          <w:color w:val="334155"/>
          <w:sz w:val="19"/>
          <w:szCs w:val="19"/>
        </w:rPr>
        <w:t xml:space="preserve">Según la prensa, el </w:t>
      </w:r>
      <w:r>
        <w:rPr>
          <w:rFonts w:ascii="Calibri" w:cs="Calibri" w:eastAsia="Calibri" w:hAnsi="Calibri"/>
          <w:b/>
          <w:bCs/>
          <w:color w:val="0F172A"/>
          <w:sz w:val="19"/>
          <w:szCs w:val="19"/>
        </w:rPr>
        <w:t xml:space="preserve">CIC N° 26</w:t>
      </w:r>
      <w:r>
        <w:rPr>
          <w:rFonts w:ascii="Calibri" w:cs="Calibri" w:eastAsia="Calibri" w:hAnsi="Calibri"/>
          <w:color w:val="334155"/>
          <w:sz w:val="19"/>
          <w:szCs w:val="19"/>
        </w:rPr>
        <w:t xml:space="preserve"> se publicó el mismo día de la fecha de corte de este informe e incluye nuevamente a un SLEP entre los servicios con más casos. Debe incorporarse al catálogo de CIC del Validador.</w:t>
      </w:r>
    </w:p>
    <w:p>
      <w:pPr>
        <w:pStyle w:val="Heading3"/>
        <w:keepNext/>
        <w:spacing w:after="80" w:before="180"/>
      </w:pPr>
      <w:r>
        <w:rPr>
          <w:rFonts w:ascii="Calibri" w:cs="Calibri" w:eastAsia="Calibri" w:hAnsi="Calibri"/>
          <w:b/>
          <w:bCs/>
          <w:color w:val="0F766E"/>
          <w:sz w:val="22"/>
          <w:szCs w:val="22"/>
        </w:rPr>
        <w:t xml:space="preserve">Instrucciones y plataforma oficial</w:t>
      </w:r>
    </w:p>
    <w:p>
      <w:pPr>
        <w:pStyle w:val="ListParagraph"/>
        <w:numPr>
          <w:ilvl w:val="0"/>
          <w:numId w:val="2"/>
        </w:numPr>
        <w:spacing w:after="70" w:line="264"/>
      </w:pPr>
      <w:r>
        <w:rPr>
          <w:b/>
          <w:bCs/>
          <w:color w:val="0F172A"/>
          <w:sz w:val="20"/>
          <w:szCs w:val="20"/>
        </w:rPr>
        <w:t xml:space="preserve">Oficio de la CGR de junio de 2025 (E89569/2025):</w:t>
      </w:r>
      <w:r>
        <w:rPr>
          <w:color w:val="334155"/>
          <w:sz w:val="20"/>
          <w:szCs w:val="20"/>
        </w:rPr>
        <w:t xml:space="preserve"> instruye cómo llevar los sumarios por licencias: fiscal independiente de grado igual o superior al inculpado, certificado de viajes de la PDI, retención de renuncias cuando hay mérito para destitución, y control de legalidad de destituciones, sobreseimientos y absoluciones.</w:t>
      </w:r>
    </w:p>
    <w:p>
      <w:pPr>
        <w:pStyle w:val="ListParagraph"/>
        <w:numPr>
          <w:ilvl w:val="0"/>
          <w:numId w:val="2"/>
        </w:numPr>
        <w:spacing w:after="70" w:line="264"/>
      </w:pPr>
      <w:r>
        <w:rPr>
          <w:b/>
          <w:bCs/>
          <w:color w:val="0F172A"/>
          <w:sz w:val="20"/>
          <w:szCs w:val="20"/>
        </w:rPr>
        <w:t xml:space="preserve">SIAD (Sistema de Inspección de Acciones Derivadas):</w:t>
      </w:r>
      <w:r>
        <w:rPr>
          <w:color w:val="334155"/>
          <w:sz w:val="20"/>
          <w:szCs w:val="20"/>
        </w:rPr>
        <w:t xml:space="preserve"> plataforma de la CGR donde los servicios registran el avance de los procedimientos disciplinarios, con contrapartes designadas. En los CIC recientes se pide instruir el sumario y subir la resolución al SIAD </w:t>
      </w:r>
      <w:r>
        <w:rPr>
          <w:b/>
          <w:bCs/>
          <w:color w:val="0F172A"/>
          <w:sz w:val="20"/>
          <w:szCs w:val="20"/>
        </w:rPr>
        <w:t xml:space="preserve">dentro de 5 días</w:t>
      </w:r>
      <w:r>
        <w:rPr>
          <w:color w:val="334155"/>
          <w:sz w:val="20"/>
          <w:szCs w:val="20"/>
        </w:rPr>
        <w:t xml:space="preserve"> desde la notificación.</w:t>
      </w:r>
    </w:p>
    <w:p>
      <w:pPr>
        <w:pStyle w:val="ListParagraph"/>
        <w:numPr>
          <w:ilvl w:val="0"/>
          <w:numId w:val="2"/>
        </w:numPr>
        <w:spacing w:after="70" w:line="264"/>
      </w:pPr>
      <w:r>
        <w:rPr>
          <w:b/>
          <w:bCs/>
          <w:color w:val="0F172A"/>
          <w:sz w:val="20"/>
          <w:szCs w:val="20"/>
        </w:rPr>
        <w:t xml:space="preserve">Dictamen E150651N25 (septiembre de 2025):</w:t>
      </w:r>
      <w:r>
        <w:rPr>
          <w:color w:val="334155"/>
          <w:sz w:val="20"/>
          <w:szCs w:val="20"/>
        </w:rPr>
        <w:t xml:space="preserve"> los SLEP deben financiar con recursos propios las remuneraciones del personal con licencia; los descuentos del MINEDUC son correctos.</w:t>
      </w:r>
    </w:p>
    <w:p>
      <w:pPr>
        <w:pStyle w:val="ListParagraph"/>
        <w:numPr>
          <w:ilvl w:val="0"/>
          <w:numId w:val="2"/>
        </w:numPr>
        <w:spacing w:after="70" w:line="264"/>
      </w:pPr>
      <w:r>
        <w:rPr>
          <w:b/>
          <w:bCs/>
          <w:color w:val="0F172A"/>
          <w:sz w:val="20"/>
          <w:szCs w:val="20"/>
        </w:rPr>
        <w:t xml:space="preserve">Ley 10.336, art. 156:</w:t>
      </w:r>
      <w:r>
        <w:rPr>
          <w:color w:val="334155"/>
          <w:sz w:val="20"/>
          <w:szCs w:val="20"/>
        </w:rPr>
        <w:t xml:space="preserve"> restringe la aplicación de medidas expulsivas en períodos electorales, lo que puede afectar los tiempos de cierre de sumarios.</w:t>
      </w:r>
    </w:p>
    <w:p>
      <w:pPr>
        <w:pStyle w:val="Heading3"/>
        <w:keepNext/>
        <w:spacing w:after="80" w:before="180"/>
      </w:pPr>
      <w:r>
        <w:rPr>
          <w:rFonts w:ascii="Calibri" w:cs="Calibri" w:eastAsia="Calibri" w:hAnsi="Calibri"/>
          <w:b/>
          <w:bCs/>
          <w:color w:val="0F766E"/>
          <w:sz w:val="22"/>
          <w:szCs w:val="22"/>
        </w:rPr>
        <w:t xml:space="preserve">Avance nacional de los sumarios (Gobierno Central, DIPRES)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400"/>
        <w:gridCol w:w="1300"/>
        <w:gridCol w:w="1400"/>
        <w:gridCol w:w="1300"/>
        <w:gridCol w:w="1300"/>
        <w:gridCol w:w="1440"/>
      </w:tblGrid>
      <w:tr>
        <w:trPr>
          <w:tblHeader/>
        </w:trPr>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CORTE</w:t>
            </w:r>
          </w:p>
        </w:tc>
        <w:tc>
          <w:tcPr>
            <w:tcW w:type="dxa" w:w="1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INVOLUCRADOS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 CURSO</w:t>
            </w:r>
          </w:p>
        </w:tc>
        <w:tc>
          <w:tcPr>
            <w:tcW w:type="dxa" w:w="1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DESTITUCIONES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CENSURAS</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MULTAS</w:t>
            </w:r>
          </w:p>
        </w:tc>
        <w:tc>
          <w:tcPr>
            <w:tcW w:type="dxa" w:w="1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SUSPENSIONES</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31-dic-2025</w:t>
            </w:r>
          </w:p>
        </w:tc>
        <w:tc>
          <w:tcPr>
            <w:tcW w:type="dxa" w:w="1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29.270</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21.098</w:t>
            </w:r>
          </w:p>
        </w:tc>
        <w:tc>
          <w:tcPr>
            <w:tcW w:type="dxa" w:w="1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262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584</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55</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65</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30-jun-2026</w:t>
            </w:r>
          </w:p>
        </w:tc>
        <w:tc>
          <w:tcPr>
            <w:tcW w:type="dxa" w:w="1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35.212</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20.823</w:t>
            </w:r>
          </w:p>
        </w:tc>
        <w:tc>
          <w:tcPr>
            <w:tcW w:type="dxa" w:w="1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596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1.115</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149</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92</w:t>
            </w:r>
          </w:p>
        </w:tc>
      </w:tr>
    </w:tbl>
    <w:p>
      <w:pPr>
        <w:spacing w:after="120" w:before="0" w:line="120"/>
      </w:pPr>
    </w:p>
    <w:p>
      <w:pPr>
        <w:spacing w:after="140" w:before="0" w:line="276"/>
        <w:jc w:val="left"/>
      </w:pPr>
      <w:r>
        <w:rPr>
          <w:rFonts w:ascii="Calibri" w:cs="Calibri" w:eastAsia="Calibri" w:hAnsi="Calibri"/>
          <w:color w:val="64748B"/>
          <w:sz w:val="17"/>
          <w:szCs w:val="17"/>
        </w:rPr>
        <w:t xml:space="preserve">Fuente: DIPRES (corte diciembre de 2025) y prensa económica (corte junio de 2026). En el corte de junio de 2026, el sector Educación concentraba 11.599 funcionarios involucrados.</w:t>
      </w:r>
    </w:p>
    <w:p>
      <w:pPr>
        <w:pStyle w:val="Heading2"/>
        <w:keepNext/>
        <w:spacing w:after="120" w:before="260"/>
      </w:pPr>
      <w:r>
        <w:rPr>
          <w:rFonts w:ascii="Consolas" w:cs="Consolas" w:eastAsia="Consolas" w:hAnsi="Consolas"/>
          <w:b/>
          <w:bCs/>
          <w:color w:val="0D9488"/>
          <w:sz w:val="22"/>
          <w:szCs w:val="22"/>
        </w:rPr>
        <w:t xml:space="preserve">4.4  </w:t>
      </w:r>
      <w:r>
        <w:rPr>
          <w:rFonts w:ascii="Calibri" w:cs="Calibri" w:eastAsia="Calibri" w:hAnsi="Calibri"/>
          <w:b/>
          <w:bCs/>
          <w:color w:val="0F172A"/>
          <w:sz w:val="25"/>
          <w:szCs w:val="25"/>
        </w:rPr>
        <w:t xml:space="preserve">Implicancias para el Validador de Formularios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900"/>
        <w:gridCol w:w="36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TEMA</w:t>
            </w:r>
          </w:p>
        </w:tc>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IMPLICANCIA</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ACCIÓN</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Relación con el SIAD</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SIAD es el registro oficial de la CGR y recibe documentos nominativos. El Validador consolida cifras para la gestión de la DEP.</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Declarar que el Validador </w:t>
            </w:r>
            <w:r>
              <w:rPr>
                <w:rFonts w:ascii="Calibri" w:cs="Calibri" w:eastAsia="Calibri" w:hAnsi="Calibri"/>
                <w:b/>
                <w:bCs/>
                <w:color w:val="0F172A"/>
                <w:sz w:val="17"/>
                <w:szCs w:val="17"/>
              </w:rPr>
              <w:t xml:space="preserve">no reemplaza</w:t>
            </w:r>
            <w:r>
              <w:rPr>
                <w:rFonts w:ascii="Calibri" w:cs="Calibri" w:eastAsia="Calibri" w:hAnsi="Calibri"/>
                <w:b w:val="false"/>
                <w:bCs w:val="false"/>
                <w:color w:val="334155"/>
                <w:sz w:val="17"/>
                <w:szCs w:val="17"/>
              </w:rPr>
              <w:t xml:space="preserve"> al SIAD; es control de calidad y consolidación de cifras agregadas.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Secreto del sumario</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Hasta la formulación de cargos el sumario es secreto (art. 137).</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portal solo recibe totales; nunca nombres, RUT ni contenido de expedientes.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Coherencia de sanciones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Censura, multa y suspensión solo existen para personal del Estatuto Administrativo.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Evaluar en el Banco de Preguntas una validación por estamento si se desagregan cifras.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Nuevos CIC</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CIC N° 26 (2-oct-2026) amplía el universo de casos.</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Agregarlo al catálogo de CIC del formulario.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Base para pedir datos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DEP puede requerir información a los SLEP (art. 61 ñ).</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Formalizar el reporte mensual por oficio o resolución de la DEP.</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licencias</w:t>
      </w:r>
    </w:p>
    <w:p>
      <w:pPr>
        <w:pStyle w:val="Heading1"/>
        <w:keepNext/>
        <w:pBdr>
          <w:bottom w:val="single" w:color="E2E8F0" w:sz="6" w:space="6"/>
        </w:pBdr>
        <w:spacing w:after="160"/>
      </w:pPr>
      <w:r>
        <w:rPr>
          <w:rFonts w:ascii="Calibri" w:cs="Calibri" w:eastAsia="Calibri" w:hAnsi="Calibri"/>
          <w:b/>
          <w:bCs/>
          <w:color w:val="0F172A"/>
          <w:sz w:val="34"/>
          <w:szCs w:val="34"/>
        </w:rPr>
        <w:t xml:space="preserve">Licencias médicas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segunda aplicación automatiza la tramitación de licencias médicas por parte del SLEP como empleador. Ese trámite tiene plazos legales y datos que el empleador no puede conocer.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qué debe hacer el sistema, en qué plazo, con qué datos y cuáles le están vedados.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del DS 3/1984, Ley 20.585, Ley 21.746, Estatuto Administrativo y de las circulares y dictámenes de la SUSESO.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5.1  </w:t>
      </w:r>
      <w:r>
        <w:rPr>
          <w:rFonts w:ascii="Calibri" w:cs="Calibri" w:eastAsia="Calibri" w:hAnsi="Calibri"/>
          <w:b/>
          <w:bCs/>
          <w:color w:val="0F172A"/>
          <w:sz w:val="25"/>
          <w:szCs w:val="25"/>
        </w:rPr>
        <w:t xml:space="preserve">El trámite del empleador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4500"/>
        <w:gridCol w:w="30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4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3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PARA EL SISTEMA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DS 3/1984, art. 11</w:t>
            </w:r>
          </w:p>
        </w:tc>
        <w:tc>
          <w:tcPr>
            <w:tcW w:type="dxa" w:w="4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trabajador del sector público presenta la licencia en </w:t>
            </w:r>
            <w:r>
              <w:rPr>
                <w:rFonts w:ascii="Calibri" w:cs="Calibri" w:eastAsia="Calibri" w:hAnsi="Calibri"/>
                <w:b/>
                <w:bCs/>
                <w:color w:val="0F172A"/>
                <w:sz w:val="18"/>
                <w:szCs w:val="18"/>
              </w:rPr>
              <w:t xml:space="preserve">3 días hábiles</w:t>
            </w:r>
            <w:r>
              <w:rPr>
                <w:rFonts w:ascii="Calibri" w:cs="Calibri" w:eastAsia="Calibri" w:hAnsi="Calibri"/>
                <w:b w:val="false"/>
                <w:bCs w:val="false"/>
                <w:color w:val="334155"/>
                <w:sz w:val="18"/>
                <w:szCs w:val="18"/>
              </w:rPr>
              <w:t xml:space="preserve"> desde el inicio del reposo.</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Fecha de inicio del conteo.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DS 3/1984, art. 13</w:t>
            </w:r>
          </w:p>
        </w:tc>
        <w:tc>
          <w:tcPr>
            <w:tcW w:type="dxa" w:w="4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empleador completa la </w:t>
            </w:r>
            <w:r>
              <w:rPr>
                <w:rFonts w:ascii="Calibri" w:cs="Calibri" w:eastAsia="Calibri" w:hAnsi="Calibri"/>
                <w:b/>
                <w:bCs/>
                <w:color w:val="0F172A"/>
                <w:sz w:val="18"/>
                <w:szCs w:val="18"/>
              </w:rPr>
              <w:t xml:space="preserve">zona C</w:t>
            </w:r>
            <w:r>
              <w:rPr>
                <w:rFonts w:ascii="Calibri" w:cs="Calibri" w:eastAsia="Calibri" w:hAnsi="Calibri"/>
                <w:b w:val="false"/>
                <w:bCs w:val="false"/>
                <w:color w:val="334155"/>
                <w:sz w:val="18"/>
                <w:szCs w:val="18"/>
              </w:rPr>
              <w:t xml:space="preserve"> y la remite a COMPIN, ISAPRE o CCAF </w:t>
            </w:r>
            <w:r>
              <w:rPr>
                <w:rFonts w:ascii="Calibri" w:cs="Calibri" w:eastAsia="Calibri" w:hAnsi="Calibri"/>
                <w:b/>
                <w:bCs/>
                <w:color w:val="0F172A"/>
                <w:sz w:val="18"/>
                <w:szCs w:val="18"/>
              </w:rPr>
              <w:t xml:space="preserve">dentro de 3 días hábiles</w:t>
            </w:r>
            <w:r>
              <w:rPr>
                <w:rFonts w:ascii="Calibri" w:cs="Calibri" w:eastAsia="Calibri" w:hAnsi="Calibri"/>
                <w:b w:val="false"/>
                <w:bCs w:val="false"/>
                <w:color w:val="334155"/>
                <w:sz w:val="18"/>
                <w:szCs w:val="18"/>
              </w:rPr>
              <w:t xml:space="preserve"> desde que la recibe; si no, pierde la recuperación de lo pagado.</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Plazo crítico</w:t>
            </w:r>
            <w:r>
              <w:rPr>
                <w:rFonts w:ascii="Calibri" w:cs="Calibri" w:eastAsia="Calibri" w:hAnsi="Calibri"/>
                <w:b w:val="false"/>
                <w:bCs w:val="false"/>
                <w:color w:val="334155"/>
                <w:sz w:val="18"/>
                <w:szCs w:val="18"/>
              </w:rPr>
              <w:t xml:space="preserve"> que la automatización debe vigilar.</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Ley 19.880, art. 25</w:t>
            </w:r>
          </w:p>
        </w:tc>
        <w:tc>
          <w:tcPr>
            <w:tcW w:type="dxa" w:w="4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En el sector público los sábados son inhábiles.</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Calendario hábil correcto en las alertas.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DS 3/1984, art. 51</w:t>
            </w:r>
          </w:p>
        </w:tc>
        <w:tc>
          <w:tcPr>
            <w:tcW w:type="dxa" w:w="4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empleador debe controlar el cumplimiento de la licencia y denunciar irregularidades.</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Fundamento de la gestión de casos, no de inferencias sobre la salud.</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DS 3/1984, art. 55</w:t>
            </w:r>
          </w:p>
        </w:tc>
        <w:tc>
          <w:tcPr>
            <w:tcW w:type="dxa" w:w="4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Causales de rechazo o invalidación (trabajar, no cumplir reposo, simular, falsificar).</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Origen jurídico de los sumarios que reporta el Validador.</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5.2  </w:t>
      </w:r>
      <w:r>
        <w:rPr>
          <w:rFonts w:ascii="Calibri" w:cs="Calibri" w:eastAsia="Calibri" w:hAnsi="Calibri"/>
          <w:b/>
          <w:bCs/>
          <w:color w:val="0F172A"/>
          <w:sz w:val="25"/>
          <w:szCs w:val="25"/>
        </w:rPr>
        <w:t xml:space="preserve">Qué ve el empleador: las zonas de la licencia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900"/>
        <w:gridCol w:w="1950"/>
        <w:gridCol w:w="1945"/>
        <w:gridCol w:w="1945"/>
      </w:tblGrid>
      <w:tr>
        <w:trPr>
          <w:cantSplit/>
        </w:trPr>
        <w:tc>
          <w:tcPr>
            <w:tcW w:type="dxa" w:w="1900"/>
            <w:tcBorders>
              <w:top w:val="single" w:color="B91C1C" w:sz="12"/>
              <w:left w:val="single" w:color="B91C1C" w:sz="12"/>
              <w:bottom w:val="single" w:color="B91C1C" w:sz="12"/>
              <w:right w:val="single" w:color="B91C1C" w:sz="12"/>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PROFESIONAL</w:t>
            </w:r>
          </w:p>
          <w:p>
            <w:pPr>
              <w:spacing w:after="20" w:line="240"/>
              <w:jc w:val="left"/>
            </w:pPr>
            <w:r>
              <w:rPr>
                <w:b/>
                <w:bCs/>
                <w:color w:val="0F172A"/>
                <w:sz w:val="17"/>
                <w:szCs w:val="17"/>
              </w:rPr>
              <w:t xml:space="preserve">Zona A</w:t>
            </w:r>
          </w:p>
          <w:p>
            <w:pPr>
              <w:spacing w:after="0" w:line="230"/>
              <w:jc w:val="left"/>
            </w:pPr>
            <w:r>
              <w:rPr>
                <w:color w:val="64748B"/>
                <w:sz w:val="14"/>
                <w:szCs w:val="14"/>
              </w:rPr>
              <w:t xml:space="preserve">Trabajador, tipo y reposo. </w:t>
            </w:r>
            <w:r>
              <w:rPr>
                <w:b/>
                <w:bCs/>
                <w:color w:val="64748B"/>
                <w:sz w:val="14"/>
                <w:szCs w:val="14"/>
              </w:rPr>
              <w:t xml:space="preserve">A.6 diagnóstico</w:t>
            </w:r>
          </w:p>
        </w:tc>
        <w:tc>
          <w:tcPr>
            <w:tcW w:type="dxa" w:w="19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CONTRALOR</w:t>
            </w:r>
          </w:p>
          <w:p>
            <w:pPr>
              <w:spacing w:after="20" w:line="240"/>
              <w:jc w:val="left"/>
            </w:pPr>
            <w:r>
              <w:rPr>
                <w:b/>
                <w:bCs/>
                <w:color w:val="0F172A"/>
                <w:sz w:val="17"/>
                <w:szCs w:val="17"/>
              </w:rPr>
              <w:t xml:space="preserve">Zona B</w:t>
            </w:r>
          </w:p>
          <w:p>
            <w:pPr>
              <w:spacing w:after="0" w:line="230"/>
              <w:jc w:val="left"/>
            </w:pPr>
            <w:r>
              <w:rPr>
                <w:color w:val="64748B"/>
                <w:sz w:val="14"/>
                <w:szCs w:val="14"/>
              </w:rPr>
              <w:t xml:space="preserve">Pronunciamiento de COMPIN o ISAPRE</w:t>
            </w:r>
          </w:p>
        </w:tc>
        <w:tc>
          <w:tcPr>
            <w:tcW w:type="dxa" w:w="195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EMPLEADOR</w:t>
            </w:r>
          </w:p>
          <w:p>
            <w:pPr>
              <w:spacing w:after="20" w:line="240"/>
              <w:jc w:val="left"/>
            </w:pPr>
            <w:r>
              <w:rPr>
                <w:b/>
                <w:bCs/>
                <w:color w:val="0F172A"/>
                <w:sz w:val="17"/>
                <w:szCs w:val="17"/>
              </w:rPr>
              <w:t xml:space="preserve">Zona C</w:t>
            </w:r>
          </w:p>
          <w:p>
            <w:pPr>
              <w:spacing w:after="0" w:line="230"/>
              <w:jc w:val="left"/>
            </w:pPr>
            <w:r>
              <w:rPr>
                <w:color w:val="64748B"/>
                <w:sz w:val="14"/>
                <w:szCs w:val="14"/>
              </w:rPr>
              <w:t xml:space="preserve">Datos laborales, remuneraciones, licencias anteriores</w:t>
            </w:r>
          </w:p>
        </w:tc>
        <w:tc>
          <w:tcPr>
            <w:tcW w:type="dxa" w:w="1945"/>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PAGADOR</w:t>
            </w:r>
          </w:p>
          <w:p>
            <w:pPr>
              <w:spacing w:after="20" w:line="240"/>
              <w:jc w:val="left"/>
            </w:pPr>
            <w:r>
              <w:rPr>
                <w:b/>
                <w:bCs/>
                <w:color w:val="0F172A"/>
                <w:sz w:val="17"/>
                <w:szCs w:val="17"/>
              </w:rPr>
              <w:t xml:space="preserve">Zona D</w:t>
            </w:r>
          </w:p>
          <w:p>
            <w:pPr>
              <w:spacing w:after="0" w:line="230"/>
              <w:jc w:val="left"/>
            </w:pPr>
            <w:r>
              <w:rPr>
                <w:color w:val="64748B"/>
                <w:sz w:val="14"/>
                <w:szCs w:val="14"/>
              </w:rPr>
              <w:t xml:space="preserve">Cálculo y pago del subsidio</w:t>
            </w:r>
          </w:p>
        </w:tc>
        <w:tc>
          <w:tcPr>
            <w:tcW w:type="dxa" w:w="1945"/>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SISTEMA</w:t>
            </w:r>
          </w:p>
          <w:p>
            <w:pPr>
              <w:spacing w:after="20" w:line="240"/>
              <w:jc w:val="left"/>
            </w:pPr>
            <w:r>
              <w:rPr>
                <w:b/>
                <w:bCs/>
                <w:color w:val="0F172A"/>
                <w:sz w:val="17"/>
                <w:szCs w:val="17"/>
              </w:rPr>
              <w:t xml:space="preserve">Zona 0</w:t>
            </w:r>
          </w:p>
          <w:p>
            <w:pPr>
              <w:spacing w:after="0" w:line="230"/>
              <w:jc w:val="left"/>
            </w:pPr>
            <w:r>
              <w:rPr>
                <w:color w:val="64748B"/>
                <w:sz w:val="14"/>
                <w:szCs w:val="14"/>
              </w:rPr>
              <w:t xml:space="preserve">Folio, operador, estados</w:t>
            </w:r>
          </w:p>
        </w:tc>
      </w:tr>
    </w:tbl>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El empleador solo completa la zona C. El diagnóstico (A.6) le está vedado.</w:t>
      </w:r>
    </w:p>
    <w:p>
      <w:pPr>
        <w:spacing w:after="140" w:before="0" w:line="276"/>
        <w:jc w:val="left"/>
      </w:pPr>
      <w:r>
        <w:rPr>
          <w:rFonts w:ascii="Calibri" w:cs="Calibri" w:eastAsia="Calibri" w:hAnsi="Calibri"/>
          <w:color w:val="334155"/>
          <w:sz w:val="20"/>
          <w:szCs w:val="20"/>
        </w:rPr>
        <w:t xml:space="preserve">La reserva del diagnóstico no depende de una sola norma: resulta de la calidad de </w:t>
      </w:r>
      <w:r>
        <w:rPr>
          <w:rFonts w:ascii="Calibri" w:cs="Calibri" w:eastAsia="Calibri" w:hAnsi="Calibri"/>
          <w:b/>
          <w:bCs/>
          <w:color w:val="0F172A"/>
          <w:sz w:val="20"/>
          <w:szCs w:val="20"/>
        </w:rPr>
        <w:t xml:space="preserve">dato sensible</w:t>
      </w:r>
      <w:r>
        <w:rPr>
          <w:rFonts w:ascii="Calibri" w:cs="Calibri" w:eastAsia="Calibri" w:hAnsi="Calibri"/>
          <w:color w:val="334155"/>
          <w:sz w:val="20"/>
          <w:szCs w:val="20"/>
        </w:rPr>
        <w:t xml:space="preserve"> (Ley 19.628, art. 2 g; Ley 21.719, art. 16 bis), del diseño de la licencia médica electrónica y de la doctrina de la SUSESO. El </w:t>
      </w:r>
      <w:r>
        <w:rPr>
          <w:rFonts w:ascii="Calibri" w:cs="Calibri" w:eastAsia="Calibri" w:hAnsi="Calibri"/>
          <w:b/>
          <w:bCs/>
          <w:color w:val="0F172A"/>
          <w:sz w:val="20"/>
          <w:szCs w:val="20"/>
        </w:rPr>
        <w:t xml:space="preserve">Dictamen SUSESO 9937-2012</w:t>
      </w:r>
      <w:r>
        <w:rPr>
          <w:rFonts w:ascii="Calibri" w:cs="Calibri" w:eastAsia="Calibri" w:hAnsi="Calibri"/>
          <w:color w:val="334155"/>
          <w:sz w:val="20"/>
          <w:szCs w:val="20"/>
        </w:rPr>
        <w:t xml:space="preserve"> impide devolver al empleador la licencia original porque "tomaría conocimiento de las enfermedades que padecen sus funcionarios"; la </w:t>
      </w:r>
      <w:r>
        <w:rPr>
          <w:rFonts w:ascii="Calibri" w:cs="Calibri" w:eastAsia="Calibri" w:hAnsi="Calibri"/>
          <w:b/>
          <w:bCs/>
          <w:color w:val="0F172A"/>
          <w:sz w:val="20"/>
          <w:szCs w:val="20"/>
        </w:rPr>
        <w:t xml:space="preserve">Circular SUSESO 3779</w:t>
      </w:r>
      <w:r>
        <w:rPr>
          <w:rFonts w:ascii="Calibri" w:cs="Calibri" w:eastAsia="Calibri" w:hAnsi="Calibri"/>
          <w:color w:val="334155"/>
          <w:sz w:val="20"/>
          <w:szCs w:val="20"/>
        </w:rPr>
        <w:t xml:space="preserve"> (12-oct-2023) exige que los operadores impidan que el empleador vea el diagnóstico.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91C1C" w:sz="24"/>
              <w:bottom w:val="none" w:color="FFFFFF" w:sz="0"/>
              <w:right w:val="none" w:color="FFFFFF" w:sz="0"/>
            </w:tcBorders>
            <w:shd w:fill="FEF2F2" w:color="auto" w:val="clear"/>
            <w:tcMar>
              <w:top w:type="dxa" w:w="110"/>
              <w:left w:type="dxa" w:w="220"/>
              <w:bottom w:type="dxa" w:w="110"/>
              <w:right w:type="dxa" w:w="110"/>
            </w:tcMar>
            <w:vAlign w:val="top"/>
          </w:tcPr>
          <w:p>
            <w:pPr>
              <w:spacing w:after="60"/>
            </w:pPr>
            <w:r>
              <w:rPr>
                <w:rFonts w:ascii="Consolas" w:cs="Consolas" w:eastAsia="Consolas" w:hAnsi="Consolas"/>
                <w:b/>
                <w:bCs/>
                <w:color w:val="B91C1C"/>
                <w:spacing w:val="20"/>
                <w:sz w:val="15"/>
                <w:szCs w:val="15"/>
              </w:rPr>
              <w:t xml:space="preserve">REGLA DE DISEÑO OBLIGATORIA</w:t>
            </w:r>
          </w:p>
          <w:p>
            <w:pPr>
              <w:spacing w:after="50" w:line="260"/>
            </w:pPr>
            <w:r>
              <w:rPr>
                <w:color w:val="334155"/>
                <w:sz w:val="19"/>
                <w:szCs w:val="19"/>
              </w:rPr>
              <w:t xml:space="preserve">Ninguna aplicación del ecosistema —robot, API, LAYA ni IA local— puede capturar, almacenar, inferir ni enviar a un modelo de IA el </w:t>
            </w:r>
            <w:r>
              <w:rPr>
                <w:b/>
                <w:bCs/>
                <w:color w:val="0F172A"/>
                <w:sz w:val="19"/>
                <w:szCs w:val="19"/>
              </w:rPr>
              <w:t xml:space="preserve">diagnóstico</w:t>
            </w:r>
            <w:r>
              <w:rPr>
                <w:color w:val="334155"/>
                <w:sz w:val="19"/>
                <w:szCs w:val="19"/>
              </w:rPr>
              <w:t xml:space="preserve"> ni antecedentes clínicos. Tampoco se deben guardar capturas de pantalla que los contengan.</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5.3  </w:t>
      </w:r>
      <w:r>
        <w:rPr>
          <w:rFonts w:ascii="Calibri" w:cs="Calibri" w:eastAsia="Calibri" w:hAnsi="Calibri"/>
          <w:b/>
          <w:bCs/>
          <w:color w:val="0F172A"/>
          <w:sz w:val="25"/>
          <w:szCs w:val="25"/>
        </w:rPr>
        <w:t xml:space="preserve">Reformas recientes y normativa de la SUSESO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200"/>
        <w:gridCol w:w="4300"/>
        <w:gridCol w:w="1440"/>
      </w:tblGrid>
      <w:tr>
        <w:trPr>
          <w:tblHeader/>
        </w:trPr>
        <w:tc>
          <w:tcPr>
            <w:tcW w:type="dxa" w:w="2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FECHA</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CONTENIDO RELEVANTE</w:t>
            </w:r>
          </w:p>
        </w:tc>
        <w:tc>
          <w:tcPr>
            <w:tcW w:type="dxa" w:w="1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Ley 20.585 (otorgamiento y uso de licencias)</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11-may-2012</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Facultades de COMPIN y SUSESO, responsabilidad de profesionales, delitos.</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Vigente</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Ley 21.746 (modifica la 20.585)</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24-may-2025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Licencia electrónica como regla; emisores inscritos; cruce de información con SII, Tesorería y PDI; multas de hasta 600 UTM y penas por emisión fraudulenta; registro de sancionados.</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Vigente</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Circular SUSESO 3779</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12-oct-2023</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Adscripción obligatoria a la LME; convenios con operadores; diagnóstico no visible al empleador.</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Vigente</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Circular SUSESO 3868</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25-jun-2025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Implementa la Ley 21.746 en operadores y CCAF.</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Vigente</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Compendio de Normas sobre Licencias Médicas, 16ª versión</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01-sep-2026</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Sistema de información de LME: interoperabilidad, privacidad y confidencialidad; especificación de servicios web en sus anexos 4 a 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Vigente</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Boletín 17.375-11 (funciones de COMPIN a FONASA)</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Traspasaría el control de licencias a FONASA.</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En trámite</w:t>
            </w:r>
          </w:p>
        </w:tc>
      </w:tr>
    </w:tbl>
    <w:p>
      <w:pPr>
        <w:spacing w:after="120" w:before="0" w:line="120"/>
      </w:pPr>
    </w:p>
    <w:p>
      <w:pPr>
        <w:spacing w:after="140" w:before="0" w:line="276"/>
        <w:jc w:val="left"/>
      </w:pPr>
      <w:r>
        <w:rPr>
          <w:rFonts w:ascii="Calibri" w:cs="Calibri" w:eastAsia="Calibri" w:hAnsi="Calibri"/>
          <w:color w:val="334155"/>
          <w:sz w:val="19"/>
          <w:szCs w:val="19"/>
        </w:rPr>
        <w:t xml:space="preserve">El Compendio de la SUSESO declara expresamente que en la tramitación de la licencia electrónica por el sistema de información "se aplica la Ley N° 21.459" de delitos informáticos (Sección 07).</w:t>
      </w:r>
    </w:p>
    <w:p>
      <w:pPr>
        <w:pStyle w:val="Heading2"/>
        <w:keepNext/>
        <w:spacing w:after="120" w:before="260"/>
      </w:pPr>
      <w:r>
        <w:rPr>
          <w:rFonts w:ascii="Consolas" w:cs="Consolas" w:eastAsia="Consolas" w:hAnsi="Consolas"/>
          <w:b/>
          <w:bCs/>
          <w:color w:val="0D9488"/>
          <w:sz w:val="22"/>
          <w:szCs w:val="22"/>
        </w:rPr>
        <w:t xml:space="preserve">5.4  </w:t>
      </w:r>
      <w:r>
        <w:rPr>
          <w:rFonts w:ascii="Calibri" w:cs="Calibri" w:eastAsia="Calibri" w:hAnsi="Calibri"/>
          <w:b/>
          <w:bCs/>
          <w:color w:val="0F172A"/>
          <w:sz w:val="25"/>
          <w:szCs w:val="25"/>
        </w:rPr>
        <w:t xml:space="preserve">Remuneración y recuperación del subsidio</w:t>
      </w:r>
    </w:p>
    <w:p>
      <w:pPr>
        <w:spacing w:after="140" w:before="0" w:line="276"/>
        <w:jc w:val="left"/>
      </w:pPr>
      <w:r>
        <w:rPr>
          <w:rFonts w:ascii="Calibri" w:cs="Calibri" w:eastAsia="Calibri" w:hAnsi="Calibri"/>
          <w:color w:val="334155"/>
          <w:sz w:val="20"/>
          <w:szCs w:val="20"/>
        </w:rPr>
        <w:t xml:space="preserve">El funcionario con licencia mantiene su remuneración (Estatuto Administrativo art. 111; Ley 21.109 art. 29 para asistentes). El SLEP recupera después el monto equivalente al subsidio (Ley 18.196 art. 12 y Ley 19.117). Si el SLEP no tramita la zona C a tiempo, </w:t>
      </w:r>
      <w:r>
        <w:rPr>
          <w:rFonts w:ascii="Calibri" w:cs="Calibri" w:eastAsia="Calibri" w:hAnsi="Calibri"/>
          <w:b/>
          <w:bCs/>
          <w:color w:val="0F172A"/>
          <w:sz w:val="20"/>
          <w:szCs w:val="20"/>
        </w:rPr>
        <w:t xml:space="preserve">pierde esa recuperación</w:t>
      </w:r>
      <w:r>
        <w:rPr>
          <w:rFonts w:ascii="Calibri" w:cs="Calibri" w:eastAsia="Calibri" w:hAnsi="Calibri"/>
          <w:color w:val="334155"/>
          <w:sz w:val="20"/>
          <w:szCs w:val="20"/>
        </w:rPr>
        <w:t xml:space="preserve">, y el Dictamen E150651N25 confirma que el costo queda en su presupuesto. Esto convierte el cumplimiento del plazo de 3 días hábiles en un </w:t>
      </w:r>
      <w:r>
        <w:rPr>
          <w:rFonts w:ascii="Calibri" w:cs="Calibri" w:eastAsia="Calibri" w:hAnsi="Calibri"/>
          <w:b/>
          <w:bCs/>
          <w:color w:val="0F172A"/>
          <w:sz w:val="20"/>
          <w:szCs w:val="20"/>
        </w:rPr>
        <w:t xml:space="preserve">beneficio económico medible</w:t>
      </w:r>
      <w:r>
        <w:rPr>
          <w:rFonts w:ascii="Calibri" w:cs="Calibri" w:eastAsia="Calibri" w:hAnsi="Calibri"/>
          <w:color w:val="334155"/>
          <w:sz w:val="20"/>
          <w:szCs w:val="20"/>
        </w:rPr>
        <w:t xml:space="preserve"> de la automatización.</w:t>
      </w:r>
    </w:p>
    <w:p>
      <w:pPr>
        <w:pStyle w:val="Heading2"/>
        <w:keepNext/>
        <w:spacing w:after="120" w:before="260"/>
      </w:pPr>
      <w:r>
        <w:rPr>
          <w:rFonts w:ascii="Consolas" w:cs="Consolas" w:eastAsia="Consolas" w:hAnsi="Consolas"/>
          <w:b/>
          <w:bCs/>
          <w:color w:val="0D9488"/>
          <w:sz w:val="22"/>
          <w:szCs w:val="22"/>
        </w:rPr>
        <w:t xml:space="preserve">5.5  </w:t>
      </w:r>
      <w:r>
        <w:rPr>
          <w:rFonts w:ascii="Calibri" w:cs="Calibri" w:eastAsia="Calibri" w:hAnsi="Calibri"/>
          <w:b/>
          <w:bCs/>
          <w:color w:val="0F172A"/>
          <w:sz w:val="25"/>
          <w:szCs w:val="25"/>
        </w:rPr>
        <w:t xml:space="preserve">Las liquidaciones de sueldo</w:t>
      </w:r>
    </w:p>
    <w:p>
      <w:pPr>
        <w:spacing w:after="140" w:before="0" w:line="276"/>
        <w:jc w:val="left"/>
      </w:pPr>
      <w:r>
        <w:rPr>
          <w:rFonts w:ascii="Calibri" w:cs="Calibri" w:eastAsia="Calibri" w:hAnsi="Calibri"/>
          <w:color w:val="334155"/>
          <w:sz w:val="20"/>
          <w:szCs w:val="20"/>
        </w:rPr>
        <w:t xml:space="preserve">La automatización evaluada usa las liquidaciones del mes para completar la zona C. Son </w:t>
      </w:r>
      <w:r>
        <w:rPr>
          <w:rFonts w:ascii="Calibri" w:cs="Calibri" w:eastAsia="Calibri" w:hAnsi="Calibri"/>
          <w:b/>
          <w:bCs/>
          <w:color w:val="0F172A"/>
          <w:sz w:val="20"/>
          <w:szCs w:val="20"/>
        </w:rPr>
        <w:t xml:space="preserve">datos personales</w:t>
      </w:r>
      <w:r>
        <w:rPr>
          <w:rFonts w:ascii="Calibri" w:cs="Calibri" w:eastAsia="Calibri" w:hAnsi="Calibri"/>
          <w:color w:val="334155"/>
          <w:sz w:val="20"/>
          <w:szCs w:val="20"/>
        </w:rPr>
        <w:t xml:space="preserve"> y, bajo la Ley 21.719, la "situación socioeconómica" es una categoría de dato sensible. </w:t>
      </w:r>
      <w:r>
        <w:rPr>
          <w:rFonts w:ascii="Calibri" w:cs="Calibri" w:eastAsia="Calibri" w:hAnsi="Calibri"/>
          <w:b/>
          <w:bCs/>
          <w:color w:val="0F172A"/>
          <w:sz w:val="20"/>
          <w:szCs w:val="20"/>
        </w:rPr>
        <w:t xml:space="preserve">Interpretación:</w:t>
      </w:r>
      <w:r>
        <w:rPr>
          <w:rFonts w:ascii="Calibri" w:cs="Calibri" w:eastAsia="Calibri" w:hAnsi="Calibri"/>
          <w:color w:val="334155"/>
          <w:sz w:val="20"/>
          <w:szCs w:val="20"/>
        </w:rPr>
        <w:t xml:space="preserve"> una liquidación individual detallada debe tratarse con el mismo resguardo que un dato sensible: acceso por rol, cifrado, minimización (solo los haberes que pide la zona C) y retención acotada.</w:t>
      </w:r>
    </w:p>
    <w:p>
      <w:pPr>
        <w:pStyle w:val="Heading2"/>
        <w:keepNext/>
        <w:spacing w:after="120" w:before="260"/>
      </w:pPr>
      <w:r>
        <w:rPr>
          <w:rFonts w:ascii="Consolas" w:cs="Consolas" w:eastAsia="Consolas" w:hAnsi="Consolas"/>
          <w:b/>
          <w:bCs/>
          <w:color w:val="0D9488"/>
          <w:sz w:val="22"/>
          <w:szCs w:val="22"/>
        </w:rPr>
        <w:t xml:space="preserve">5.6  </w:t>
      </w:r>
      <w:r>
        <w:rPr>
          <w:rFonts w:ascii="Calibri" w:cs="Calibri" w:eastAsia="Calibri" w:hAnsi="Calibri"/>
          <w:b/>
          <w:bCs/>
          <w:color w:val="0F172A"/>
          <w:sz w:val="25"/>
          <w:szCs w:val="25"/>
        </w:rPr>
        <w:t xml:space="preserve">Plazos que el sistema debe vigilar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400"/>
        <w:gridCol w:w="2200"/>
        <w:gridCol w:w="33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PLAZO</w:t>
            </w:r>
          </w:p>
        </w:tc>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DESDE</w:t>
            </w:r>
          </w:p>
        </w:tc>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RESPONSABLE</w:t>
            </w:r>
          </w:p>
        </w:tc>
        <w:tc>
          <w:tcPr>
            <w:tcW w:type="dxa" w:w="3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CONSECUENCIA DEL INCUMPLIMIENTO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3 días hábiles</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Inicio del reposo</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Funcionario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Presentación tardía de la licencia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3 días hábiles</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Recepción por el SLEP</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SLEP (empleador)</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Pérdida de la recuperación del subsidio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5 días</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Notificación de un CIC</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SLEP</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Incumplimiento de instrucción de la CGR (SIAD)</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datos</w:t>
      </w:r>
    </w:p>
    <w:p>
      <w:pPr>
        <w:pStyle w:val="Heading1"/>
        <w:keepNext/>
        <w:pBdr>
          <w:bottom w:val="single" w:color="E2E8F0" w:sz="6" w:space="6"/>
        </w:pBdr>
        <w:spacing w:after="160"/>
      </w:pPr>
      <w:r>
        <w:rPr>
          <w:rFonts w:ascii="Calibri" w:cs="Calibri" w:eastAsia="Calibri" w:hAnsi="Calibri"/>
          <w:b/>
          <w:bCs/>
          <w:color w:val="0F172A"/>
          <w:sz w:val="34"/>
          <w:szCs w:val="34"/>
        </w:rPr>
        <w:t xml:space="preserve">Protección de datos personales y de salud</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Las licencias médicas son datos de salud, la categoría más protegida. Una nueva ley entra en vigor en diciembre de 2026.</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Saber qué puede tratar cada aplicación, con qué base legal, qué medidas exige la ley y qué sanción arriesga la institución.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Análisis de la Ley 19.628 vigente, la Ley 21.719 (texto que la reforma), la Ley 20.584 y la Ley 20.285, aplicadas a órganos públicos.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6.1  </w:t>
      </w:r>
      <w:r>
        <w:rPr>
          <w:rFonts w:ascii="Calibri" w:cs="Calibri" w:eastAsia="Calibri" w:hAnsi="Calibri"/>
          <w:b/>
          <w:bCs/>
          <w:color w:val="0F172A"/>
          <w:sz w:val="25"/>
          <w:szCs w:val="25"/>
        </w:rPr>
        <w:t xml:space="preserve">Dos leyes en el mismo año del proyecto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640"/>
        <w:gridCol w:w="4500"/>
      </w:tblGrid>
      <w:tr>
        <w:trPr>
          <w:cantSplit/>
        </w:trPr>
        <w:tc>
          <w:tcPr>
            <w:tcW w:type="dxa" w:w="45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HOY</w:t>
            </w:r>
          </w:p>
          <w:p>
            <w:pPr>
              <w:spacing w:after="20" w:line="240"/>
              <w:jc w:val="left"/>
            </w:pPr>
            <w:r>
              <w:rPr>
                <w:b/>
                <w:bCs/>
                <w:color w:val="0F172A"/>
                <w:sz w:val="17"/>
                <w:szCs w:val="17"/>
              </w:rPr>
              <w:t xml:space="preserve">Ley 19.628 (1999)</w:t>
            </w:r>
          </w:p>
          <w:p>
            <w:pPr>
              <w:spacing w:after="0" w:line="230"/>
              <w:jc w:val="left"/>
            </w:pPr>
            <w:r>
              <w:rPr>
                <w:color w:val="64748B"/>
                <w:sz w:val="14"/>
                <w:szCs w:val="14"/>
              </w:rPr>
              <w:t xml:space="preserve">Rige hasta el 30 de noviembre de 2026. Sin agencia ni multas administrativas; datos sensibles solo con ley, consentimiento o beneficio de salud (art. 10).</w:t>
            </w:r>
          </w:p>
        </w:tc>
        <w:tc>
          <w:tcPr>
            <w:tcW w:type="dxa" w:w="6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5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DESDE 1-DIC-2026</w:t>
            </w:r>
          </w:p>
          <w:p>
            <w:pPr>
              <w:spacing w:after="20" w:line="240"/>
              <w:jc w:val="left"/>
            </w:pPr>
            <w:r>
              <w:rPr>
                <w:b/>
                <w:bCs/>
                <w:color w:val="0F172A"/>
                <w:sz w:val="17"/>
                <w:szCs w:val="17"/>
              </w:rPr>
              <w:t xml:space="preserve">Ley 21.719 (publicada 13-dic-2024)</w:t>
            </w:r>
          </w:p>
          <w:p>
            <w:pPr>
              <w:spacing w:after="0" w:line="230"/>
              <w:jc w:val="left"/>
            </w:pPr>
            <w:r>
              <w:rPr>
                <w:color w:val="64748B"/>
                <w:sz w:val="14"/>
                <w:szCs w:val="14"/>
              </w:rPr>
              <w:t xml:space="preserve">Reforma completa: principios, Agencia de Protección de Datos, deberes de seguridad, reporte de vulneraciones, transferencias internacionales y sanciones.</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Transición normativa que cruza el período de la automatización de licencias.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5300"/>
        <w:gridCol w:w="21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HITO</w:t>
            </w:r>
          </w:p>
        </w:tc>
        <w:tc>
          <w:tcPr>
            <w:tcW w:type="dxa" w:w="5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 LA FECHA DE CORTE</w:t>
            </w:r>
          </w:p>
        </w:tc>
        <w:tc>
          <w:tcPr>
            <w:tcW w:type="dxa" w:w="2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Vigencia</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Art. 1° transitorio: primer día del mes 24 tras la publicación, es decir, </w:t>
            </w:r>
            <w:r>
              <w:rPr>
                <w:rFonts w:ascii="Calibri" w:cs="Calibri" w:eastAsia="Calibri" w:hAnsi="Calibri"/>
                <w:b/>
                <w:bCs/>
                <w:color w:val="0F172A"/>
                <w:sz w:val="17"/>
                <w:szCs w:val="17"/>
              </w:rPr>
              <w:t xml:space="preserve">1 de diciembre de 2026</w:t>
            </w:r>
            <w:r>
              <w:rPr>
                <w:rFonts w:ascii="Calibri" w:cs="Calibri" w:eastAsia="Calibri" w:hAnsi="Calibri"/>
                <w:b w:val="false"/>
                <w:bCs w:val="false"/>
                <w:color w:val="334155"/>
                <w:sz w:val="17"/>
                <w:szCs w:val="17"/>
              </w:rPr>
              <w:t xml:space="preserve">.</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7"/>
                <w:szCs w:val="17"/>
              </w:rPr>
              <w:t xml:space="preserve">Por entrar en vigor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Postergación</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Boletín 18.623-07 (ingreso 1-sep-2026, urgencia suma): propone trasladar la vigencia al </w:t>
            </w:r>
            <w:r>
              <w:rPr>
                <w:rFonts w:ascii="Calibri" w:cs="Calibri" w:eastAsia="Calibri" w:hAnsi="Calibri"/>
                <w:b/>
                <w:bCs/>
                <w:color w:val="0F172A"/>
                <w:sz w:val="17"/>
                <w:szCs w:val="17"/>
              </w:rPr>
              <w:t xml:space="preserve">1 de diciembre de 2027</w:t>
            </w:r>
            <w:r>
              <w:rPr>
                <w:rFonts w:ascii="Calibri" w:cs="Calibri" w:eastAsia="Calibri" w:hAnsi="Calibri"/>
                <w:b w:val="false"/>
                <w:bCs w:val="false"/>
                <w:color w:val="334155"/>
                <w:sz w:val="17"/>
                <w:szCs w:val="17"/>
              </w:rPr>
              <w:t xml:space="preserve">. Sigue en primer trámite.</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En trámite</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Agencia de Protección de Datos</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Senado rechazó la propuesta de consejeros (mayo de 2026). No existen aún cláusulas modelo, lista de países adecuados ni guías de evaluación de impacto.</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Por confirmar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Reglamentos</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Debían dictarse en 6 meses desde la publicación; no se encontró ninguno publicado.</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Por confirmar</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CRITERIO ADOPTADO</w:t>
            </w:r>
          </w:p>
          <w:p>
            <w:pPr>
              <w:spacing w:after="50" w:line="260"/>
            </w:pPr>
            <w:r>
              <w:rPr>
                <w:color w:val="334155"/>
                <w:sz w:val="19"/>
                <w:szCs w:val="19"/>
              </w:rPr>
              <w:t xml:space="preserve">El proyecto se diseña para cumplir la Ley 21.719 desde el </w:t>
            </w:r>
            <w:r>
              <w:rPr>
                <w:b/>
                <w:bCs/>
                <w:color w:val="0F172A"/>
                <w:sz w:val="19"/>
                <w:szCs w:val="19"/>
              </w:rPr>
              <w:t xml:space="preserve">1 de diciembre de 2026</w:t>
            </w:r>
            <w:r>
              <w:rPr>
                <w:color w:val="334155"/>
                <w:sz w:val="19"/>
                <w:szCs w:val="19"/>
              </w:rPr>
              <w:t xml:space="preserve">. Si la postergación se aprueba, el sistema ya estará preparado; si no, no habrá incumplimiento.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6.2  </w:t>
      </w:r>
      <w:r>
        <w:rPr>
          <w:rFonts w:ascii="Calibri" w:cs="Calibri" w:eastAsia="Calibri" w:hAnsi="Calibri"/>
          <w:b/>
          <w:bCs/>
          <w:color w:val="0F172A"/>
          <w:sz w:val="25"/>
          <w:szCs w:val="25"/>
        </w:rPr>
        <w:t xml:space="preserve">Conceptos que determinan el alcance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4100"/>
        <w:gridCol w:w="34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CONCEPTO</w:t>
            </w:r>
          </w:p>
        </w:tc>
        <w:tc>
          <w:tcPr>
            <w:tcW w:type="dxa" w:w="4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DEFINICIÓN LEGAL</w:t>
            </w:r>
          </w:p>
        </w:tc>
        <w:tc>
          <w:tcPr>
            <w:tcW w:type="dxa" w:w="3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APLICACIÓN AL PROYECTO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 personal</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Información vinculada a una persona natural identificada o identificable (art. 2 f).</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Cuentas de usuario, bitácoras, licencias, liquidaciones.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 sensible</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Incluye datos de salud, perfil biológico, biométricos y </w:t>
            </w:r>
            <w:r>
              <w:rPr>
                <w:rFonts w:ascii="Calibri" w:cs="Calibri" w:eastAsia="Calibri" w:hAnsi="Calibri"/>
                <w:b/>
                <w:bCs/>
                <w:color w:val="0F172A"/>
                <w:sz w:val="17"/>
                <w:szCs w:val="17"/>
              </w:rPr>
              <w:t xml:space="preserve">situación socioeconómica</w:t>
            </w:r>
            <w:r>
              <w:rPr>
                <w:rFonts w:ascii="Calibri" w:cs="Calibri" w:eastAsia="Calibri" w:hAnsi="Calibri"/>
                <w:b w:val="false"/>
                <w:bCs w:val="false"/>
                <w:color w:val="334155"/>
                <w:sz w:val="17"/>
                <w:szCs w:val="17"/>
              </w:rPr>
              <w:t xml:space="preserve"> (art. 2 g).</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Licencias médicas; liquidaciones detalladas (interpretación).</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Anonimización</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Procedimiento irreversible; "un dato anonimizado </w:t>
            </w:r>
            <w:r>
              <w:rPr>
                <w:rFonts w:ascii="Calibri" w:cs="Calibri" w:eastAsia="Calibri" w:hAnsi="Calibri"/>
                <w:b/>
                <w:bCs/>
                <w:color w:val="0F172A"/>
                <w:sz w:val="17"/>
                <w:szCs w:val="17"/>
              </w:rPr>
              <w:t xml:space="preserve">deja de ser un dato personal</w:t>
            </w:r>
            <w:r>
              <w:rPr>
                <w:rFonts w:ascii="Calibri" w:cs="Calibri" w:eastAsia="Calibri" w:hAnsi="Calibri"/>
                <w:b w:val="false"/>
                <w:bCs w:val="false"/>
                <w:color w:val="334155"/>
                <w:sz w:val="17"/>
                <w:szCs w:val="17"/>
              </w:rPr>
              <w:t xml:space="preserve">" (art. 2 k).</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Las cifras agregadas del Validador, si no permiten identificar a nadie.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Seudonimización</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dato no se atribuye sin información adicional guardada aparte; </w:t>
            </w:r>
            <w:r>
              <w:rPr>
                <w:rFonts w:ascii="Calibri" w:cs="Calibri" w:eastAsia="Calibri" w:hAnsi="Calibri"/>
                <w:b/>
                <w:bCs/>
                <w:color w:val="0F172A"/>
                <w:sz w:val="17"/>
                <w:szCs w:val="17"/>
              </w:rPr>
              <w:t xml:space="preserve">sigue siendo dato personal</w:t>
            </w:r>
            <w:r>
              <w:rPr>
                <w:rFonts w:ascii="Calibri" w:cs="Calibri" w:eastAsia="Calibri" w:hAnsi="Calibri"/>
                <w:b w:val="false"/>
                <w:bCs w:val="false"/>
                <w:color w:val="334155"/>
                <w:sz w:val="17"/>
                <w:szCs w:val="17"/>
              </w:rPr>
              <w:t xml:space="preserve"> (art. 2 l).</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Un RUT reemplazado por un código interno sigue protegido.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Elaboración de perfiles</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Tratamiento automatizado para evaluar o predecir aspectos como rendimiento, salud o situación económica (art. 2 w).</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Clasificación de licencias con IA (LAYA).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Encargado (tercero mandatario)</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Quien trata datos por cuenta del responsable (art. 2 x).</w:t>
            </w:r>
          </w:p>
        </w:tc>
        <w:tc>
          <w:tcPr>
            <w:tcW w:type="dxa" w:w="3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Proveedor de nube; un SLEP que procesa datos de otros.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6.3  </w:t>
      </w:r>
      <w:r>
        <w:rPr>
          <w:rFonts w:ascii="Calibri" w:cs="Calibri" w:eastAsia="Calibri" w:hAnsi="Calibri"/>
          <w:b/>
          <w:bCs/>
          <w:color w:val="0F172A"/>
          <w:sz w:val="25"/>
          <w:szCs w:val="25"/>
        </w:rPr>
        <w:t xml:space="preserve">Base de licitud para un órgano público</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art. 20</w:t>
      </w:r>
      <w:r>
        <w:rPr>
          <w:rFonts w:ascii="Calibri" w:cs="Calibri" w:eastAsia="Calibri" w:hAnsi="Calibri"/>
          <w:color w:val="334155"/>
          <w:sz w:val="20"/>
          <w:szCs w:val="20"/>
        </w:rPr>
        <w:t xml:space="preserve"> de la ley reformada dispone que es lícito el tratamiento que efectúan los órganos públicos "para el cumplimiento de sus funciones legales, dentro del ámbito de sus competencias". No necesitan consentimiento, pero sí una </w:t>
      </w:r>
      <w:r>
        <w:rPr>
          <w:rFonts w:ascii="Calibri" w:cs="Calibri" w:eastAsia="Calibri" w:hAnsi="Calibri"/>
          <w:b/>
          <w:bCs/>
          <w:color w:val="0F172A"/>
          <w:sz w:val="20"/>
          <w:szCs w:val="20"/>
        </w:rPr>
        <w:t xml:space="preserve">función legal que lo respalde</w:t>
      </w:r>
      <w:r>
        <w:rPr>
          <w:rFonts w:ascii="Calibri" w:cs="Calibri" w:eastAsia="Calibri" w:hAnsi="Calibri"/>
          <w:color w:val="334155"/>
          <w:sz w:val="20"/>
          <w:szCs w:val="20"/>
        </w:rPr>
        <w:t xml:space="preserve">. Para los datos de salud, el </w:t>
      </w:r>
      <w:r>
        <w:rPr>
          <w:rFonts w:ascii="Calibri" w:cs="Calibri" w:eastAsia="Calibri" w:hAnsi="Calibri"/>
          <w:b/>
          <w:bCs/>
          <w:color w:val="0F172A"/>
          <w:sz w:val="20"/>
          <w:szCs w:val="20"/>
        </w:rPr>
        <w:t xml:space="preserve">art. 16 bis</w:t>
      </w:r>
      <w:r>
        <w:rPr>
          <w:rFonts w:ascii="Calibri" w:cs="Calibri" w:eastAsia="Calibri" w:hAnsi="Calibri"/>
          <w:color w:val="334155"/>
          <w:sz w:val="20"/>
          <w:szCs w:val="20"/>
        </w:rPr>
        <w:t xml:space="preserve"> es más estricto: prohíbe tratar datos de salud recolectados en el </w:t>
      </w:r>
      <w:r>
        <w:rPr>
          <w:rFonts w:ascii="Calibri" w:cs="Calibri" w:eastAsia="Calibri" w:hAnsi="Calibri"/>
          <w:b/>
          <w:bCs/>
          <w:color w:val="0F172A"/>
          <w:sz w:val="20"/>
          <w:szCs w:val="20"/>
        </w:rPr>
        <w:t xml:space="preserve">ámbito laboral</w:t>
      </w:r>
      <w:r>
        <w:rPr>
          <w:rFonts w:ascii="Calibri" w:cs="Calibri" w:eastAsia="Calibri" w:hAnsi="Calibri"/>
          <w:color w:val="334155"/>
          <w:sz w:val="20"/>
          <w:szCs w:val="20"/>
        </w:rPr>
        <w:t xml:space="preserve">, salvo que la ley lo autorice expresamente en casos calificados (por ejemplo, la evaluación de la capacidad laboral o la gestión de sistemas de asistencia social, letra 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INTERPRETACIÓN</w:t>
            </w:r>
          </w:p>
          <w:p>
            <w:pPr>
              <w:spacing w:after="50" w:line="260"/>
            </w:pPr>
            <w:r>
              <w:rPr>
                <w:color w:val="334155"/>
                <w:sz w:val="19"/>
                <w:szCs w:val="19"/>
              </w:rPr>
              <w:t xml:space="preserve">La tramitación de la licencia por el empleador está ordenada por ley (DS 3/1984 dictado conforme al DFL 1/2005 de Salud; Estatuto Administrativo; Ley 21.109). Esa es la base para tratar fechas, tipo de licencia y remuneraciones. </w:t>
            </w:r>
            <w:r>
              <w:rPr>
                <w:b/>
                <w:bCs/>
                <w:color w:val="0F172A"/>
                <w:sz w:val="19"/>
                <w:szCs w:val="19"/>
              </w:rPr>
              <w:t xml:space="preserve">No existe base</w:t>
            </w:r>
            <w:r>
              <w:rPr>
                <w:color w:val="334155"/>
                <w:sz w:val="19"/>
                <w:szCs w:val="19"/>
              </w:rPr>
              <w:t xml:space="preserve"> para que el empleador trate el diagnóstico.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6.4  </w:t>
      </w:r>
      <w:r>
        <w:rPr>
          <w:rFonts w:ascii="Calibri" w:cs="Calibri" w:eastAsia="Calibri" w:hAnsi="Calibri"/>
          <w:b/>
          <w:bCs/>
          <w:color w:val="0F172A"/>
          <w:sz w:val="25"/>
          <w:szCs w:val="25"/>
        </w:rPr>
        <w:t xml:space="preserve">Qué artículos se aplican al sector público</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art. 21</w:t>
      </w:r>
      <w:r>
        <w:rPr>
          <w:rFonts w:ascii="Calibri" w:cs="Calibri" w:eastAsia="Calibri" w:hAnsi="Calibri"/>
          <w:color w:val="334155"/>
          <w:sz w:val="20"/>
          <w:szCs w:val="20"/>
        </w:rPr>
        <w:t xml:space="preserve"> enumera las normas aplicables a los órganos públicos: definiciones (art. 2), deberes de secreto, información, </w:t>
      </w:r>
      <w:r>
        <w:rPr>
          <w:rFonts w:ascii="Calibri" w:cs="Calibri" w:eastAsia="Calibri" w:hAnsi="Calibri"/>
          <w:b/>
          <w:bCs/>
          <w:color w:val="0F172A"/>
          <w:sz w:val="20"/>
          <w:szCs w:val="20"/>
        </w:rPr>
        <w:t xml:space="preserve">protección desde el diseño</w:t>
      </w:r>
      <w:r>
        <w:rPr>
          <w:rFonts w:ascii="Calibri" w:cs="Calibri" w:eastAsia="Calibri" w:hAnsi="Calibri"/>
          <w:color w:val="334155"/>
          <w:sz w:val="20"/>
          <w:szCs w:val="20"/>
        </w:rPr>
        <w:t xml:space="preserve"> (14 quáter), </w:t>
      </w:r>
      <w:r>
        <w:rPr>
          <w:rFonts w:ascii="Calibri" w:cs="Calibri" w:eastAsia="Calibri" w:hAnsi="Calibri"/>
          <w:b/>
          <w:bCs/>
          <w:color w:val="0F172A"/>
          <w:sz w:val="20"/>
          <w:szCs w:val="20"/>
        </w:rPr>
        <w:t xml:space="preserve">seguridad</w:t>
      </w:r>
      <w:r>
        <w:rPr>
          <w:rFonts w:ascii="Calibri" w:cs="Calibri" w:eastAsia="Calibri" w:hAnsi="Calibri"/>
          <w:color w:val="334155"/>
          <w:sz w:val="20"/>
          <w:szCs w:val="20"/>
        </w:rPr>
        <w:t xml:space="preserve"> (14 quinquies), </w:t>
      </w:r>
      <w:r>
        <w:rPr>
          <w:rFonts w:ascii="Calibri" w:cs="Calibri" w:eastAsia="Calibri" w:hAnsi="Calibri"/>
          <w:b/>
          <w:bCs/>
          <w:color w:val="0F172A"/>
          <w:sz w:val="20"/>
          <w:szCs w:val="20"/>
        </w:rPr>
        <w:t xml:space="preserve">reporte de vulneraciones</w:t>
      </w:r>
      <w:r>
        <w:rPr>
          <w:rFonts w:ascii="Calibri" w:cs="Calibri" w:eastAsia="Calibri" w:hAnsi="Calibri"/>
          <w:color w:val="334155"/>
          <w:sz w:val="20"/>
          <w:szCs w:val="20"/>
        </w:rPr>
        <w:t xml:space="preserve"> (14 sexies), encargados (15 bis), los párrafos de datos sensibles y de salud, la </w:t>
      </w:r>
      <w:r>
        <w:rPr>
          <w:rFonts w:ascii="Calibri" w:cs="Calibri" w:eastAsia="Calibri" w:hAnsi="Calibri"/>
          <w:b/>
          <w:bCs/>
          <w:color w:val="0F172A"/>
          <w:sz w:val="20"/>
          <w:szCs w:val="20"/>
        </w:rPr>
        <w:t xml:space="preserve">transferencia internacional</w:t>
      </w:r>
      <w:r>
        <w:rPr>
          <w:rFonts w:ascii="Calibri" w:cs="Calibri" w:eastAsia="Calibri" w:hAnsi="Calibri"/>
          <w:color w:val="334155"/>
          <w:sz w:val="20"/>
          <w:szCs w:val="20"/>
        </w:rPr>
        <w:t xml:space="preserve"> (Título V) y el régimen de </w:t>
      </w:r>
      <w:r>
        <w:rPr>
          <w:rFonts w:ascii="Calibri" w:cs="Calibri" w:eastAsia="Calibri" w:hAnsi="Calibri"/>
          <w:b/>
          <w:bCs/>
          <w:color w:val="0F172A"/>
          <w:sz w:val="20"/>
          <w:szCs w:val="20"/>
        </w:rPr>
        <w:t xml:space="preserve">infracciones</w:t>
      </w:r>
      <w:r>
        <w:rPr>
          <w:rFonts w:ascii="Calibri" w:cs="Calibri" w:eastAsia="Calibri" w:hAnsi="Calibri"/>
          <w:color w:val="334155"/>
          <w:sz w:val="20"/>
          <w:szCs w:val="20"/>
        </w:rPr>
        <w:t xml:space="preserve"> (Título VII).</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100"/>
        <w:gridCol w:w="3800"/>
        <w:gridCol w:w="29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DEBER</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ARTÍCULO</w:t>
            </w:r>
          </w:p>
        </w:tc>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EXIGENCIA</w:t>
            </w:r>
          </w:p>
        </w:tc>
        <w:tc>
          <w:tcPr>
            <w:tcW w:type="dxa" w:w="29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APLICACIÓN</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Protección desde el diseño</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14 quáter</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Incorporar la privacidad desde la arquitectura y por defecto.</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Minimización en cada módulo; segmentación por SLEP.</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Seguridad</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14 quinquies</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Medidas según el estado de la técnica, costos, naturaleza y riesgos: seudonimización, cifrado, resiliencia, evaluación periódica. La carga de la prueba recae en el responsable.</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Cifrado en tránsito y reposo; registros; pruebas de seguridad documentadas.</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Reporte de vulneraciones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14 sexies</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Informar a la Agencia "sin dilaciones indebidas"; con datos sensibles, notificar además a cada afectado.</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Protocolo de incidentes (coordinar con el plazo de 3 horas de la Ley 21.663).</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Encargados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15 bis</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Contrato con objeto, finalidad, datos, duración; subencargo solo con autorización escrita; devolución o supresión al terminar.</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Contrato con el proveedor de nube y convenios entre SLEP.</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Comunicación de datos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22</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Entre órganos públicos, cuando sea necesaria para sus funciones; convenios publicados.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Flujos DEP–SLEP y SLEP–SLEP.</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Derechos del titular</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23</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Acceso, rectificación y oposición ante el órgano; el órgano puede negarse si entorpece funciones fiscalizadoras o sancionatorias.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Canal de solicitudes de funcionarios.</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Datos disciplinarios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25</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Datos de infracciones administrativas solo con ley expresa y no comunicables una vez prescritos.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Refuerza que el Validador solo trate cifras.</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Decisiones automatizadas y evaluación de impacto</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art. 8 bis</w:t>
      </w:r>
      <w:r>
        <w:rPr>
          <w:rFonts w:ascii="Calibri" w:cs="Calibri" w:eastAsia="Calibri" w:hAnsi="Calibri"/>
          <w:color w:val="334155"/>
          <w:sz w:val="20"/>
          <w:szCs w:val="20"/>
        </w:rPr>
        <w:t xml:space="preserve"> reconoce el derecho a no ser objeto de decisiones basadas en tratamiento automatizado que produzcan efectos jurídicos o afecten significativamente, y a obtener explicación e </w:t>
      </w:r>
      <w:r>
        <w:rPr>
          <w:rFonts w:ascii="Calibri" w:cs="Calibri" w:eastAsia="Calibri" w:hAnsi="Calibri"/>
          <w:b/>
          <w:bCs/>
          <w:color w:val="0F172A"/>
          <w:sz w:val="20"/>
          <w:szCs w:val="20"/>
        </w:rPr>
        <w:t xml:space="preserve">intervención humana</w:t>
      </w:r>
      <w:r>
        <w:rPr>
          <w:rFonts w:ascii="Calibri" w:cs="Calibri" w:eastAsia="Calibri" w:hAnsi="Calibri"/>
          <w:color w:val="334155"/>
          <w:sz w:val="20"/>
          <w:szCs w:val="20"/>
        </w:rPr>
        <w:t xml:space="preserve">. El </w:t>
      </w:r>
      <w:r>
        <w:rPr>
          <w:rFonts w:ascii="Calibri" w:cs="Calibri" w:eastAsia="Calibri" w:hAnsi="Calibri"/>
          <w:b/>
          <w:bCs/>
          <w:color w:val="0F172A"/>
          <w:sz w:val="20"/>
          <w:szCs w:val="20"/>
        </w:rPr>
        <w:t xml:space="preserve">art. 15 ter</w:t>
      </w:r>
      <w:r>
        <w:rPr>
          <w:rFonts w:ascii="Calibri" w:cs="Calibri" w:eastAsia="Calibri" w:hAnsi="Calibri"/>
          <w:color w:val="334155"/>
          <w:sz w:val="20"/>
          <w:szCs w:val="20"/>
        </w:rPr>
        <w:t xml:space="preserve"> exige una </w:t>
      </w:r>
      <w:r>
        <w:rPr>
          <w:rFonts w:ascii="Calibri" w:cs="Calibri" w:eastAsia="Calibri" w:hAnsi="Calibri"/>
          <w:b/>
          <w:bCs/>
          <w:color w:val="0F172A"/>
          <w:sz w:val="20"/>
          <w:szCs w:val="20"/>
        </w:rPr>
        <w:t xml:space="preserve">evaluación de impacto</w:t>
      </w:r>
      <w:r>
        <w:rPr>
          <w:rFonts w:ascii="Calibri" w:cs="Calibri" w:eastAsia="Calibri" w:hAnsi="Calibri"/>
          <w:color w:val="334155"/>
          <w:sz w:val="20"/>
          <w:szCs w:val="20"/>
        </w:rPr>
        <w:t xml:space="preserve"> previa cuando hay decisiones automatizadas, tratamiento masivo o datos sensibles. El art. 21 no menciona expresamente estos dos artículos para el sector público, lo que admite una lectura restrictiva; sin embargo, el art. 23 reconoce la oposición y los principios del art. 3 siguen aplicando.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Tratar cualquier clasificación con IA (LAYA o IA local) como </w:t>
            </w:r>
            <w:r>
              <w:rPr>
                <w:b/>
                <w:bCs/>
                <w:color w:val="0F172A"/>
                <w:sz w:val="19"/>
                <w:szCs w:val="19"/>
              </w:rPr>
              <w:t xml:space="preserve">apoyo a la decisión</w:t>
            </w:r>
            <w:r>
              <w:rPr>
                <w:color w:val="334155"/>
                <w:sz w:val="19"/>
                <w:szCs w:val="19"/>
              </w:rPr>
              <w:t xml:space="preserve"> con intervención humana obligatoria, y hacer una </w:t>
            </w:r>
            <w:r>
              <w:rPr>
                <w:b/>
                <w:bCs/>
                <w:color w:val="0F172A"/>
                <w:sz w:val="19"/>
                <w:szCs w:val="19"/>
              </w:rPr>
              <w:t xml:space="preserve">evaluación de impacto voluntaria</w:t>
            </w:r>
            <w:r>
              <w:rPr>
                <w:color w:val="334155"/>
                <w:sz w:val="19"/>
                <w:szCs w:val="19"/>
              </w:rPr>
              <w:t xml:space="preserve"> antes del piloto de licencias. Es el estándar más seguro mientras no existan guías de la Agencia.</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6.5  </w:t>
      </w:r>
      <w:r>
        <w:rPr>
          <w:rFonts w:ascii="Calibri" w:cs="Calibri" w:eastAsia="Calibri" w:hAnsi="Calibri"/>
          <w:b/>
          <w:bCs/>
          <w:color w:val="0F172A"/>
          <w:sz w:val="25"/>
          <w:szCs w:val="25"/>
        </w:rPr>
        <w:t xml:space="preserve">Sanciones: el régimen del sector público</w:t>
      </w:r>
    </w:p>
    <w:p>
      <w:pPr>
        <w:spacing w:after="140" w:before="0" w:line="276"/>
        <w:jc w:val="left"/>
      </w:pPr>
      <w:r>
        <w:rPr>
          <w:rFonts w:ascii="Calibri" w:cs="Calibri" w:eastAsia="Calibri" w:hAnsi="Calibri"/>
          <w:color w:val="334155"/>
          <w:sz w:val="20"/>
          <w:szCs w:val="20"/>
        </w:rPr>
        <w:t xml:space="preserve">Es frecuente citar sanciones "de hasta 1.400 millones de pesos" (20.000 UTM). Esa cifra corresponde al </w:t>
      </w:r>
      <w:r>
        <w:rPr>
          <w:rFonts w:ascii="Calibri" w:cs="Calibri" w:eastAsia="Calibri" w:hAnsi="Calibri"/>
          <w:b/>
          <w:bCs/>
          <w:color w:val="0F172A"/>
          <w:sz w:val="20"/>
          <w:szCs w:val="20"/>
        </w:rPr>
        <w:t xml:space="preserve">régimen de los privados</w:t>
      </w:r>
      <w:r>
        <w:rPr>
          <w:rFonts w:ascii="Calibri" w:cs="Calibri" w:eastAsia="Calibri" w:hAnsi="Calibri"/>
          <w:color w:val="334155"/>
          <w:sz w:val="20"/>
          <w:szCs w:val="20"/>
        </w:rPr>
        <w:t xml:space="preserve">. Para órganos públicos la ley establece un régimen distinto, centrado en el jefe superior del servicio: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300"/>
        <w:gridCol w:w="46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PRIVADOS (ART. 35)</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ÓRGANOS PÚBLICOS (ARTS. 44–46)</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Quién responde</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entidad</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w:t>
            </w:r>
            <w:r>
              <w:rPr>
                <w:rFonts w:ascii="Calibri" w:cs="Calibri" w:eastAsia="Calibri" w:hAnsi="Calibri"/>
                <w:b/>
                <w:bCs/>
                <w:color w:val="0F172A"/>
                <w:sz w:val="17"/>
                <w:szCs w:val="17"/>
              </w:rPr>
              <w:t xml:space="preserve">jefe superior del órgano</w:t>
            </w:r>
            <w:r>
              <w:rPr>
                <w:rFonts w:ascii="Calibri" w:cs="Calibri" w:eastAsia="Calibri" w:hAnsi="Calibri"/>
                <w:b w:val="false"/>
                <w:bCs w:val="false"/>
                <w:color w:val="334155"/>
                <w:sz w:val="17"/>
                <w:szCs w:val="17"/>
              </w:rPr>
              <w:t xml:space="preserve"> (Director Ejecutivo de cada SLEP; Director/a de Educación Pública en la DEP)</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Multa general</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Leve hasta 5.000 UTM; grave hasta 10.000 UTM; gravísima hasta 20.000 UTM</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20% a 50% de la remuneración mensual</w:t>
            </w:r>
            <w:r>
              <w:rPr>
                <w:rFonts w:ascii="Calibri" w:cs="Calibri" w:eastAsia="Calibri" w:hAnsi="Calibri"/>
                <w:b w:val="false"/>
                <w:bCs w:val="false"/>
                <w:color w:val="334155"/>
                <w:sz w:val="17"/>
                <w:szCs w:val="17"/>
              </w:rPr>
              <w:t xml:space="preserve"> del jefe superior</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Datos sensibles</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Multa del 50% y </w:t>
            </w:r>
            <w:r>
              <w:rPr>
                <w:rFonts w:ascii="Calibri" w:cs="Calibri" w:eastAsia="Calibri" w:hAnsi="Calibri"/>
                <w:b/>
                <w:bCs/>
                <w:color w:val="0F172A"/>
                <w:sz w:val="17"/>
                <w:szCs w:val="17"/>
              </w:rPr>
              <w:t xml:space="preserve">suspensión de hasta 30 días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Reincidencia</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Hasta el triple; % de ingresos anuales en empresas grandes</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doble de la sanción y suspensión de 5 días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Procedimiento</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Ante la Agencia, con reclamo judicial</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Agencia determina la infracción y la </w:t>
            </w:r>
            <w:r>
              <w:rPr>
                <w:rFonts w:ascii="Calibri" w:cs="Calibri" w:eastAsia="Calibri" w:hAnsi="Calibri"/>
                <w:b/>
                <w:bCs/>
                <w:color w:val="0F172A"/>
                <w:sz w:val="17"/>
                <w:szCs w:val="17"/>
              </w:rPr>
              <w:t xml:space="preserve">CGR instruye sumario</w:t>
            </w:r>
            <w:r>
              <w:rPr>
                <w:rFonts w:ascii="Calibri" w:cs="Calibri" w:eastAsia="Calibri" w:hAnsi="Calibri"/>
                <w:b w:val="false"/>
                <w:bCs w:val="false"/>
                <w:color w:val="334155"/>
                <w:sz w:val="17"/>
                <w:szCs w:val="17"/>
              </w:rPr>
              <w:t xml:space="preserve">; las gravísimas son falta grave a la probidad</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Publicidad</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Registro Nacional de Sanciones</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Publicación en sitios de la Agencia y del órgano en 5 días hábiles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6.6  </w:t>
      </w:r>
      <w:r>
        <w:rPr>
          <w:rFonts w:ascii="Calibri" w:cs="Calibri" w:eastAsia="Calibri" w:hAnsi="Calibri"/>
          <w:b/>
          <w:bCs/>
          <w:color w:val="0F172A"/>
          <w:sz w:val="25"/>
          <w:szCs w:val="25"/>
        </w:rPr>
        <w:t xml:space="preserve">Ley 20.584: la ficha clínica</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20.584</w:t>
      </w:r>
      <w:r>
        <w:rPr>
          <w:rFonts w:ascii="Calibri" w:cs="Calibri" w:eastAsia="Calibri" w:hAnsi="Calibri"/>
          <w:color w:val="334155"/>
          <w:sz w:val="20"/>
          <w:szCs w:val="20"/>
        </w:rPr>
        <w:t xml:space="preserve"> de derechos y deberes de los pacientes declara dato sensible toda la información de la ficha clínica (art. 12) y restringe su acceso a una lista de terceros (art. 13) en la que </w:t>
      </w:r>
      <w:r>
        <w:rPr>
          <w:rFonts w:ascii="Calibri" w:cs="Calibri" w:eastAsia="Calibri" w:hAnsi="Calibri"/>
          <w:b/>
          <w:bCs/>
          <w:color w:val="0F172A"/>
          <w:sz w:val="20"/>
          <w:szCs w:val="20"/>
        </w:rPr>
        <w:t xml:space="preserve">el empleador no figura</w:t>
      </w:r>
      <w:r>
        <w:rPr>
          <w:rFonts w:ascii="Calibri" w:cs="Calibri" w:eastAsia="Calibri" w:hAnsi="Calibri"/>
          <w:color w:val="334155"/>
          <w:sz w:val="20"/>
          <w:szCs w:val="20"/>
        </w:rPr>
        <w:t xml:space="preserve">. El sistema nunca debe solicitar antecedentes clínicos que respalden una licencia.</w:t>
      </w:r>
    </w:p>
    <w:p>
      <w:pPr>
        <w:pStyle w:val="Heading2"/>
        <w:keepNext/>
        <w:spacing w:after="120" w:before="260"/>
      </w:pPr>
      <w:r>
        <w:rPr>
          <w:rFonts w:ascii="Consolas" w:cs="Consolas" w:eastAsia="Consolas" w:hAnsi="Consolas"/>
          <w:b/>
          <w:bCs/>
          <w:color w:val="0D9488"/>
          <w:sz w:val="22"/>
          <w:szCs w:val="22"/>
        </w:rPr>
        <w:t xml:space="preserve">6.7  </w:t>
      </w:r>
      <w:r>
        <w:rPr>
          <w:rFonts w:ascii="Calibri" w:cs="Calibri" w:eastAsia="Calibri" w:hAnsi="Calibri"/>
          <w:b/>
          <w:bCs/>
          <w:color w:val="0F172A"/>
          <w:sz w:val="25"/>
          <w:szCs w:val="25"/>
        </w:rPr>
        <w:t xml:space="preserve">Ley 20.285: transparencia y datos</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20.285</w:t>
      </w:r>
      <w:r>
        <w:rPr>
          <w:rFonts w:ascii="Calibri" w:cs="Calibri" w:eastAsia="Calibri" w:hAnsi="Calibri"/>
          <w:color w:val="334155"/>
          <w:sz w:val="20"/>
          <w:szCs w:val="20"/>
        </w:rPr>
        <w:t xml:space="preserve"> permite reservar información cuya publicidad afecte derechos de las personas, en especial su salud o vida privada (art. 21 N° 2), y faculta al Consejo para la Transparencia a velar por el cumplimiento de la Ley 19.628 en la Administración (art. 33 m). Las </w:t>
      </w:r>
      <w:r>
        <w:rPr>
          <w:rFonts w:ascii="Calibri" w:cs="Calibri" w:eastAsia="Calibri" w:hAnsi="Calibri"/>
          <w:b/>
          <w:bCs/>
          <w:color w:val="0F172A"/>
          <w:sz w:val="20"/>
          <w:szCs w:val="20"/>
        </w:rPr>
        <w:t xml:space="preserve">cifras agregadas</w:t>
      </w:r>
      <w:r>
        <w:rPr>
          <w:rFonts w:ascii="Calibri" w:cs="Calibri" w:eastAsia="Calibri" w:hAnsi="Calibri"/>
          <w:color w:val="334155"/>
          <w:sz w:val="20"/>
          <w:szCs w:val="20"/>
        </w:rPr>
        <w:t xml:space="preserve"> de sumarios normalmente son entregables ante una solicitud de acceso; los sumarios en curso, no (art. 137 del Estatuto Administrativo).</w:t>
      </w:r>
    </w:p>
    <w:p>
      <w:pPr>
        <w:pStyle w:val="Heading2"/>
        <w:keepNext/>
        <w:spacing w:after="120" w:before="260"/>
      </w:pPr>
      <w:r>
        <w:rPr>
          <w:rFonts w:ascii="Consolas" w:cs="Consolas" w:eastAsia="Consolas" w:hAnsi="Consolas"/>
          <w:b/>
          <w:bCs/>
          <w:color w:val="0D9488"/>
          <w:sz w:val="22"/>
          <w:szCs w:val="22"/>
        </w:rPr>
        <w:t xml:space="preserve">6.8  </w:t>
      </w:r>
      <w:r>
        <w:rPr>
          <w:rFonts w:ascii="Calibri" w:cs="Calibri" w:eastAsia="Calibri" w:hAnsi="Calibri"/>
          <w:b/>
          <w:bCs/>
          <w:color w:val="0F172A"/>
          <w:sz w:val="25"/>
          <w:szCs w:val="25"/>
        </w:rPr>
        <w:t xml:space="preserve">Cifras agregadas y riesgo de reidentificación</w:t>
      </w:r>
    </w:p>
    <w:p>
      <w:pPr>
        <w:pStyle w:val="ListParagraph"/>
        <w:numPr>
          <w:ilvl w:val="0"/>
          <w:numId w:val="2"/>
        </w:numPr>
        <w:spacing w:after="70" w:line="264"/>
      </w:pPr>
      <w:r>
        <w:rPr>
          <w:color w:val="334155"/>
          <w:sz w:val="20"/>
          <w:szCs w:val="20"/>
        </w:rPr>
        <w:t xml:space="preserve">Las cifras del Validador </w:t>
      </w:r>
      <w:r>
        <w:rPr>
          <w:b/>
          <w:bCs/>
          <w:color w:val="0F172A"/>
          <w:sz w:val="20"/>
          <w:szCs w:val="20"/>
        </w:rPr>
        <w:t xml:space="preserve">no son datos personales</w:t>
      </w:r>
      <w:r>
        <w:rPr>
          <w:color w:val="334155"/>
          <w:sz w:val="20"/>
          <w:szCs w:val="20"/>
        </w:rPr>
        <w:t xml:space="preserve"> si de verdad no permiten identificar a nadie (art. 2 k). Sí lo son las cuentas, bitácoras y la identidad de quien reporta.</w:t>
      </w:r>
    </w:p>
    <w:p>
      <w:pPr>
        <w:pStyle w:val="ListParagraph"/>
        <w:numPr>
          <w:ilvl w:val="0"/>
          <w:numId w:val="2"/>
        </w:numPr>
        <w:spacing w:after="70" w:line="264"/>
      </w:pPr>
      <w:r>
        <w:rPr>
          <w:color w:val="334155"/>
          <w:sz w:val="20"/>
          <w:szCs w:val="20"/>
        </w:rPr>
        <w:t xml:space="preserve">En SLEP pequeños, una celda como "1 funcionario sumariado" puede permitir identificar a la persona al cruzarla con otra información. No existe un umbral legal oficial de supresión; como </w:t>
      </w:r>
      <w:r>
        <w:rPr>
          <w:b/>
          <w:bCs/>
          <w:color w:val="0F172A"/>
          <w:sz w:val="20"/>
          <w:szCs w:val="20"/>
        </w:rPr>
        <w:t xml:space="preserve">buena práctica</w:t>
      </w:r>
      <w:r>
        <w:rPr>
          <w:color w:val="334155"/>
          <w:sz w:val="20"/>
          <w:szCs w:val="20"/>
        </w:rPr>
        <w:t xml:space="preserve">, al publicar o difundir cifras se recomienda agrupar o suprimir celdas menores a 5.</w:t>
      </w:r>
    </w:p>
    <w:p>
      <w:pPr>
        <w:pStyle w:val="ListParagraph"/>
        <w:numPr>
          <w:ilvl w:val="0"/>
          <w:numId w:val="2"/>
        </w:numPr>
        <w:spacing w:after="70" w:line="264"/>
      </w:pPr>
      <w:r>
        <w:rPr>
          <w:color w:val="334155"/>
          <w:sz w:val="20"/>
          <w:szCs w:val="20"/>
        </w:rPr>
        <w:t xml:space="preserve">Si en el futuro el Validador recibiera nóminas, pasaría al régimen completo de datos sensibles y datos disciplinarios (arts. 16, 16 bis y 25).</w:t>
      </w: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ciberseguridad</w:t>
      </w:r>
    </w:p>
    <w:p>
      <w:pPr>
        <w:pStyle w:val="Heading1"/>
        <w:keepNext/>
        <w:pBdr>
          <w:bottom w:val="single" w:color="E2E8F0" w:sz="6" w:space="6"/>
        </w:pBdr>
        <w:spacing w:after="160"/>
      </w:pPr>
      <w:r>
        <w:rPr>
          <w:rFonts w:ascii="Calibri" w:cs="Calibri" w:eastAsia="Calibri" w:hAnsi="Calibri"/>
          <w:b/>
          <w:bCs/>
          <w:color w:val="0F172A"/>
          <w:sz w:val="34"/>
          <w:szCs w:val="34"/>
        </w:rPr>
        <w:t xml:space="preserve">Ciberseguridad y delitos informáticos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Todos los órganos de la Administración del Estado prestan servicios esenciales y están obligados por la Ley Marco de Ciberseguridad. Además, acceder a sistemas ajenos sin autorización es delito.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Conocer los deberes de seguridad, los plazos de reporte y el límite penal que condiciona la automatización sobre portales de otros servicios.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 Ley 21.663, sus reglamentos e instrucciones de la ANCI, el DS 7/2023 y la Ley 21.459.</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7.1  </w:t>
      </w:r>
      <w:r>
        <w:rPr>
          <w:rFonts w:ascii="Calibri" w:cs="Calibri" w:eastAsia="Calibri" w:hAnsi="Calibri"/>
          <w:b/>
          <w:bCs/>
          <w:color w:val="0F172A"/>
          <w:sz w:val="25"/>
          <w:szCs w:val="25"/>
        </w:rPr>
        <w:t xml:space="preserve">Ley 21.663, Marco de Ciberseguridad</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40"/>
      </w:tblGrid>
      <w:tr>
        <w:trPr>
          <w:tblHeader/>
        </w:trPr>
        <w:tc>
          <w:tcPr>
            <w:tcW w:type="dxa" w:w="6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HITO</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FECHA</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Publicación</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8 de abril de 2024</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Inicio de la ANCI y vigencia general</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enero de 2025</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Vigencia de deberes de reporte y sanciones</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marzo de 2025</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DS 295/2024 (reglamento de reporte de incidentes)</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Publicado el 1 de marzo de 2025</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Primera nómina de operadores de importancia vital (Res. Ex. 87/2025)</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17 de diciembre de 2025</w:t>
            </w:r>
          </w:p>
        </w:tc>
      </w:tr>
    </w:tbl>
    <w:p>
      <w:pPr>
        <w:spacing w:after="120" w:before="0" w:line="120"/>
      </w:pP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art. 4</w:t>
      </w:r>
      <w:r>
        <w:rPr>
          <w:rFonts w:ascii="Calibri" w:cs="Calibri" w:eastAsia="Calibri" w:hAnsi="Calibri"/>
          <w:color w:val="334155"/>
          <w:sz w:val="20"/>
          <w:szCs w:val="20"/>
        </w:rPr>
        <w:t xml:space="preserve"> dispone que "son servicios esenciales aquellos provistos por los organismos de la Administración del Estado". La DEP y </w:t>
      </w:r>
      <w:r>
        <w:rPr>
          <w:rFonts w:ascii="Calibri" w:cs="Calibri" w:eastAsia="Calibri" w:hAnsi="Calibri"/>
          <w:b/>
          <w:bCs/>
          <w:color w:val="0F172A"/>
          <w:sz w:val="20"/>
          <w:szCs w:val="20"/>
        </w:rPr>
        <w:t xml:space="preserve">cada SLEP</w:t>
      </w:r>
      <w:r>
        <w:rPr>
          <w:rFonts w:ascii="Calibri" w:cs="Calibri" w:eastAsia="Calibri" w:hAnsi="Calibri"/>
          <w:color w:val="334155"/>
          <w:sz w:val="20"/>
          <w:szCs w:val="20"/>
        </w:rPr>
        <w:t xml:space="preserve"> son, por tanto, prestadores de servicios esenciales obligados por separado. El </w:t>
      </w:r>
      <w:r>
        <w:rPr>
          <w:rFonts w:ascii="Calibri" w:cs="Calibri" w:eastAsia="Calibri" w:hAnsi="Calibri"/>
          <w:b/>
          <w:bCs/>
          <w:color w:val="0F172A"/>
          <w:sz w:val="20"/>
          <w:szCs w:val="20"/>
        </w:rPr>
        <w:t xml:space="preserve">art. 7</w:t>
      </w:r>
      <w:r>
        <w:rPr>
          <w:rFonts w:ascii="Calibri" w:cs="Calibri" w:eastAsia="Calibri" w:hAnsi="Calibri"/>
          <w:color w:val="334155"/>
          <w:sz w:val="20"/>
          <w:szCs w:val="20"/>
        </w:rPr>
        <w:t xml:space="preserve"> les exige aplicar de manera permanente medidas para prevenir, reportar y resolver incidentes, y el </w:t>
      </w:r>
      <w:r>
        <w:rPr>
          <w:rFonts w:ascii="Calibri" w:cs="Calibri" w:eastAsia="Calibri" w:hAnsi="Calibri"/>
          <w:b/>
          <w:bCs/>
          <w:color w:val="0F172A"/>
          <w:sz w:val="20"/>
          <w:szCs w:val="20"/>
        </w:rPr>
        <w:t xml:space="preserve">art. 47</w:t>
      </w:r>
      <w:r>
        <w:rPr>
          <w:rFonts w:ascii="Calibri" w:cs="Calibri" w:eastAsia="Calibri" w:hAnsi="Calibri"/>
          <w:color w:val="334155"/>
          <w:sz w:val="20"/>
          <w:szCs w:val="20"/>
        </w:rPr>
        <w:t xml:space="preserve"> hace responsable al jefe superior de velar por ello.</w:t>
      </w:r>
    </w:p>
    <w:p>
      <w:pPr>
        <w:pStyle w:val="Heading3"/>
        <w:keepNext/>
        <w:spacing w:after="80" w:before="180"/>
      </w:pPr>
      <w:r>
        <w:rPr>
          <w:rFonts w:ascii="Calibri" w:cs="Calibri" w:eastAsia="Calibri" w:hAnsi="Calibri"/>
          <w:b/>
          <w:bCs/>
          <w:color w:val="0F766E"/>
          <w:sz w:val="22"/>
          <w:szCs w:val="22"/>
        </w:rPr>
        <w:t xml:space="preserve">Plazos de reporte de incidentes (art. 9 y DS 295)</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0"/>
        <w:gridCol w:w="380"/>
        <w:gridCol w:w="2250"/>
        <w:gridCol w:w="380"/>
        <w:gridCol w:w="2130"/>
        <w:gridCol w:w="380"/>
        <w:gridCol w:w="1870"/>
      </w:tblGrid>
      <w:tr>
        <w:trPr>
          <w:cantSplit/>
        </w:trPr>
        <w:tc>
          <w:tcPr>
            <w:tcW w:type="dxa" w:w="225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HORA 0</w:t>
            </w:r>
          </w:p>
          <w:p>
            <w:pPr>
              <w:spacing w:after="20" w:line="240"/>
              <w:jc w:val="left"/>
            </w:pPr>
            <w:r>
              <w:rPr>
                <w:b/>
                <w:bCs/>
                <w:color w:val="0F172A"/>
                <w:sz w:val="17"/>
                <w:szCs w:val="17"/>
              </w:rPr>
              <w:t xml:space="preserve">Incidente</w:t>
            </w:r>
          </w:p>
          <w:p>
            <w:pPr>
              <w:spacing w:after="0" w:line="230"/>
              <w:jc w:val="left"/>
            </w:pPr>
            <w:r>
              <w:rPr>
                <w:color w:val="64748B"/>
                <w:sz w:val="14"/>
                <w:szCs w:val="14"/>
              </w:rPr>
              <w:t xml:space="preserve">Se toma conocimiento</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50"/>
            <w:tcBorders>
              <w:top w:val="single" w:color="B91C1C" w:sz="12"/>
              <w:left w:val="single" w:color="B91C1C" w:sz="12"/>
              <w:bottom w:val="single" w:color="B91C1C" w:sz="12"/>
              <w:right w:val="single" w:color="B91C1C" w:sz="12"/>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B91C1C"/>
                <w:sz w:val="13"/>
                <w:szCs w:val="13"/>
              </w:rPr>
              <w:t xml:space="preserve">≤ 3 HORAS</w:t>
            </w:r>
          </w:p>
          <w:p>
            <w:pPr>
              <w:spacing w:after="20" w:line="240"/>
              <w:jc w:val="left"/>
            </w:pPr>
            <w:r>
              <w:rPr>
                <w:b/>
                <w:bCs/>
                <w:color w:val="0F172A"/>
                <w:sz w:val="17"/>
                <w:szCs w:val="17"/>
              </w:rPr>
              <w:t xml:space="preserve">Alerta temprana</w:t>
            </w:r>
          </w:p>
          <w:p>
            <w:pPr>
              <w:spacing w:after="0" w:line="230"/>
              <w:jc w:val="left"/>
            </w:pPr>
            <w:r>
              <w:rPr>
                <w:color w:val="64748B"/>
                <w:sz w:val="14"/>
                <w:szCs w:val="14"/>
              </w:rPr>
              <w:t xml:space="preserve">Al CSIRT Nacional por portal.anci.gob.cl</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13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 72 HORAS</w:t>
            </w:r>
          </w:p>
          <w:p>
            <w:pPr>
              <w:spacing w:after="20" w:line="240"/>
              <w:jc w:val="left"/>
            </w:pPr>
            <w:r>
              <w:rPr>
                <w:b/>
                <w:bCs/>
                <w:color w:val="0F172A"/>
                <w:sz w:val="17"/>
                <w:szCs w:val="17"/>
              </w:rPr>
              <w:t xml:space="preserve">Segundo reporte</w:t>
            </w:r>
          </w:p>
          <w:p>
            <w:pPr>
              <w:spacing w:after="0" w:line="230"/>
              <w:jc w:val="left"/>
            </w:pPr>
            <w:r>
              <w:rPr>
                <w:color w:val="64748B"/>
                <w:sz w:val="14"/>
                <w:szCs w:val="14"/>
              </w:rPr>
              <w:t xml:space="preserve">24 h si es operador vital</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7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 15 DÍAS</w:t>
            </w:r>
          </w:p>
          <w:p>
            <w:pPr>
              <w:spacing w:after="20" w:line="240"/>
              <w:jc w:val="left"/>
            </w:pPr>
            <w:r>
              <w:rPr>
                <w:b/>
                <w:bCs/>
                <w:color w:val="0F172A"/>
                <w:sz w:val="17"/>
                <w:szCs w:val="17"/>
              </w:rPr>
              <w:t xml:space="preserve">Informe final</w:t>
            </w:r>
          </w:p>
          <w:p>
            <w:pPr>
              <w:spacing w:after="0" w:line="230"/>
              <w:jc w:val="left"/>
            </w:pPr>
            <w:r>
              <w:rPr>
                <w:color w:val="64748B"/>
                <w:sz w:val="14"/>
                <w:szCs w:val="14"/>
              </w:rPr>
              <w:t xml:space="preserve">Corridos desde la alerta</w:t>
            </w:r>
          </w:p>
        </w:tc>
      </w:tr>
    </w:tbl>
    <w:p>
      <w:pPr>
        <w:spacing w:after="200" w:before="80"/>
      </w:pPr>
      <w:r>
        <w:rPr>
          <w:rFonts w:ascii="Consolas" w:cs="Consolas" w:eastAsia="Consolas" w:hAnsi="Consolas"/>
          <w:b/>
          <w:bCs/>
          <w:color w:val="0D9488"/>
          <w:sz w:val="15"/>
          <w:szCs w:val="15"/>
        </w:rPr>
        <w:t xml:space="preserve">FIG. 5  </w:t>
      </w:r>
      <w:r>
        <w:rPr>
          <w:rFonts w:ascii="Calibri" w:cs="Calibri" w:eastAsia="Calibri" w:hAnsi="Calibri"/>
          <w:color w:val="64748B"/>
          <w:sz w:val="16"/>
          <w:szCs w:val="16"/>
        </w:rPr>
        <w:t xml:space="preserve">Secuencia obligatoria de reporte a la ANCI.</w:t>
      </w:r>
    </w:p>
    <w:p>
      <w:pPr>
        <w:pStyle w:val="ListParagraph"/>
        <w:numPr>
          <w:ilvl w:val="0"/>
          <w:numId w:val="2"/>
        </w:numPr>
        <w:spacing w:after="70" w:line="264"/>
      </w:pPr>
      <w:r>
        <w:rPr>
          <w:b/>
          <w:bCs/>
          <w:color w:val="0F172A"/>
          <w:sz w:val="20"/>
          <w:szCs w:val="20"/>
        </w:rPr>
        <w:t xml:space="preserve">Instrucción General ANCI N° 1</w:t>
      </w:r>
      <w:r>
        <w:rPr>
          <w:color w:val="334155"/>
          <w:sz w:val="20"/>
          <w:szCs w:val="20"/>
        </w:rPr>
        <w:t xml:space="preserve"> (junio de 2025): inscripción obligatoria de los prestadores en el portal de la ANCI y designación de un encargado de ciberseguridad.</w:t>
      </w:r>
    </w:p>
    <w:p>
      <w:pPr>
        <w:pStyle w:val="ListParagraph"/>
        <w:numPr>
          <w:ilvl w:val="0"/>
          <w:numId w:val="2"/>
        </w:numPr>
        <w:spacing w:after="70" w:line="264"/>
      </w:pPr>
      <w:r>
        <w:rPr>
          <w:b/>
          <w:bCs/>
          <w:color w:val="0F172A"/>
          <w:sz w:val="20"/>
          <w:szCs w:val="20"/>
        </w:rPr>
        <w:t xml:space="preserve">Sanciones (art. 40) para prestadores de servicios esenciales:</w:t>
      </w:r>
      <w:r>
        <w:rPr>
          <w:color w:val="334155"/>
          <w:sz w:val="20"/>
          <w:szCs w:val="20"/>
        </w:rPr>
        <w:t xml:space="preserve"> leves hasta 5.000 UTM, graves hasta 10.000 UTM y gravísimas hasta 20.000 UTM (el doble para operadores vitales).</w:t>
      </w:r>
    </w:p>
    <w:p>
      <w:pPr>
        <w:pStyle w:val="ListParagraph"/>
        <w:numPr>
          <w:ilvl w:val="0"/>
          <w:numId w:val="2"/>
        </w:numPr>
        <w:spacing w:after="70" w:line="264"/>
      </w:pPr>
      <w:r>
        <w:rPr>
          <w:b/>
          <w:bCs/>
          <w:color w:val="0F172A"/>
          <w:sz w:val="20"/>
          <w:szCs w:val="20"/>
        </w:rPr>
        <w:t xml:space="preserve">Doble reporte:</w:t>
      </w:r>
      <w:r>
        <w:rPr>
          <w:color w:val="334155"/>
          <w:sz w:val="20"/>
          <w:szCs w:val="20"/>
        </w:rPr>
        <w:t xml:space="preserve"> un incidente con datos de licencias activa la Ley 21.663 (ANCI, 3 horas) y la Ley 21.719 (Agencia de Protección de Datos y notificación a los afectados). El protocolo debe cubrir ambos.</w:t>
      </w:r>
    </w:p>
    <w:p>
      <w:pPr>
        <w:pStyle w:val="ListParagraph"/>
        <w:numPr>
          <w:ilvl w:val="0"/>
          <w:numId w:val="2"/>
        </w:numPr>
        <w:spacing w:after="70" w:line="264"/>
      </w:pPr>
      <w:r>
        <w:rPr>
          <w:color w:val="334155"/>
          <w:sz w:val="20"/>
          <w:szCs w:val="20"/>
        </w:rPr>
        <w:t xml:space="preserve">Debe verificarse en la nómina oficial si la DEP o algún SLEP fueron calificados como </w:t>
      </w:r>
      <w:r>
        <w:rPr>
          <w:b/>
          <w:bCs/>
          <w:color w:val="0F172A"/>
          <w:sz w:val="20"/>
          <w:szCs w:val="20"/>
        </w:rPr>
        <w:t xml:space="preserve">operadores de importancia vital</w:t>
      </w:r>
      <w:r>
        <w:rPr>
          <w:color w:val="334155"/>
          <w:sz w:val="20"/>
          <w:szCs w:val="20"/>
        </w:rPr>
        <w:t xml:space="preserve">, lo que agrega deberes (art. 8) </w:t>
      </w:r>
      <w:r>
        <w:rPr>
          <w:b/>
          <w:bCs/>
          <w:color w:val="0F172A"/>
          <w:sz w:val="20"/>
          <w:szCs w:val="20"/>
        </w:rPr>
        <w:t xml:space="preserve">[por confirmar]</w:t>
      </w:r>
      <w:r>
        <w:rPr>
          <w:color w:val="334155"/>
          <w:sz w:val="20"/>
          <w:szCs w:val="20"/>
        </w:rPr>
        <w:t xml:space="preserve">.</w:t>
      </w:r>
    </w:p>
    <w:p>
      <w:pPr>
        <w:pStyle w:val="Heading2"/>
        <w:keepNext/>
        <w:spacing w:after="120" w:before="260"/>
      </w:pPr>
      <w:r>
        <w:rPr>
          <w:rFonts w:ascii="Consolas" w:cs="Consolas" w:eastAsia="Consolas" w:hAnsi="Consolas"/>
          <w:b/>
          <w:bCs/>
          <w:color w:val="0D9488"/>
          <w:sz w:val="22"/>
          <w:szCs w:val="22"/>
        </w:rPr>
        <w:t xml:space="preserve">7.2  </w:t>
      </w:r>
      <w:r>
        <w:rPr>
          <w:rFonts w:ascii="Calibri" w:cs="Calibri" w:eastAsia="Calibri" w:hAnsi="Calibri"/>
          <w:b/>
          <w:bCs/>
          <w:color w:val="0F172A"/>
          <w:sz w:val="25"/>
          <w:szCs w:val="25"/>
        </w:rPr>
        <w:t xml:space="preserve">DS 7/2023: norma técnica de seguridad de la información</w:t>
      </w:r>
    </w:p>
    <w:p>
      <w:pPr>
        <w:spacing w:after="140" w:before="0" w:line="276"/>
        <w:jc w:val="left"/>
      </w:pPr>
      <w:r>
        <w:rPr>
          <w:rFonts w:ascii="Calibri" w:cs="Calibri" w:eastAsia="Calibri" w:hAnsi="Calibri"/>
          <w:color w:val="334155"/>
          <w:sz w:val="20"/>
          <w:szCs w:val="20"/>
        </w:rPr>
        <w:t xml:space="preserve">Dictada para la Ley 21.180 y publicada el 17 de agosto de 2023, exige una política de seguridad aprobada por el jefe de servicio, un </w:t>
      </w:r>
      <w:r>
        <w:rPr>
          <w:rFonts w:ascii="Calibri" w:cs="Calibri" w:eastAsia="Calibri" w:hAnsi="Calibri"/>
          <w:b/>
          <w:bCs/>
          <w:color w:val="0F172A"/>
          <w:sz w:val="20"/>
          <w:szCs w:val="20"/>
        </w:rPr>
        <w:t xml:space="preserve">responsable de seguridad de la información</w:t>
      </w:r>
      <w:r>
        <w:rPr>
          <w:rFonts w:ascii="Calibri" w:cs="Calibri" w:eastAsia="Calibri" w:hAnsi="Calibri"/>
          <w:color w:val="334155"/>
          <w:sz w:val="20"/>
          <w:szCs w:val="20"/>
        </w:rPr>
        <w:t xml:space="preserve"> y un responsable de activos que </w:t>
      </w:r>
      <w:r>
        <w:rPr>
          <w:rFonts w:ascii="Calibri" w:cs="Calibri" w:eastAsia="Calibri" w:hAnsi="Calibri"/>
          <w:b/>
          <w:bCs/>
          <w:color w:val="0F172A"/>
          <w:sz w:val="20"/>
          <w:szCs w:val="20"/>
        </w:rPr>
        <w:t xml:space="preserve">no pueden externalizarse</w:t>
      </w:r>
      <w:r>
        <w:rPr>
          <w:rFonts w:ascii="Calibri" w:cs="Calibri" w:eastAsia="Calibri" w:hAnsi="Calibri"/>
          <w:color w:val="334155"/>
          <w:sz w:val="20"/>
          <w:szCs w:val="20"/>
        </w:rPr>
        <w:t xml:space="preserve"> (art. 5), gestión de riesgos por proceso y plataforma (art. 7) y las funciones de identificar, proteger, detectar, responder y recuperar, incluida la gestión de proveedores de nube (arts. 8 a 11). Las normas </w:t>
      </w:r>
      <w:r>
        <w:rPr>
          <w:rFonts w:ascii="Calibri" w:cs="Calibri" w:eastAsia="Calibri" w:hAnsi="Calibri"/>
          <w:b/>
          <w:bCs/>
          <w:color w:val="0F172A"/>
          <w:sz w:val="20"/>
          <w:szCs w:val="20"/>
        </w:rPr>
        <w:t xml:space="preserve">NCh-ISO/IEC 27001:2023</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27002:2022</w:t>
      </w:r>
      <w:r>
        <w:rPr>
          <w:rFonts w:ascii="Calibri" w:cs="Calibri" w:eastAsia="Calibri" w:hAnsi="Calibri"/>
          <w:color w:val="334155"/>
          <w:sz w:val="20"/>
          <w:szCs w:val="20"/>
        </w:rPr>
        <w:t xml:space="preserve"> sirven como referencia de implementación.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CONSECUENCIA</w:t>
            </w:r>
          </w:p>
          <w:p>
            <w:pPr>
              <w:spacing w:after="50" w:line="260"/>
            </w:pPr>
            <w:r>
              <w:rPr>
                <w:color w:val="334155"/>
                <w:sz w:val="19"/>
                <w:szCs w:val="19"/>
              </w:rPr>
              <w:t xml:space="preserve">El desarrollador del proyecto, por su calidad contractual, </w:t>
            </w:r>
            <w:r>
              <w:rPr>
                <w:b/>
                <w:bCs/>
                <w:color w:val="0F172A"/>
                <w:sz w:val="19"/>
                <w:szCs w:val="19"/>
              </w:rPr>
              <w:t xml:space="preserve">no puede</w:t>
            </w:r>
            <w:r>
              <w:rPr>
                <w:color w:val="334155"/>
                <w:sz w:val="19"/>
                <w:szCs w:val="19"/>
              </w:rPr>
              <w:t xml:space="preserve"> asumir el rol de responsable de seguridad de la institución. El portal debe integrarse al sistema de gestión de seguridad de la DEP bajo su responsable designado.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7.3  </w:t>
      </w:r>
      <w:r>
        <w:rPr>
          <w:rFonts w:ascii="Calibri" w:cs="Calibri" w:eastAsia="Calibri" w:hAnsi="Calibri"/>
          <w:b/>
          <w:bCs/>
          <w:color w:val="0F172A"/>
          <w:sz w:val="25"/>
          <w:szCs w:val="25"/>
        </w:rPr>
        <w:t xml:space="preserve">Ley 21.459 de delitos informáticos</w:t>
      </w:r>
    </w:p>
    <w:p>
      <w:pPr>
        <w:spacing w:after="140" w:before="0" w:line="276"/>
        <w:jc w:val="left"/>
      </w:pPr>
      <w:r>
        <w:rPr>
          <w:rFonts w:ascii="Calibri" w:cs="Calibri" w:eastAsia="Calibri" w:hAnsi="Calibri"/>
          <w:color w:val="334155"/>
          <w:sz w:val="20"/>
          <w:szCs w:val="20"/>
        </w:rPr>
        <w:t xml:space="preserve">Publicada el 20 de junio de 2022, derogó la Ley 19.223. El Compendio de la SUSESO la declara aplicable a la tramitación de licencias electrónicas.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2600"/>
        <w:gridCol w:w="5740"/>
      </w:tblGrid>
      <w:tr>
        <w:trPr>
          <w:tblHeader/>
        </w:trPr>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ARTÍCULO</w:t>
            </w:r>
          </w:p>
        </w:tc>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DELITO</w:t>
            </w:r>
          </w:p>
        </w:tc>
        <w:tc>
          <w:tcPr>
            <w:tcW w:type="dxa" w:w="5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ELEMENTO CLAVE PARA EL PROYECTO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Ataque a la integridad de un sistema</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Obstaculizar el funcionamiento normal; relevante si un robot satura un portal.</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2</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Acceso ilícito</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Acceder "</w:t>
            </w:r>
            <w:r>
              <w:rPr>
                <w:rFonts w:ascii="Calibri" w:cs="Calibri" w:eastAsia="Calibri" w:hAnsi="Calibri"/>
                <w:b/>
                <w:bCs/>
                <w:color w:val="0F172A"/>
                <w:sz w:val="18"/>
                <w:szCs w:val="18"/>
              </w:rPr>
              <w:t xml:space="preserve">sin autorización o excediendo la autorización</w:t>
            </w:r>
            <w:r>
              <w:rPr>
                <w:rFonts w:ascii="Calibri" w:cs="Calibri" w:eastAsia="Calibri" w:hAnsi="Calibri"/>
                <w:b w:val="false"/>
                <w:bCs w:val="false"/>
                <w:color w:val="334155"/>
                <w:sz w:val="18"/>
                <w:szCs w:val="18"/>
              </w:rPr>
              <w:t xml:space="preserve"> que posea y superando barreras técnicas o medidas tecnológicas de seguridad".</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3</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Interceptación ilícita</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Interceptar indebidamente transmisiones no públicas.</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6</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Receptación de datos</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Almacenar o transferir datos obtenidos mediante acceso ilícito.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10</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Agravante</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Abusar de una posición de confianza en razón del cargo.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Art. 16</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Autorización</w:t>
            </w:r>
          </w:p>
        </w:tc>
        <w:tc>
          <w:tcPr>
            <w:tcW w:type="dxa" w:w="5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Se entiende autorizado quien actúa con </w:t>
            </w:r>
            <w:r>
              <w:rPr>
                <w:rFonts w:ascii="Calibri" w:cs="Calibri" w:eastAsia="Calibri" w:hAnsi="Calibri"/>
                <w:b/>
                <w:bCs/>
                <w:color w:val="0F172A"/>
                <w:sz w:val="18"/>
                <w:szCs w:val="18"/>
              </w:rPr>
              <w:t xml:space="preserve">autorización expresa del titular</w:t>
            </w:r>
            <w:r>
              <w:rPr>
                <w:rFonts w:ascii="Calibri" w:cs="Calibri" w:eastAsia="Calibri" w:hAnsi="Calibri"/>
                <w:b w:val="false"/>
                <w:bCs w:val="false"/>
                <w:color w:val="334155"/>
                <w:sz w:val="18"/>
                <w:szCs w:val="18"/>
              </w:rPr>
              <w:t xml:space="preserve"> del sistema.</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1500"/>
        <w:gridCol w:w="4240"/>
      </w:tblGrid>
      <w:tr>
        <w:trPr>
          <w:tblHeader/>
        </w:trPr>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ESCENARIO</w:t>
            </w:r>
          </w:p>
        </w:tc>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RIESGO</w:t>
            </w:r>
          </w:p>
        </w:tc>
        <w:tc>
          <w:tcPr>
            <w:tcW w:type="dxa" w:w="4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LECTURA</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Consumir, con sesión legítima, solo lo que el usuario ya ve en pantalla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Bajo</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No excede la autorización del usuario.</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Llamar endpoints internos descubiertos con F12 sin autorización de FONASA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Zona gris</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Puede "exceder la autorización" si FONASA no habilitó ese modo de acceso.</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Saltar captcha, límites de tasa o tokens, o pedir datos de otros empleadores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7"/>
                <w:szCs w:val="17"/>
              </w:rPr>
              <w:t xml:space="preserve">● Alto</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Configura los elementos del art. 2.</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Integración con autorización escrita de FONASA u operador</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Bajo</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Cubierto por la lógica del art. 16.</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INTERPRETACIÓN</w:t>
            </w:r>
          </w:p>
          <w:p>
            <w:pPr>
              <w:spacing w:after="50" w:line="260"/>
            </w:pPr>
            <w:r>
              <w:rPr>
                <w:color w:val="334155"/>
                <w:sz w:val="19"/>
                <w:szCs w:val="19"/>
              </w:rPr>
              <w:t xml:space="preserve">El mapeo de URLs del portal de FONASA hecho con herramientas del navegador sirve como diagnóstico técnico, pero </w:t>
            </w:r>
            <w:r>
              <w:rPr>
                <w:b/>
                <w:bCs/>
                <w:color w:val="0F172A"/>
                <w:sz w:val="19"/>
                <w:szCs w:val="19"/>
              </w:rPr>
              <w:t xml:space="preserve">no es una autorización</w:t>
            </w:r>
            <w:r>
              <w:rPr>
                <w:color w:val="334155"/>
                <w:sz w:val="19"/>
                <w:szCs w:val="19"/>
              </w:rPr>
              <w:t xml:space="preserve">. Antes de usar esos endpoints en producción se requiere autorización expresa y por escrito de FONASA. Además, el portal anterior cerró el 30 de septiembre de 2026, por lo que ese mapeo probablemente ya no es válido.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estado digital</w:t>
      </w:r>
    </w:p>
    <w:p>
      <w:pPr>
        <w:pStyle w:val="Heading1"/>
        <w:keepNext/>
        <w:pBdr>
          <w:bottom w:val="single" w:color="E2E8F0" w:sz="6" w:space="6"/>
        </w:pBdr>
        <w:spacing w:after="160"/>
      </w:pPr>
      <w:r>
        <w:rPr>
          <w:rFonts w:ascii="Calibri" w:cs="Calibri" w:eastAsia="Calibri" w:hAnsi="Calibri"/>
          <w:b/>
          <w:bCs/>
          <w:color w:val="0F172A"/>
          <w:sz w:val="34"/>
          <w:szCs w:val="34"/>
        </w:rPr>
        <w:t xml:space="preserve">Transformación digital del Estado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Ley de Transformación Digital obliga a los servicios a tramitar en forma electrónica, interoperar y cumplir normas técnicas de calidad, seguridad y autenticación.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Ubicar al proyecto dentro de las obligaciones que la DEP y los SLEP ya tienen, y usarlas como respaldo del portal.</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 Ley 21.180, el DFL 1/2020 de gradualidad, la Ley 21.464, el DS 4/2020, las seis normas técnicas de 2023, la Ley 19.880, la Ley 19.799, la Ley 21.658 y la Guía de desarrollo de software.</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8.1  </w:t>
      </w:r>
      <w:r>
        <w:rPr>
          <w:rFonts w:ascii="Calibri" w:cs="Calibri" w:eastAsia="Calibri" w:hAnsi="Calibri"/>
          <w:b/>
          <w:bCs/>
          <w:color w:val="0F172A"/>
          <w:sz w:val="25"/>
          <w:szCs w:val="25"/>
        </w:rPr>
        <w:t xml:space="preserve">Ley 21.180 y su calendario</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21.180</w:t>
      </w:r>
      <w:r>
        <w:rPr>
          <w:rFonts w:ascii="Calibri" w:cs="Calibri" w:eastAsia="Calibri" w:hAnsi="Calibri"/>
          <w:color w:val="334155"/>
          <w:sz w:val="20"/>
          <w:szCs w:val="20"/>
        </w:rPr>
        <w:t xml:space="preserve"> (Diario Oficial, 11-nov-2019) modificó la Ley 19.880 para que los procedimientos administrativos se expresen por medios electrónicos, e incorporó en su art. 16 bis los principios de </w:t>
      </w:r>
      <w:r>
        <w:rPr>
          <w:rFonts w:ascii="Calibri" w:cs="Calibri" w:eastAsia="Calibri" w:hAnsi="Calibri"/>
          <w:b/>
          <w:bCs/>
          <w:color w:val="0F172A"/>
          <w:sz w:val="20"/>
          <w:szCs w:val="20"/>
        </w:rPr>
        <w:t xml:space="preserve">neutralidad tecnológica, actualización, equivalencia funcional, fidelidad, interoperabilidad y cooperación</w:t>
      </w:r>
      <w:r>
        <w:rPr>
          <w:rFonts w:ascii="Calibri" w:cs="Calibri" w:eastAsia="Calibri" w:hAnsi="Calibri"/>
          <w:color w:val="334155"/>
          <w:sz w:val="20"/>
          <w:szCs w:val="20"/>
        </w:rPr>
        <w:t xml:space="preserve">. La </w:t>
      </w:r>
      <w:r>
        <w:rPr>
          <w:rFonts w:ascii="Calibri" w:cs="Calibri" w:eastAsia="Calibri" w:hAnsi="Calibri"/>
          <w:b/>
          <w:bCs/>
          <w:color w:val="0F172A"/>
          <w:sz w:val="20"/>
          <w:szCs w:val="20"/>
        </w:rPr>
        <w:t xml:space="preserve">Ley 21.464</w:t>
      </w:r>
      <w:r>
        <w:rPr>
          <w:rFonts w:ascii="Calibri" w:cs="Calibri" w:eastAsia="Calibri" w:hAnsi="Calibri"/>
          <w:color w:val="334155"/>
          <w:sz w:val="20"/>
          <w:szCs w:val="20"/>
        </w:rPr>
        <w:t xml:space="preserve"> extendió su implementación hasta el </w:t>
      </w:r>
      <w:r>
        <w:rPr>
          <w:rFonts w:ascii="Calibri" w:cs="Calibri" w:eastAsia="Calibri" w:hAnsi="Calibri"/>
          <w:b/>
          <w:bCs/>
          <w:color w:val="0F172A"/>
          <w:sz w:val="20"/>
          <w:szCs w:val="20"/>
        </w:rPr>
        <w:t xml:space="preserve">31 de diciembre de 2027</w:t>
      </w:r>
      <w:r>
        <w:rPr>
          <w:rFonts w:ascii="Calibri" w:cs="Calibri" w:eastAsia="Calibri" w:hAnsi="Calibri"/>
          <w:color w:val="334155"/>
          <w:sz w:val="20"/>
          <w:szCs w:val="20"/>
        </w:rPr>
        <w:t xml:space="preserve">. Según el DFL 1/2020, la DEP y los SLEP pertenecen al </w:t>
      </w:r>
      <w:r>
        <w:rPr>
          <w:rFonts w:ascii="Calibri" w:cs="Calibri" w:eastAsia="Calibri" w:hAnsi="Calibri"/>
          <w:b/>
          <w:bCs/>
          <w:color w:val="0F172A"/>
          <w:sz w:val="20"/>
          <w:szCs w:val="20"/>
        </w:rPr>
        <w:t xml:space="preserve">Grupo A</w:t>
      </w:r>
      <w:r>
        <w:rPr>
          <w:rFonts w:ascii="Calibri" w:cs="Calibri" w:eastAsia="Calibri" w:hAnsi="Calibri"/>
          <w:color w:val="334155"/>
          <w:sz w:val="20"/>
          <w:szCs w:val="20"/>
        </w:rPr>
        <w:t xml:space="preserve"> (servicios públicos).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2000"/>
        <w:gridCol w:w="4640"/>
      </w:tblGrid>
      <w:tr>
        <w:trPr>
          <w:tblHeader/>
        </w:trPr>
        <w:tc>
          <w:tcPr>
            <w:tcW w:type="dxa" w:w="3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FASE</w:t>
            </w:r>
          </w:p>
        </w:tc>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GRUPO A (DEP Y SLEP)</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SIGNIFICA PARA EL PROYECTO</w:t>
            </w:r>
          </w:p>
        </w:tc>
      </w:tr>
      <w:tr>
        <w:trPr>
          <w:cantSplit/>
        </w:trPr>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Comunicaciones oficiales (DocDigital)</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2023</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Las comunicaciones entre órganos ya deben ser electrónicas.</w:t>
            </w:r>
          </w:p>
        </w:tc>
      </w:tr>
      <w:tr>
        <w:trPr>
          <w:cantSplit/>
        </w:trPr>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Ingreso electrónico de solicitudes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2024</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Formularios digitales como regla.</w:t>
            </w:r>
          </w:p>
        </w:tc>
      </w:tr>
      <w:tr>
        <w:trPr>
          <w:cantSplit/>
        </w:trPr>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Interoperabilidad</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2025</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Intercambios de datos por la Red de Interoperabilidad.</w:t>
            </w:r>
          </w:p>
        </w:tc>
      </w:tr>
      <w:tr>
        <w:trPr>
          <w:cantSplit/>
        </w:trPr>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Expediente electrónico y digitalización</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8"/>
                <w:szCs w:val="18"/>
              </w:rPr>
              <w:t xml:space="preserve">2026</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Los procedimientos que se inician deben constar en expediente electrónico: el portal ayuda a cumplirlo.</w:t>
            </w:r>
          </w:p>
        </w:tc>
      </w:tr>
      <w:tr>
        <w:trPr>
          <w:cantSplit/>
        </w:trPr>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Notificaciones electrónicas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2027 (por confirmar)</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Notificación a funcionarios por medios electrónicos.</w:t>
            </w:r>
          </w:p>
        </w:tc>
      </w:tr>
    </w:tbl>
    <w:p>
      <w:pPr>
        <w:spacing w:after="120" w:before="0" w:line="120"/>
      </w:pPr>
    </w:p>
    <w:p>
      <w:pPr>
        <w:spacing w:after="140" w:before="0" w:line="276"/>
        <w:jc w:val="left"/>
      </w:pPr>
      <w:r>
        <w:rPr>
          <w:rFonts w:ascii="Calibri" w:cs="Calibri" w:eastAsia="Calibri" w:hAnsi="Calibri"/>
          <w:color w:val="64748B"/>
          <w:sz w:val="17"/>
          <w:szCs w:val="17"/>
        </w:rPr>
        <w:t xml:space="preserve">Calendario reconstruido desde fuentes secundarias (Asociación Chilena de Municipalidades, diciembre de 2025) y corroborado para interoperabilidad por el DS 12/2023.</w:t>
      </w:r>
    </w:p>
    <w:p>
      <w:pPr>
        <w:pStyle w:val="Heading2"/>
        <w:keepNext/>
        <w:spacing w:after="120" w:before="260"/>
      </w:pPr>
      <w:r>
        <w:rPr>
          <w:rFonts w:ascii="Consolas" w:cs="Consolas" w:eastAsia="Consolas" w:hAnsi="Consolas"/>
          <w:b/>
          <w:bCs/>
          <w:color w:val="0D9488"/>
          <w:sz w:val="22"/>
          <w:szCs w:val="22"/>
        </w:rPr>
        <w:t xml:space="preserve">8.2  </w:t>
      </w:r>
      <w:r>
        <w:rPr>
          <w:rFonts w:ascii="Calibri" w:cs="Calibri" w:eastAsia="Calibri" w:hAnsi="Calibri"/>
          <w:b/>
          <w:bCs/>
          <w:color w:val="0F172A"/>
          <w:sz w:val="25"/>
          <w:szCs w:val="25"/>
        </w:rPr>
        <w:t xml:space="preserve">Normas técnicas de 2023</w:t>
      </w:r>
    </w:p>
    <w:p>
      <w:pPr>
        <w:spacing w:after="140" w:before="0" w:line="276"/>
        <w:jc w:val="left"/>
      </w:pPr>
      <w:r>
        <w:rPr>
          <w:rFonts w:ascii="Calibri" w:cs="Calibri" w:eastAsia="Calibri" w:hAnsi="Calibri"/>
          <w:color w:val="334155"/>
          <w:sz w:val="20"/>
          <w:szCs w:val="20"/>
        </w:rPr>
        <w:t xml:space="preserve">Las seis normas técnicas de la Ley 21.180 se publicaron en el Diario Oficial el 17 de agosto de 2023: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2800"/>
        <w:gridCol w:w="5540"/>
      </w:tblGrid>
      <w:tr>
        <w:trPr>
          <w:tblHeader/>
        </w:trPr>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DECRETO</w:t>
            </w:r>
          </w:p>
        </w:tc>
        <w:tc>
          <w:tcPr>
            <w:tcW w:type="dxa" w:w="2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 TÉCNICA</w:t>
            </w:r>
          </w:p>
        </w:tc>
        <w:tc>
          <w:tcPr>
            <w:tcW w:type="dxa" w:w="5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EXIGENCIA RELEVANTE</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7/2023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Seguridad de la información y ciberseguridad</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Responsable de seguridad no externalizable; gestión de riesgos y de proveedores de nube (Sección 07).</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8/2023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Notificaciones</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Domicilio Digital Único.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9/2023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Autenticación</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Uso obligatorio de mecanismos oficiales; ClaveÚnica para personas naturales, incluidos funcionarios (art. 2 N° 7); OpenID Connect; </w:t>
            </w:r>
            <w:r>
              <w:rPr>
                <w:rFonts w:ascii="Calibri" w:cs="Calibri" w:eastAsia="Calibri" w:hAnsi="Calibri"/>
                <w:b/>
                <w:bCs/>
                <w:color w:val="0F172A"/>
                <w:sz w:val="17"/>
                <w:szCs w:val="17"/>
              </w:rPr>
              <w:t xml:space="preserve">registro de trazabilidad de accesos</w:t>
            </w:r>
            <w:r>
              <w:rPr>
                <w:rFonts w:ascii="Calibri" w:cs="Calibri" w:eastAsia="Calibri" w:hAnsi="Calibri"/>
                <w:b w:val="false"/>
                <w:bCs w:val="false"/>
                <w:color w:val="334155"/>
                <w:sz w:val="17"/>
                <w:szCs w:val="17"/>
              </w:rPr>
              <w:t xml:space="preserve"> (art. 13).</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10/2023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Documentos y expedientes electrónicos</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Trazabilidad y conservación de expedientes.</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11/2023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Calidad y funcionamiento de plataformas</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Continuidad, niveles de servicio; el plan de mejora debe considerar la </w:t>
            </w:r>
            <w:r>
              <w:rPr>
                <w:rFonts w:ascii="Calibri" w:cs="Calibri" w:eastAsia="Calibri" w:hAnsi="Calibri"/>
                <w:b/>
                <w:bCs/>
                <w:color w:val="0F172A"/>
                <w:sz w:val="17"/>
                <w:szCs w:val="17"/>
              </w:rPr>
              <w:t xml:space="preserve">Guía de desarrollo de software vigente</w:t>
            </w:r>
            <w:r>
              <w:rPr>
                <w:rFonts w:ascii="Calibri" w:cs="Calibri" w:eastAsia="Calibri" w:hAnsi="Calibri"/>
                <w:b w:val="false"/>
                <w:bCs w:val="false"/>
                <w:color w:val="334155"/>
                <w:sz w:val="17"/>
                <w:szCs w:val="17"/>
              </w:rPr>
              <w:t xml:space="preserve"> (art. 6).</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DS 12/2023</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Interoperabilidad</w:t>
            </w:r>
          </w:p>
        </w:tc>
        <w:tc>
          <w:tcPr>
            <w:tcW w:type="dxa" w:w="5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Intercambio entre órganos mediante nodos y Gestor de Solicitudes; </w:t>
            </w:r>
            <w:r>
              <w:rPr>
                <w:rFonts w:ascii="Calibri" w:cs="Calibri" w:eastAsia="Calibri" w:hAnsi="Calibri"/>
                <w:b/>
                <w:bCs/>
                <w:color w:val="0F172A"/>
                <w:sz w:val="17"/>
                <w:szCs w:val="17"/>
              </w:rPr>
              <w:t xml:space="preserve">PISEE deja de operar el 31-dic-2026</w:t>
            </w:r>
            <w:r>
              <w:rPr>
                <w:rFonts w:ascii="Calibri" w:cs="Calibri" w:eastAsia="Calibri" w:hAnsi="Calibri"/>
                <w:b w:val="false"/>
                <w:bCs w:val="false"/>
                <w:color w:val="334155"/>
                <w:sz w:val="17"/>
                <w:szCs w:val="17"/>
              </w:rPr>
              <w:t xml:space="preserve">; modificado por el DS 876/2025.</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8.3  </w:t>
      </w:r>
      <w:r>
        <w:rPr>
          <w:rFonts w:ascii="Calibri" w:cs="Calibri" w:eastAsia="Calibri" w:hAnsi="Calibri"/>
          <w:b/>
          <w:bCs/>
          <w:color w:val="0F172A"/>
          <w:sz w:val="25"/>
          <w:szCs w:val="25"/>
        </w:rPr>
        <w:t xml:space="preserve">Ley 19.880 y Ley 19.799</w:t>
      </w:r>
    </w:p>
    <w:p>
      <w:pPr>
        <w:pStyle w:val="ListParagraph"/>
        <w:numPr>
          <w:ilvl w:val="0"/>
          <w:numId w:val="2"/>
        </w:numPr>
        <w:spacing w:after="70" w:line="264"/>
      </w:pPr>
      <w:r>
        <w:rPr>
          <w:b/>
          <w:bCs/>
          <w:color w:val="0F172A"/>
          <w:sz w:val="20"/>
          <w:szCs w:val="20"/>
        </w:rPr>
        <w:t xml:space="preserve">Ley 19.880:</w:t>
      </w:r>
      <w:r>
        <w:rPr>
          <w:color w:val="334155"/>
          <w:sz w:val="20"/>
          <w:szCs w:val="20"/>
        </w:rPr>
        <w:t xml:space="preserve"> escrituración por medios electrónicos (art. 5), expediente electrónico (art. 18), obligación de usar plataformas con estándares de seguridad e interoperabilidad (art. 19) e impugnabilidad de todo acto (art. 15). Rige supletoriamente a los sumarios.</w:t>
      </w:r>
    </w:p>
    <w:p>
      <w:pPr>
        <w:pStyle w:val="ListParagraph"/>
        <w:numPr>
          <w:ilvl w:val="0"/>
          <w:numId w:val="2"/>
        </w:numPr>
        <w:spacing w:after="70" w:line="264"/>
      </w:pPr>
      <w:r>
        <w:rPr>
          <w:b/>
          <w:bCs/>
          <w:color w:val="0F172A"/>
          <w:sz w:val="20"/>
          <w:szCs w:val="20"/>
        </w:rPr>
        <w:t xml:space="preserve">Ley 19.799:</w:t>
      </w:r>
      <w:r>
        <w:rPr>
          <w:color w:val="334155"/>
          <w:sz w:val="20"/>
          <w:szCs w:val="20"/>
        </w:rPr>
        <w:t xml:space="preserve"> distingue firma electrónica simple (art. 2 f) de firma avanzada (art. 2 g), que exige "exclusivo control" del titular y se requiere en instrumentos públicos (arts. 6 y 7). </w:t>
      </w:r>
      <w:r>
        <w:rPr>
          <w:b/>
          <w:bCs/>
          <w:color w:val="0F172A"/>
          <w:sz w:val="20"/>
          <w:szCs w:val="20"/>
        </w:rPr>
        <w:t xml:space="preserve">FirmaGob</w:t>
      </w:r>
      <w:r>
        <w:rPr>
          <w:color w:val="334155"/>
          <w:sz w:val="20"/>
          <w:szCs w:val="20"/>
        </w:rPr>
        <w:t xml:space="preserve"> ofrece además firma </w:t>
      </w:r>
      <w:r>
        <w:rPr>
          <w:b/>
          <w:bCs/>
          <w:color w:val="0F172A"/>
          <w:sz w:val="20"/>
          <w:szCs w:val="20"/>
        </w:rPr>
        <w:t xml:space="preserve">desatendida</w:t>
      </w:r>
      <w:r>
        <w:rPr>
          <w:color w:val="334155"/>
          <w:sz w:val="20"/>
          <w:szCs w:val="20"/>
        </w:rPr>
        <w:t xml:space="preserve"> para aplicaciones institucionales registradas.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INTERPRETACIÓN</w:t>
            </w:r>
          </w:p>
          <w:p>
            <w:pPr>
              <w:spacing w:after="50" w:line="260"/>
            </w:pPr>
            <w:r>
              <w:rPr>
                <w:color w:val="334155"/>
                <w:sz w:val="19"/>
                <w:szCs w:val="19"/>
              </w:rPr>
              <w:t xml:space="preserve">Si un robot actúa con la sesión de un funcionario, el acto se le atribuye a ese funcionario. La firma automatizada lícita de documentos institucionales es la desatendida de FirmaGob, pero esa vía </w:t>
            </w:r>
            <w:r>
              <w:rPr>
                <w:b/>
                <w:bCs/>
                <w:color w:val="0F172A"/>
                <w:sz w:val="19"/>
                <w:szCs w:val="19"/>
              </w:rPr>
              <w:t xml:space="preserve">no habilita</w:t>
            </w:r>
            <w:r>
              <w:rPr>
                <w:color w:val="334155"/>
                <w:sz w:val="19"/>
                <w:szCs w:val="19"/>
              </w:rPr>
              <w:t xml:space="preserve"> operar la zona C del PIEE, cuyo acceso es con ClaveÚnica personal.</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8.4  </w:t>
      </w:r>
      <w:r>
        <w:rPr>
          <w:rFonts w:ascii="Calibri" w:cs="Calibri" w:eastAsia="Calibri" w:hAnsi="Calibri"/>
          <w:b/>
          <w:bCs/>
          <w:color w:val="0F172A"/>
          <w:sz w:val="25"/>
          <w:szCs w:val="25"/>
        </w:rPr>
        <w:t xml:space="preserve">Secretaría de Gobierno Digital y Guía de desarrollo de software</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21.658</w:t>
      </w:r>
      <w:r>
        <w:rPr>
          <w:rFonts w:ascii="Calibri" w:cs="Calibri" w:eastAsia="Calibri" w:hAnsi="Calibri"/>
          <w:color w:val="334155"/>
          <w:sz w:val="20"/>
          <w:szCs w:val="20"/>
        </w:rPr>
        <w:t xml:space="preserve"> (9-feb-2024) creó la </w:t>
      </w:r>
      <w:r>
        <w:rPr>
          <w:rFonts w:ascii="Calibri" w:cs="Calibri" w:eastAsia="Calibri" w:hAnsi="Calibri"/>
          <w:b/>
          <w:bCs/>
          <w:color w:val="0F172A"/>
          <w:sz w:val="20"/>
          <w:szCs w:val="20"/>
        </w:rPr>
        <w:t xml:space="preserve">Secretaría de Gobierno Digital</w:t>
      </w:r>
      <w:r>
        <w:rPr>
          <w:rFonts w:ascii="Calibri" w:cs="Calibri" w:eastAsia="Calibri" w:hAnsi="Calibri"/>
          <w:color w:val="334155"/>
          <w:sz w:val="20"/>
          <w:szCs w:val="20"/>
        </w:rPr>
        <w:t xml:space="preserve"> en la Subsecretaría de Hacienda, a cargo de la estrategia de gobierno digital y de plataformas compartidas como identidad digital e interoperabilidad. Su </w:t>
      </w:r>
      <w:r>
        <w:rPr>
          <w:rFonts w:ascii="Calibri" w:cs="Calibri" w:eastAsia="Calibri" w:hAnsi="Calibri"/>
          <w:b/>
          <w:bCs/>
          <w:color w:val="0F172A"/>
          <w:sz w:val="20"/>
          <w:szCs w:val="20"/>
        </w:rPr>
        <w:t xml:space="preserve">Guía Técnica de Lineamientos para el Desarrollo de Software v2.0</w:t>
      </w:r>
      <w:r>
        <w:rPr>
          <w:rFonts w:ascii="Calibri" w:cs="Calibri" w:eastAsia="Calibri" w:hAnsi="Calibri"/>
          <w:color w:val="334155"/>
          <w:sz w:val="20"/>
          <w:szCs w:val="20"/>
        </w:rPr>
        <w:t xml:space="preserve"> (mayo de 2021) es recomendación, pero el DS 11/2023 obliga a considerarla. El stack del proyecto es compatible con ella: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3300"/>
        <w:gridCol w:w="2440"/>
      </w:tblGrid>
      <w:tr>
        <w:trPr>
          <w:tblHeader/>
        </w:trPr>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LINEAMIENTO DE LA GUÍA</w:t>
            </w:r>
          </w:p>
        </w:tc>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GDP-SLEP STUDIO</w:t>
            </w:r>
          </w:p>
        </w:tc>
        <w:tc>
          <w:tcPr>
            <w:tcW w:type="dxa" w:w="2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Lenguajes y frameworks de amplio soporte (NodeJS, Angular, MySQL)</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NestJS 10 sobre Node.js 20 · Angular 19 · MySQL 8</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Seguridad OWASP, validación en servidor, ORM o consultas preparadas</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class-validator · TypeORM · análisis estático</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API REST versionada con documentación OpenAPI 3.0+</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Swagger / OpenAPI</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Contenedores (Docker)</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Docker</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Repositorio Git y CI/CD con revisión de código</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GitHub · GitHub Actions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r>
        <w:trPr>
          <w:cantSplit/>
        </w:trPr>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Licencia GPLv3 recomendada</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GPLv3</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Compatible</w:t>
            </w:r>
          </w:p>
        </w:tc>
      </w:tr>
    </w:tbl>
    <w:p>
      <w:pPr>
        <w:spacing w:after="120" w:before="0" w:line="120"/>
      </w:pPr>
    </w:p>
    <w:p>
      <w:pPr>
        <w:spacing w:after="140" w:before="0" w:line="276"/>
        <w:jc w:val="left"/>
      </w:pPr>
      <w:r>
        <w:rPr>
          <w:rFonts w:ascii="Calibri" w:cs="Calibri" w:eastAsia="Calibri" w:hAnsi="Calibri"/>
          <w:color w:val="334155"/>
          <w:sz w:val="18"/>
          <w:szCs w:val="18"/>
        </w:rPr>
        <w:t xml:space="preserve">La guía menciona "AngularJS" (1.x, descontinuada) y no nombra NestJS; las versiones modernas se justifican por </w:t>
      </w:r>
      <w:r>
        <w:rPr>
          <w:rFonts w:ascii="Calibri" w:cs="Calibri" w:eastAsia="Calibri" w:hAnsi="Calibri"/>
          <w:b/>
          <w:bCs/>
          <w:color w:val="0F172A"/>
          <w:sz w:val="18"/>
          <w:szCs w:val="18"/>
        </w:rPr>
        <w:t xml:space="preserve">neutralidad tecnológica</w:t>
      </w:r>
      <w:r>
        <w:rPr>
          <w:rFonts w:ascii="Calibri" w:cs="Calibri" w:eastAsia="Calibri" w:hAnsi="Calibri"/>
          <w:color w:val="334155"/>
          <w:sz w:val="18"/>
          <w:szCs w:val="18"/>
        </w:rPr>
        <w:t xml:space="preserve"> (art. 16 bis, Ley 19.880). Ninguna ley obliga a usar software libre.</w:t>
      </w:r>
    </w:p>
    <w:p>
      <w:pPr>
        <w:keepNext/>
        <w:pageBreakBefore/>
        <w:spacing w:after="60"/>
      </w:pPr>
      <w:r>
        <w:rPr>
          <w:rFonts w:ascii="Consolas" w:cs="Consolas" w:eastAsia="Consolas" w:hAnsi="Consolas"/>
          <w:b/>
          <w:bCs/>
          <w:color w:val="0D9488"/>
          <w:spacing w:val="30"/>
          <w:sz w:val="16"/>
          <w:szCs w:val="16"/>
        </w:rPr>
        <w:t xml:space="preserve">SECCIÓN 09</w:t>
      </w:r>
      <w:r>
        <w:rPr>
          <w:rFonts w:ascii="Consolas" w:cs="Consolas" w:eastAsia="Consolas" w:hAnsi="Consolas"/>
          <w:color w:val="94A3B8"/>
          <w:sz w:val="16"/>
          <w:szCs w:val="16"/>
        </w:rPr>
        <w:t xml:space="preserve">  /  identidad</w:t>
      </w:r>
    </w:p>
    <w:p>
      <w:pPr>
        <w:pStyle w:val="Heading1"/>
        <w:keepNext/>
        <w:pBdr>
          <w:bottom w:val="single" w:color="E2E8F0" w:sz="6" w:space="6"/>
        </w:pBdr>
        <w:spacing w:after="160"/>
      </w:pPr>
      <w:r>
        <w:rPr>
          <w:rFonts w:ascii="Calibri" w:cs="Calibri" w:eastAsia="Calibri" w:hAnsi="Calibri"/>
          <w:b/>
          <w:bCs/>
          <w:color w:val="0F172A"/>
          <w:sz w:val="34"/>
          <w:szCs w:val="34"/>
        </w:rPr>
        <w:t xml:space="preserve">Identidad digital: ClaveÚnica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portal necesita ClaveÚnica para autenticar a los funcionarios, y el portal de FONASA se usa con la ClaveÚnica personal de quien tramita.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Saber cómo se integra ClaveÚnica al portal y qué prohíben sus términos, porque de eso depende la viabilidad del robot.</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del DS 9/2023, la Resolución Exenta N° 733 de Hacienda (2025) y la Guía Técnica de Integración v5.5.</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9.1  </w:t>
      </w:r>
      <w:r>
        <w:rPr>
          <w:rFonts w:ascii="Calibri" w:cs="Calibri" w:eastAsia="Calibri" w:hAnsi="Calibri"/>
          <w:b/>
          <w:bCs/>
          <w:color w:val="0F172A"/>
          <w:sz w:val="25"/>
          <w:szCs w:val="25"/>
        </w:rPr>
        <w:t xml:space="preserve">Los términos de uso de ClaveÚnica</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Resolución Exenta N° 733</w:t>
      </w:r>
      <w:r>
        <w:rPr>
          <w:rFonts w:ascii="Calibri" w:cs="Calibri" w:eastAsia="Calibri" w:hAnsi="Calibri"/>
          <w:color w:val="334155"/>
          <w:sz w:val="20"/>
          <w:szCs w:val="20"/>
        </w:rPr>
        <w:t xml:space="preserve"> del Ministerio de Hacienda (22-oct-2025; Diario Oficial, 6-nov-2025) aprueba los términos y condiciones para integrar y usar ClaveÚnica, con base en las leyes 21.658, 21.663 y 21.719 y en el DS 9/2023.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540"/>
      </w:tblGrid>
      <w:tr>
        <w:trPr>
          <w:tblHeader/>
        </w:trPr>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SECCIÓN</w:t>
            </w:r>
          </w:p>
        </w:tc>
        <w:tc>
          <w:tcPr>
            <w:tcW w:type="dxa" w:w="8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§2</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ClaveÚnica es un mecanismo de uso exclusivo para personas naturales.</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§3</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institución que la integra requiere una disposición legal o administrativa que permita u obligue su uso.</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§4</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integración se solicita con el trámite "Solicitud de Credenciales de Integración a ClaveÚnica", designando contrapartes administrativa y técnica. La Secretaría de Gobierno Digital puede revocarla.</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§6.4</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Segundo factor de autenticación cuando el riesgo del trámite lo requiera.</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8"/>
                <w:szCs w:val="18"/>
              </w:rPr>
              <w:t xml:space="preserve">§6.5</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Prohíbe</w:t>
            </w:r>
            <w:r>
              <w:rPr>
                <w:rFonts w:ascii="Calibri" w:cs="Calibri" w:eastAsia="Calibri" w:hAnsi="Calibri"/>
                <w:b w:val="false"/>
                <w:bCs w:val="false"/>
                <w:color w:val="334155"/>
                <w:sz w:val="18"/>
                <w:szCs w:val="18"/>
              </w:rPr>
              <w:t xml:space="preserve"> solicitar, almacenar o registrar credenciales o contraseñas de los usuarios; </w:t>
            </w:r>
            <w:r>
              <w:rPr>
                <w:rFonts w:ascii="Calibri" w:cs="Calibri" w:eastAsia="Calibri" w:hAnsi="Calibri"/>
                <w:b/>
                <w:bCs/>
                <w:color w:val="0F172A"/>
                <w:sz w:val="18"/>
                <w:szCs w:val="18"/>
              </w:rPr>
              <w:t xml:space="preserve">crear, habilitar o recomendar mecanismos de automatización</w:t>
            </w:r>
            <w:r>
              <w:rPr>
                <w:rFonts w:ascii="Calibri" w:cs="Calibri" w:eastAsia="Calibri" w:hAnsi="Calibri"/>
                <w:b w:val="false"/>
                <w:bCs w:val="false"/>
                <w:color w:val="334155"/>
                <w:sz w:val="18"/>
                <w:szCs w:val="18"/>
              </w:rPr>
              <w:t xml:space="preserve"> que permitan el acceso a ClaveÚnica; sublicenciar o transferir la integración; y hacer ingeniería inversa.</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§13</w:t>
            </w:r>
          </w:p>
        </w:tc>
        <w:tc>
          <w:tcPr>
            <w:tcW w:type="dxa" w:w="8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Las instituciones ya integradas tienen 60 días hábiles para adecuarse. El incumplimiento permite suspender el acceso.</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91C1C" w:sz="24"/>
              <w:bottom w:val="none" w:color="FFFFFF" w:sz="0"/>
              <w:right w:val="none" w:color="FFFFFF" w:sz="0"/>
            </w:tcBorders>
            <w:shd w:fill="FEF2F2" w:color="auto" w:val="clear"/>
            <w:tcMar>
              <w:top w:type="dxa" w:w="110"/>
              <w:left w:type="dxa" w:w="220"/>
              <w:bottom w:type="dxa" w:w="110"/>
              <w:right w:type="dxa" w:w="110"/>
            </w:tcMar>
            <w:vAlign w:val="top"/>
          </w:tcPr>
          <w:p>
            <w:pPr>
              <w:spacing w:after="60"/>
            </w:pPr>
            <w:r>
              <w:rPr>
                <w:rFonts w:ascii="Consolas" w:cs="Consolas" w:eastAsia="Consolas" w:hAnsi="Consolas"/>
                <w:b/>
                <w:bCs/>
                <w:color w:val="B91C1C"/>
                <w:spacing w:val="20"/>
                <w:sz w:val="15"/>
                <w:szCs w:val="15"/>
              </w:rPr>
              <w:t xml:space="preserve">CONSECUENCIA CRÍTICA</w:t>
            </w:r>
          </w:p>
          <w:p>
            <w:pPr>
              <w:spacing w:after="50" w:line="260"/>
            </w:pPr>
            <w:r>
              <w:rPr>
                <w:color w:val="334155"/>
                <w:sz w:val="19"/>
                <w:szCs w:val="19"/>
              </w:rPr>
              <w:t xml:space="preserve">El PIEE de FONASA se usa con </w:t>
            </w:r>
            <w:r>
              <w:rPr>
                <w:b/>
                <w:bCs/>
                <w:color w:val="0F172A"/>
                <w:sz w:val="19"/>
                <w:szCs w:val="19"/>
              </w:rPr>
              <w:t xml:space="preserve">ClaveÚnica personal</w:t>
            </w:r>
            <w:r>
              <w:rPr>
                <w:color w:val="334155"/>
                <w:sz w:val="19"/>
                <w:szCs w:val="19"/>
              </w:rPr>
              <w:t xml:space="preserve">. Un robot que inicie sesión en el PIEE necesitaría almacenar y usar la ClaveÚnica de un funcionario: exactamente lo que el §6.5 prohíbe.</w:t>
            </w:r>
          </w:p>
          <w:p>
            <w:pPr>
              <w:spacing w:after="50" w:line="260"/>
            </w:pPr>
            <w:r>
              <w:rPr>
                <w:color w:val="334155"/>
                <w:sz w:val="19"/>
                <w:szCs w:val="19"/>
              </w:rPr>
              <w:t xml:space="preserve">Además, la DEP, como institución que integrará ClaveÚnica en GDP-SLEP Studio, no puede "recomendar mecanismos de automatización" del acceso sin arriesgar la revocación de su propia integración.</w:t>
            </w:r>
          </w:p>
          <w:p>
            <w:pPr>
              <w:spacing w:after="50" w:line="260"/>
            </w:pPr>
            <w:r>
              <w:rPr>
                <w:color w:val="334155"/>
                <w:sz w:val="19"/>
                <w:szCs w:val="19"/>
              </w:rPr>
              <w:t xml:space="preserve">Por eso este informe califica como </w:t>
            </w:r>
            <w:r>
              <w:rPr>
                <w:b/>
                <w:bCs/>
                <w:color w:val="0F172A"/>
                <w:sz w:val="19"/>
                <w:szCs w:val="19"/>
              </w:rPr>
              <w:t xml:space="preserve">no viable</w:t>
            </w:r>
            <w:r>
              <w:rPr>
                <w:color w:val="334155"/>
                <w:sz w:val="19"/>
                <w:szCs w:val="19"/>
              </w:rPr>
              <w:t xml:space="preserve"> el robot que opera el PIEE con credenciales de una persona.</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9.2  </w:t>
      </w:r>
      <w:r>
        <w:rPr>
          <w:rFonts w:ascii="Calibri" w:cs="Calibri" w:eastAsia="Calibri" w:hAnsi="Calibri"/>
          <w:b/>
          <w:bCs/>
          <w:color w:val="0F172A"/>
          <w:sz w:val="25"/>
          <w:szCs w:val="25"/>
        </w:rPr>
        <w:t xml:space="preserve">Cómo integrar ClaveÚnica al portal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00"/>
        <w:gridCol w:w="1800"/>
        <w:gridCol w:w="300"/>
        <w:gridCol w:w="1800"/>
        <w:gridCol w:w="300"/>
        <w:gridCol w:w="1800"/>
        <w:gridCol w:w="300"/>
        <w:gridCol w:w="1240"/>
      </w:tblGrid>
      <w:tr>
        <w:trPr>
          <w:cantSplit/>
        </w:trPr>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1</w:t>
            </w:r>
          </w:p>
          <w:p>
            <w:pPr>
              <w:spacing w:after="20" w:line="240"/>
              <w:jc w:val="left"/>
            </w:pPr>
            <w:r>
              <w:rPr>
                <w:b/>
                <w:bCs/>
                <w:color w:val="0F172A"/>
                <w:sz w:val="17"/>
                <w:szCs w:val="17"/>
              </w:rPr>
              <w:t xml:space="preserve">Acto habilitante</w:t>
            </w:r>
          </w:p>
          <w:p>
            <w:pPr>
              <w:spacing w:after="0" w:line="230"/>
              <w:jc w:val="left"/>
            </w:pPr>
            <w:r>
              <w:rPr>
                <w:color w:val="64748B"/>
                <w:sz w:val="14"/>
                <w:szCs w:val="14"/>
              </w:rPr>
              <w:t xml:space="preserve">Resolución DEP que crea el portal (§3)</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2</w:t>
            </w:r>
          </w:p>
          <w:p>
            <w:pPr>
              <w:spacing w:after="20" w:line="240"/>
              <w:jc w:val="left"/>
            </w:pPr>
            <w:r>
              <w:rPr>
                <w:b/>
                <w:bCs/>
                <w:color w:val="0F172A"/>
                <w:sz w:val="17"/>
                <w:szCs w:val="17"/>
              </w:rPr>
              <w:t xml:space="preserve">Solicitud</w:t>
            </w:r>
          </w:p>
          <w:p>
            <w:pPr>
              <w:spacing w:after="0" w:line="230"/>
              <w:jc w:val="left"/>
            </w:pPr>
            <w:r>
              <w:rPr>
                <w:color w:val="64748B"/>
                <w:sz w:val="14"/>
                <w:szCs w:val="14"/>
              </w:rPr>
              <w:t xml:space="preserve">claveunica.gob.cl · contactos, URL .gob.cl, URIs</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3</w:t>
            </w:r>
          </w:p>
          <w:p>
            <w:pPr>
              <w:spacing w:after="20" w:line="240"/>
              <w:jc w:val="left"/>
            </w:pPr>
            <w:r>
              <w:rPr>
                <w:b/>
                <w:bCs/>
                <w:color w:val="0F172A"/>
                <w:sz w:val="17"/>
                <w:szCs w:val="17"/>
              </w:rPr>
              <w:t xml:space="preserve">Credenciales</w:t>
            </w:r>
          </w:p>
          <w:p>
            <w:pPr>
              <w:spacing w:after="0" w:line="230"/>
              <w:jc w:val="left"/>
            </w:pPr>
            <w:r>
              <w:rPr>
                <w:color w:val="64748B"/>
                <w:sz w:val="14"/>
                <w:szCs w:val="14"/>
              </w:rPr>
              <w:t xml:space="preserve">≈ 3 días hábiles · sandbox, QA, producción</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80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4</w:t>
            </w:r>
          </w:p>
          <w:p>
            <w:pPr>
              <w:spacing w:after="20" w:line="240"/>
              <w:jc w:val="left"/>
            </w:pPr>
            <w:r>
              <w:rPr>
                <w:b/>
                <w:bCs/>
                <w:color w:val="0F172A"/>
                <w:sz w:val="17"/>
                <w:szCs w:val="17"/>
              </w:rPr>
              <w:t xml:space="preserve">Desarrollo</w:t>
            </w:r>
          </w:p>
          <w:p>
            <w:pPr>
              <w:spacing w:after="0" w:line="230"/>
              <w:jc w:val="left"/>
            </w:pPr>
            <w:r>
              <w:rPr>
                <w:color w:val="64748B"/>
                <w:sz w:val="14"/>
                <w:szCs w:val="14"/>
              </w:rPr>
              <w:t xml:space="preserve">OIDC desde el backend NestJS</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24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PASO 5</w:t>
            </w:r>
          </w:p>
          <w:p>
            <w:pPr>
              <w:spacing w:after="20" w:line="240"/>
              <w:jc w:val="left"/>
            </w:pPr>
            <w:r>
              <w:rPr>
                <w:b/>
                <w:bCs/>
                <w:color w:val="0F172A"/>
                <w:sz w:val="17"/>
                <w:szCs w:val="17"/>
              </w:rPr>
              <w:t xml:space="preserve">Certificación</w:t>
            </w:r>
          </w:p>
          <w:p>
            <w:pPr>
              <w:spacing w:after="0" w:line="230"/>
              <w:jc w:val="left"/>
            </w:pPr>
            <w:r>
              <w:rPr>
                <w:color w:val="64748B"/>
                <w:sz w:val="14"/>
                <w:szCs w:val="14"/>
              </w:rPr>
              <w:t xml:space="preserve">≈ 6 días hábiles</w:t>
            </w:r>
          </w:p>
        </w:tc>
      </w:tr>
    </w:tbl>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Ruta de integración de ClaveÚnica a GDP-SLEP Studio.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0"/>
        <w:gridCol w:w="4440"/>
      </w:tblGrid>
      <w:tr>
        <w:trPr>
          <w:tblHeader/>
        </w:trPr>
        <w:tc>
          <w:tcPr>
            <w:tcW w:type="dxa" w:w="5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REQUISITO TÉCNICO (GUÍA V5.5)</w:t>
            </w:r>
          </w:p>
        </w:tc>
        <w:tc>
          <w:tcPr>
            <w:tcW w:type="dxa" w:w="4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DEL PROYECTO</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Integración gratuita para órganos de la Administración</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Sin costo de licencia.</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URL de la aplicación con dominio </w:t>
            </w:r>
            <w:r>
              <w:rPr>
                <w:rFonts w:ascii="Calibri" w:cs="Calibri" w:eastAsia="Calibri" w:hAnsi="Calibri"/>
                <w:b/>
                <w:bCs/>
                <w:color w:val="0F172A"/>
                <w:sz w:val="17"/>
                <w:szCs w:val="17"/>
              </w:rPr>
              <w:t xml:space="preserve">.gob.cl</w:t>
            </w:r>
            <w:r>
              <w:rPr>
                <w:rFonts w:ascii="Calibri" w:cs="Calibri" w:eastAsia="Calibri" w:hAnsi="Calibri"/>
                <w:color w:val="334155"/>
                <w:sz w:val="17"/>
                <w:szCs w:val="17"/>
              </w:rPr>
              <w:t xml:space="preserve"> y HTTPS en producción</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Requiere subdominio institucional de la DEP.</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OpenID Connect sobre OAuth 2.0, llamadas a token y userinfo desde el backend</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Preparado en la arquitectura NestJS.</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Botón oficial, parámetro state dinámico, logout implementado</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 implementar en la integración.</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Redirect URI sin localhost; tres ambientes</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Requiere ambientes de QA y producción en el servidor institucional.</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Registro de trazabilidad de accesos (DS 9, art. 13)</w:t>
            </w:r>
          </w:p>
        </w:tc>
        <w:tc>
          <w:tcPr>
            <w:tcW w:type="dxa" w:w="4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Bitácora de autenticación del portal.</w:t>
            </w:r>
          </w:p>
        </w:tc>
      </w:tr>
    </w:tbl>
    <w:p>
      <w:pPr>
        <w:spacing w:after="120" w:before="0" w:line="120"/>
      </w:pPr>
    </w:p>
    <w:p>
      <w:pPr>
        <w:spacing w:after="140" w:before="0" w:line="276"/>
        <w:jc w:val="left"/>
      </w:pPr>
      <w:r>
        <w:rPr>
          <w:rFonts w:ascii="Calibri" w:cs="Calibri" w:eastAsia="Calibri" w:hAnsi="Calibri"/>
          <w:color w:val="334155"/>
          <w:sz w:val="19"/>
          <w:szCs w:val="19"/>
        </w:rPr>
        <w:t xml:space="preserve">El DS 9/2023 incluye a los funcionarios como usuarios de plataformas, por lo que la integración para </w:t>
      </w:r>
      <w:r>
        <w:rPr>
          <w:rFonts w:ascii="Calibri" w:cs="Calibri" w:eastAsia="Calibri" w:hAnsi="Calibri"/>
          <w:b/>
          <w:bCs/>
          <w:color w:val="0F172A"/>
          <w:sz w:val="19"/>
          <w:szCs w:val="19"/>
        </w:rPr>
        <w:t xml:space="preserve">público interno</w:t>
      </w:r>
      <w:r>
        <w:rPr>
          <w:rFonts w:ascii="Calibri" w:cs="Calibri" w:eastAsia="Calibri" w:hAnsi="Calibri"/>
          <w:color w:val="334155"/>
          <w:sz w:val="19"/>
          <w:szCs w:val="19"/>
        </w:rPr>
        <w:t xml:space="preserve"> es procedente.</w:t>
      </w:r>
    </w:p>
    <w:p>
      <w:pPr>
        <w:keepNext/>
        <w:pageBreakBefore/>
        <w:spacing w:after="60"/>
      </w:pPr>
      <w:r>
        <w:rPr>
          <w:rFonts w:ascii="Consolas" w:cs="Consolas" w:eastAsia="Consolas" w:hAnsi="Consolas"/>
          <w:b/>
          <w:bCs/>
          <w:color w:val="0D9488"/>
          <w:spacing w:val="30"/>
          <w:sz w:val="16"/>
          <w:szCs w:val="16"/>
        </w:rPr>
        <w:t xml:space="preserve">SECCIÓN 10</w:t>
      </w:r>
      <w:r>
        <w:rPr>
          <w:rFonts w:ascii="Consolas" w:cs="Consolas" w:eastAsia="Consolas" w:hAnsi="Consolas"/>
          <w:color w:val="94A3B8"/>
          <w:sz w:val="16"/>
          <w:szCs w:val="16"/>
        </w:rPr>
        <w:t xml:space="preserve">  /  IA</w:t>
      </w:r>
    </w:p>
    <w:p>
      <w:pPr>
        <w:pStyle w:val="Heading1"/>
        <w:keepNext/>
        <w:pBdr>
          <w:bottom w:val="single" w:color="E2E8F0" w:sz="6" w:space="6"/>
        </w:pBdr>
        <w:spacing w:after="160"/>
      </w:pPr>
      <w:r>
        <w:rPr>
          <w:rFonts w:ascii="Calibri" w:cs="Calibri" w:eastAsia="Calibri" w:hAnsi="Calibri"/>
          <w:b/>
          <w:bCs/>
          <w:color w:val="0F172A"/>
          <w:sz w:val="34"/>
          <w:szCs w:val="34"/>
        </w:rPr>
        <w:t xml:space="preserve">Inteligencia artificial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proyecto usará IA para clasificar licencias (LAYA) y, después, para orquestar el ecosistema (IA local).</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Saber qué reglas aplican hoy al uso de IA en el Estado y cuáles vienen, para diseñar desde ya conforme a ellas.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del proyecto de ley de IA, la Política Nacional de IA, el Oficio Circular 711/2023 y la Res. Ex. 372/2024 del Consejo para la Transparencia.</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1500"/>
        <w:gridCol w:w="4000"/>
        <w:gridCol w:w="15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INSTRUMENTO</w:t>
            </w:r>
          </w:p>
        </w:tc>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FECHA</w:t>
            </w:r>
          </w:p>
        </w:tc>
        <w:tc>
          <w:tcPr>
            <w:tcW w:type="dxa" w:w="4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CONTENIDO APLICABLE</w:t>
            </w:r>
          </w:p>
        </w:tc>
        <w:tc>
          <w:tcPr>
            <w:tcW w:type="dxa" w:w="1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Proyecto de ley que regula los sistemas de IA (Boletín 16821-19, refundido con 15869-19)</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Ingreso 7-may-2024; aprobado por la Cámara oct-2025</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Clasificación por riesgo (inaceptable, alto, limitado, sin riesgo evidente). En segundo trámite en el Senado, con urgencia simple (sep-2026).</w:t>
            </w:r>
          </w:p>
        </w:tc>
        <w:tc>
          <w:tcPr>
            <w:tcW w:type="dxa" w:w="1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En trámite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Política Nacional de IA (actualizada)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May-2024</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IA "controlada y vigilada adecuadamente por seres humanos"; alineada con la Recomendación UNESCO 2021.</w:t>
            </w:r>
          </w:p>
        </w:tc>
        <w:tc>
          <w:tcPr>
            <w:tcW w:type="dxa" w:w="1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Vigente (orientadora)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Oficio Circular N° 711 (SEGPRES y Minciencia)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Dic-2023; rige desde ene-2024</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No introducir datos personales, en especial sensibles, en herramientas de IA generativa que no hayan sido contratadas</w:t>
            </w:r>
            <w:r>
              <w:rPr>
                <w:rFonts w:ascii="Calibri" w:cs="Calibri" w:eastAsia="Calibri" w:hAnsi="Calibri"/>
                <w:b w:val="false"/>
                <w:bCs w:val="false"/>
                <w:color w:val="334155"/>
                <w:sz w:val="16"/>
                <w:szCs w:val="16"/>
              </w:rPr>
              <w:t xml:space="preserve"> por el órgano; informar a la ciudadanía qué herramientas de IA se usan; evaluar si la IA es la solución adecuada.</w:t>
            </w:r>
          </w:p>
        </w:tc>
        <w:tc>
          <w:tcPr>
            <w:tcW w:type="dxa" w:w="1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Res. Ex. 372/2024 del CPLT (transparencia algorítmica)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12-ago-2024</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Para sistemas que apoyan o reemplazan decisiones que terminan en actos administrativos: publicar finalidad, lógica, datos usados e intervención humana.</w:t>
            </w:r>
          </w:p>
        </w:tc>
        <w:tc>
          <w:tcPr>
            <w:tcW w:type="dxa" w:w="1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Vigente (recomendación)</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Ley 21.719, art. 8 bis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1-dic-2026</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Derecho a explicación e intervención humana frente a decisiones automatizadas (Sección 06).</w:t>
            </w:r>
          </w:p>
        </w:tc>
        <w:tc>
          <w:tcPr>
            <w:tcW w:type="dxa" w:w="1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6"/>
                <w:szCs w:val="16"/>
              </w:rPr>
              <w:t xml:space="preserve">Por entrar en vigor</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10.1  </w:t>
      </w:r>
      <w:r>
        <w:rPr>
          <w:rFonts w:ascii="Calibri" w:cs="Calibri" w:eastAsia="Calibri" w:hAnsi="Calibri"/>
          <w:b/>
          <w:bCs/>
          <w:color w:val="0F172A"/>
          <w:sz w:val="25"/>
          <w:szCs w:val="25"/>
        </w:rPr>
        <w:t xml:space="preserve">Principios de diseño que se derivan</w:t>
      </w:r>
    </w:p>
    <w:p>
      <w:pPr>
        <w:pStyle w:val="ListParagraph"/>
        <w:numPr>
          <w:ilvl w:val="0"/>
          <w:numId w:val="2"/>
        </w:numPr>
        <w:spacing w:after="70" w:line="264"/>
      </w:pPr>
      <w:r>
        <w:rPr>
          <w:b/>
          <w:bCs/>
          <w:color w:val="0F172A"/>
          <w:sz w:val="20"/>
          <w:szCs w:val="20"/>
        </w:rPr>
        <w:t xml:space="preserve">Humano en el circuito.</w:t>
      </w:r>
      <w:r>
        <w:rPr>
          <w:color w:val="334155"/>
          <w:sz w:val="20"/>
          <w:szCs w:val="20"/>
        </w:rPr>
        <w:t xml:space="preserve"> La IA propone y un funcionario competente decide. LAYA ya funciona así (tarjetas de acción que se aprueban o descartan): esa característica debe mantenerse en cualquier adaptación.</w:t>
      </w:r>
    </w:p>
    <w:p>
      <w:pPr>
        <w:pStyle w:val="ListParagraph"/>
        <w:numPr>
          <w:ilvl w:val="0"/>
          <w:numId w:val="2"/>
        </w:numPr>
        <w:spacing w:after="70" w:line="264"/>
      </w:pPr>
      <w:r>
        <w:rPr>
          <w:b/>
          <w:bCs/>
          <w:color w:val="0F172A"/>
          <w:sz w:val="20"/>
          <w:szCs w:val="20"/>
        </w:rPr>
        <w:t xml:space="preserve">Modelo local para datos de salud.</w:t>
      </w:r>
      <w:r>
        <w:rPr>
          <w:color w:val="334155"/>
          <w:sz w:val="20"/>
          <w:szCs w:val="20"/>
        </w:rPr>
        <w:t xml:space="preserve"> Por el Oficio 711 y la Ley 21.719, los datos de licencias no deben enviarse a modelos en la nube (Claude, GPT, Gemini) salvo contrato institucional y análisis de transferencia; la opción preferente es un modelo local (por ejemplo, vía Ollama).</w:t>
      </w:r>
    </w:p>
    <w:p>
      <w:pPr>
        <w:pStyle w:val="ListParagraph"/>
        <w:numPr>
          <w:ilvl w:val="0"/>
          <w:numId w:val="2"/>
        </w:numPr>
        <w:spacing w:after="70" w:line="264"/>
      </w:pPr>
      <w:r>
        <w:rPr>
          <w:b/>
          <w:bCs/>
          <w:color w:val="0F172A"/>
          <w:sz w:val="20"/>
          <w:szCs w:val="20"/>
        </w:rPr>
        <w:t xml:space="preserve">Transparencia.</w:t>
      </w:r>
      <w:r>
        <w:rPr>
          <w:color w:val="334155"/>
          <w:sz w:val="20"/>
          <w:szCs w:val="20"/>
        </w:rPr>
        <w:t xml:space="preserve"> Publicar o al menos documentar internamente qué hace cada modelo, con qué datos y cuál es la intervención humana (Res. CPLT 372/2024).</w:t>
      </w:r>
    </w:p>
    <w:p>
      <w:pPr>
        <w:pStyle w:val="ListParagraph"/>
        <w:numPr>
          <w:ilvl w:val="0"/>
          <w:numId w:val="2"/>
        </w:numPr>
        <w:spacing w:after="70" w:line="264"/>
      </w:pPr>
      <w:r>
        <w:rPr>
          <w:b/>
          <w:bCs/>
          <w:color w:val="0F172A"/>
          <w:sz w:val="20"/>
          <w:szCs w:val="20"/>
        </w:rPr>
        <w:t xml:space="preserve">Trazabilidad.</w:t>
      </w:r>
      <w:r>
        <w:rPr>
          <w:color w:val="334155"/>
          <w:sz w:val="20"/>
          <w:szCs w:val="20"/>
        </w:rPr>
        <w:t xml:space="preserve"> Registrar cada propuesta de la IA y la decisión humana asociada, sin datos clínicos en los registros.</w:t>
      </w:r>
    </w:p>
    <w:p>
      <w:pPr>
        <w:pStyle w:val="ListParagraph"/>
        <w:numPr>
          <w:ilvl w:val="0"/>
          <w:numId w:val="2"/>
        </w:numPr>
        <w:spacing w:after="70" w:line="264"/>
      </w:pPr>
      <w:r>
        <w:rPr>
          <w:b/>
          <w:bCs/>
          <w:color w:val="0F172A"/>
          <w:sz w:val="20"/>
          <w:szCs w:val="20"/>
        </w:rPr>
        <w:t xml:space="preserve">Preparación para el alto riesgo.</w:t>
      </w:r>
      <w:r>
        <w:rPr>
          <w:color w:val="334155"/>
          <w:sz w:val="20"/>
          <w:szCs w:val="20"/>
        </w:rPr>
        <w:t xml:space="preserve"> Usos en empleo y gestión de personas son candidatos naturales a "alto riesgo" en marcos comparados; el texto chileno aprobado por la Cámara no trae listado sectorial </w:t>
      </w:r>
      <w:r>
        <w:rPr>
          <w:b/>
          <w:bCs/>
          <w:color w:val="0F172A"/>
          <w:sz w:val="20"/>
          <w:szCs w:val="20"/>
        </w:rPr>
        <w:t xml:space="preserve">[por confirmar]</w:t>
      </w:r>
      <w:r>
        <w:rPr>
          <w:color w:val="334155"/>
          <w:sz w:val="20"/>
          <w:szCs w:val="20"/>
        </w:rPr>
        <w:t xml:space="preserve">. Diseñar con evaluación de impacto anticipa esa exigencia.</w:t>
      </w:r>
    </w:p>
    <w:p>
      <w:pPr>
        <w:keepNext/>
        <w:pageBreakBefore/>
        <w:spacing w:after="60"/>
      </w:pPr>
      <w:r>
        <w:rPr>
          <w:rFonts w:ascii="Consolas" w:cs="Consolas" w:eastAsia="Consolas" w:hAnsi="Consolas"/>
          <w:b/>
          <w:bCs/>
          <w:color w:val="0D9488"/>
          <w:spacing w:val="30"/>
          <w:sz w:val="16"/>
          <w:szCs w:val="16"/>
        </w:rPr>
        <w:t xml:space="preserve">SECCIÓN 11</w:t>
      </w:r>
      <w:r>
        <w:rPr>
          <w:rFonts w:ascii="Consolas" w:cs="Consolas" w:eastAsia="Consolas" w:hAnsi="Consolas"/>
          <w:color w:val="94A3B8"/>
          <w:sz w:val="16"/>
          <w:szCs w:val="16"/>
        </w:rPr>
        <w:t xml:space="preserve">  /  nube</w:t>
      </w:r>
    </w:p>
    <w:p>
      <w:pPr>
        <w:pStyle w:val="Heading1"/>
        <w:keepNext/>
        <w:pBdr>
          <w:bottom w:val="single" w:color="E2E8F0" w:sz="6" w:space="6"/>
        </w:pBdr>
        <w:spacing w:after="160"/>
      </w:pPr>
      <w:r>
        <w:rPr>
          <w:rFonts w:ascii="Calibri" w:cs="Calibri" w:eastAsia="Calibri" w:hAnsi="Calibri"/>
          <w:b/>
          <w:bCs/>
          <w:color w:val="0F172A"/>
          <w:sz w:val="34"/>
          <w:szCs w:val="34"/>
        </w:rPr>
        <w:t xml:space="preserve">Nube y localización de datos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solución del SLEP Los Álamos funciona en un servidor de Amazon (AWS). Dónde quedan físicamente los datos de salud tiene consecuencias legales.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Determinar si la nube es admisible, en qué región y con qué contrato.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las recomendaciones de la Secretaría de Gobierno Digital, la Directiva ChileCompra N° 32, la Ley 21.719 y la disponibilidad de regiones en Chile.</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11.1  </w:t>
      </w:r>
      <w:r>
        <w:rPr>
          <w:rFonts w:ascii="Calibri" w:cs="Calibri" w:eastAsia="Calibri" w:hAnsi="Calibri"/>
          <w:b/>
          <w:bCs/>
          <w:color w:val="0F172A"/>
          <w:sz w:val="25"/>
          <w:szCs w:val="25"/>
        </w:rPr>
        <w:t xml:space="preserve">Regla general</w:t>
      </w:r>
    </w:p>
    <w:p>
      <w:pPr>
        <w:spacing w:after="140" w:before="0" w:line="276"/>
        <w:jc w:val="left"/>
      </w:pPr>
      <w:r>
        <w:rPr>
          <w:rFonts w:ascii="Calibri" w:cs="Calibri" w:eastAsia="Calibri" w:hAnsi="Calibri"/>
          <w:color w:val="334155"/>
          <w:sz w:val="20"/>
          <w:szCs w:val="20"/>
        </w:rPr>
        <w:t xml:space="preserve">Según las recomendaciones de la Secretaría de Gobierno Digital para adquirir nube pública, "la normativa chilena, por regla general, </w:t>
      </w:r>
      <w:r>
        <w:rPr>
          <w:rFonts w:ascii="Calibri" w:cs="Calibri" w:eastAsia="Calibri" w:hAnsi="Calibri"/>
          <w:b/>
          <w:bCs/>
          <w:color w:val="0F172A"/>
          <w:sz w:val="20"/>
          <w:szCs w:val="20"/>
        </w:rPr>
        <w:t xml:space="preserve">no exige que los datos deban estar ubicados dentro de las fronteras nacionales</w:t>
      </w:r>
      <w:r>
        <w:rPr>
          <w:rFonts w:ascii="Calibri" w:cs="Calibri" w:eastAsia="Calibri" w:hAnsi="Calibri"/>
          <w:color w:val="334155"/>
          <w:sz w:val="20"/>
          <w:szCs w:val="20"/>
        </w:rPr>
        <w:t xml:space="preserve">", salvo norma sectorial. Los datos son de propiedad del órgano contratante y el contrato debe asegurar su devolución en formatos estándar. No se encontró una política "cloud first" vinculante; la </w:t>
      </w:r>
      <w:r>
        <w:rPr>
          <w:rFonts w:ascii="Calibri" w:cs="Calibri" w:eastAsia="Calibri" w:hAnsi="Calibri"/>
          <w:b/>
          <w:bCs/>
          <w:color w:val="0F172A"/>
          <w:sz w:val="20"/>
          <w:szCs w:val="20"/>
        </w:rPr>
        <w:t xml:space="preserve">Directiva ChileCompra N° 32</w:t>
      </w:r>
      <w:r>
        <w:rPr>
          <w:rFonts w:ascii="Calibri" w:cs="Calibri" w:eastAsia="Calibri" w:hAnsi="Calibri"/>
          <w:color w:val="334155"/>
          <w:sz w:val="20"/>
          <w:szCs w:val="20"/>
        </w:rPr>
        <w:t xml:space="preserve"> (2018) entrega recomendaciones no vinculantes de cláusulas.</w:t>
      </w:r>
    </w:p>
    <w:p>
      <w:pPr>
        <w:pStyle w:val="Heading2"/>
        <w:keepNext/>
        <w:spacing w:after="120" w:before="260"/>
      </w:pPr>
      <w:r>
        <w:rPr>
          <w:rFonts w:ascii="Consolas" w:cs="Consolas" w:eastAsia="Consolas" w:hAnsi="Consolas"/>
          <w:b/>
          <w:bCs/>
          <w:color w:val="0D9488"/>
          <w:sz w:val="22"/>
          <w:szCs w:val="22"/>
        </w:rPr>
        <w:t xml:space="preserve">11.2  </w:t>
      </w:r>
      <w:r>
        <w:rPr>
          <w:rFonts w:ascii="Calibri" w:cs="Calibri" w:eastAsia="Calibri" w:hAnsi="Calibri"/>
          <w:b/>
          <w:bCs/>
          <w:color w:val="0F172A"/>
          <w:sz w:val="25"/>
          <w:szCs w:val="25"/>
        </w:rPr>
        <w:t xml:space="preserve">Regiones disponibles a la fecha de corte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4200"/>
        <w:gridCol w:w="2940"/>
      </w:tblGrid>
      <w:tr>
        <w:trPr>
          <w:tblHeader/>
        </w:trPr>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PROVEEDOR</w:t>
            </w:r>
          </w:p>
        </w:tc>
        <w:tc>
          <w:tcPr>
            <w:tcW w:type="dxa" w:w="4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REGIÓN EN CHILE</w:t>
            </w:r>
          </w:p>
        </w:tc>
        <w:tc>
          <w:tcPr>
            <w:tcW w:type="dxa" w:w="29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 AL 2-OCT-2026</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Amazon Web Services</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Región Chile (anunciada en mayo de 2025, inversión de más de US$ 4.000 millones)</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Anunciada para fines de 2026, no operativa</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Microsoft Azure</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Chile Central</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Operativa desde junio de 2025</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Google Cloud</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Santiago</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Operativa desde fines de 2021</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Servidor institucional (on-premise)</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Infraestructura de la DEP</w:t>
            </w:r>
          </w:p>
        </w:tc>
        <w:tc>
          <w:tcPr>
            <w:tcW w:type="dxa" w:w="2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Disponible; es el destino del Validador</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11.3  </w:t>
      </w:r>
      <w:r>
        <w:rPr>
          <w:rFonts w:ascii="Calibri" w:cs="Calibri" w:eastAsia="Calibri" w:hAnsi="Calibri"/>
          <w:b/>
          <w:bCs/>
          <w:color w:val="0F172A"/>
          <w:sz w:val="25"/>
          <w:szCs w:val="25"/>
        </w:rPr>
        <w:t xml:space="preserve">Consecuencias para datos de salud</w:t>
      </w:r>
    </w:p>
    <w:p>
      <w:pPr>
        <w:pStyle w:val="ListParagraph"/>
        <w:numPr>
          <w:ilvl w:val="0"/>
          <w:numId w:val="2"/>
        </w:numPr>
        <w:spacing w:after="70" w:line="264"/>
      </w:pPr>
      <w:r>
        <w:rPr>
          <w:b/>
          <w:bCs/>
          <w:color w:val="0F172A"/>
          <w:sz w:val="20"/>
          <w:szCs w:val="20"/>
        </w:rPr>
        <w:t xml:space="preserve">Transferencia internacional.</w:t>
      </w:r>
      <w:r>
        <w:rPr>
          <w:color w:val="334155"/>
          <w:sz w:val="20"/>
          <w:szCs w:val="20"/>
        </w:rPr>
        <w:t xml:space="preserve"> Alojar datos de licencias en una región fuera de Chile (por ejemplo, São Paulo o Estados Unidos) es una transferencia internacional (Título V de la Ley 21.719, aplicable a órganos públicos). Mientras la Agencia no publique países adecuados ni cláusulas modelo, la vía es el art. 27 b): </w:t>
      </w:r>
      <w:r>
        <w:rPr>
          <w:b/>
          <w:bCs/>
          <w:color w:val="0F172A"/>
          <w:sz w:val="20"/>
          <w:szCs w:val="20"/>
        </w:rPr>
        <w:t xml:space="preserve">cláusulas contractuales con garantías adecuadas</w:t>
      </w:r>
      <w:r>
        <w:rPr>
          <w:color w:val="334155"/>
          <w:sz w:val="20"/>
          <w:szCs w:val="20"/>
        </w:rPr>
        <w:t xml:space="preserve">.</w:t>
      </w:r>
    </w:p>
    <w:p>
      <w:pPr>
        <w:pStyle w:val="ListParagraph"/>
        <w:numPr>
          <w:ilvl w:val="0"/>
          <w:numId w:val="2"/>
        </w:numPr>
        <w:spacing w:after="70" w:line="264"/>
      </w:pPr>
      <w:r>
        <w:rPr>
          <w:b/>
          <w:bCs/>
          <w:color w:val="0F172A"/>
          <w:sz w:val="20"/>
          <w:szCs w:val="20"/>
        </w:rPr>
        <w:t xml:space="preserve">Contrato de encargo.</w:t>
      </w:r>
      <w:r>
        <w:rPr>
          <w:color w:val="334155"/>
          <w:sz w:val="20"/>
          <w:szCs w:val="20"/>
        </w:rPr>
        <w:t xml:space="preserve"> El proveedor de nube es encargado del tratamiento (art. 15 bis): el contrato debe fijar finalidad, datos, duración, subencargos autorizados, cifrado, ubicación declarada de los datos, SLA, salida y supresión al término.</w:t>
      </w:r>
    </w:p>
    <w:p>
      <w:pPr>
        <w:pStyle w:val="ListParagraph"/>
        <w:numPr>
          <w:ilvl w:val="0"/>
          <w:numId w:val="2"/>
        </w:numPr>
        <w:spacing w:after="70" w:line="264"/>
      </w:pPr>
      <w:r>
        <w:rPr>
          <w:b/>
          <w:bCs/>
          <w:color w:val="0F172A"/>
          <w:sz w:val="20"/>
          <w:szCs w:val="20"/>
        </w:rPr>
        <w:t xml:space="preserve">Ciberseguridad.</w:t>
      </w:r>
      <w:r>
        <w:rPr>
          <w:color w:val="334155"/>
          <w:sz w:val="20"/>
          <w:szCs w:val="20"/>
        </w:rPr>
        <w:t xml:space="preserve"> El contrato debe permitir cumplir los plazos de reporte de la Ley 21.663 (3 horas).</w:t>
      </w:r>
    </w:p>
    <w:p>
      <w:pPr>
        <w:pStyle w:val="ListParagraph"/>
        <w:numPr>
          <w:ilvl w:val="0"/>
          <w:numId w:val="2"/>
        </w:numPr>
        <w:spacing w:after="70" w:line="264"/>
      </w:pPr>
      <w:r>
        <w:rPr>
          <w:b/>
          <w:bCs/>
          <w:color w:val="0F172A"/>
          <w:sz w:val="20"/>
          <w:szCs w:val="20"/>
        </w:rPr>
        <w:t xml:space="preserve">Responsables.</w:t>
      </w:r>
      <w:r>
        <w:rPr>
          <w:color w:val="334155"/>
          <w:sz w:val="20"/>
          <w:szCs w:val="20"/>
        </w:rPr>
        <w:t xml:space="preserve"> Si un SLEP procesa datos de otros SLEP en su servidor, actúa como encargado de esos SLEP y requiere convenio escrito.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Para datos de licencias médicas, preferir en este orden: (1) servidor institucional de la DEP; (2) región de nube </w:t>
            </w:r>
            <w:r>
              <w:rPr>
                <w:b/>
                <w:bCs/>
                <w:color w:val="0F172A"/>
                <w:sz w:val="19"/>
                <w:szCs w:val="19"/>
              </w:rPr>
              <w:t xml:space="preserve">ubicada en Chile</w:t>
            </w:r>
            <w:r>
              <w:rPr>
                <w:color w:val="334155"/>
                <w:sz w:val="19"/>
                <w:szCs w:val="19"/>
              </w:rPr>
              <w:t xml:space="preserve"> contratada por convenio marco; (3) región extranjera solo con cláusulas contractuales y evaluación de impacto. La IA local resuelve este problema por diseño.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12</w:t>
      </w:r>
      <w:r>
        <w:rPr>
          <w:rFonts w:ascii="Consolas" w:cs="Consolas" w:eastAsia="Consolas" w:hAnsi="Consolas"/>
          <w:color w:val="94A3B8"/>
          <w:sz w:val="16"/>
          <w:szCs w:val="16"/>
        </w:rPr>
        <w:t xml:space="preserve">  /  compras</w:t>
      </w:r>
    </w:p>
    <w:p>
      <w:pPr>
        <w:pStyle w:val="Heading1"/>
        <w:keepNext/>
        <w:pBdr>
          <w:bottom w:val="single" w:color="E2E8F0" w:sz="6" w:space="6"/>
        </w:pBdr>
        <w:spacing w:after="160"/>
      </w:pPr>
      <w:r>
        <w:rPr>
          <w:rFonts w:ascii="Calibri" w:cs="Calibri" w:eastAsia="Calibri" w:hAnsi="Calibri"/>
          <w:b/>
          <w:bCs/>
          <w:color w:val="0F172A"/>
          <w:sz w:val="34"/>
          <w:szCs w:val="34"/>
        </w:rPr>
        <w:t xml:space="preserve">Compras públicas y contratación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Cada camino de automatización implica comprar algo: licencias, nube, hardware o servicios. Los informes de factibilidad y técnicos deben costear con las reglas de compra correctas.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Saber por qué vía se puede adquirir cada componente y qué límites tiene la contratación de personas.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 Ley 19.886 modificada por la Ley 21.634, el DS 661/2024, los convenios marco vigentes, EvalTIC y el art. 11 del Estatuto Administrativo.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12.1  </w:t>
      </w:r>
      <w:r>
        <w:rPr>
          <w:rFonts w:ascii="Calibri" w:cs="Calibri" w:eastAsia="Calibri" w:hAnsi="Calibri"/>
          <w:b/>
          <w:bCs/>
          <w:color w:val="0F172A"/>
          <w:sz w:val="25"/>
          <w:szCs w:val="25"/>
        </w:rPr>
        <w:t xml:space="preserve">Marco vigente</w:t>
      </w:r>
    </w:p>
    <w:p>
      <w:pPr>
        <w:spacing w:after="140" w:before="0" w:line="276"/>
        <w:jc w:val="left"/>
      </w:pPr>
      <w:r>
        <w:rPr>
          <w:rFonts w:ascii="Calibri" w:cs="Calibri" w:eastAsia="Calibri" w:hAnsi="Calibri"/>
          <w:color w:val="334155"/>
          <w:sz w:val="20"/>
          <w:szCs w:val="20"/>
        </w:rPr>
        <w:t xml:space="preserve">La </w:t>
      </w:r>
      <w:r>
        <w:rPr>
          <w:rFonts w:ascii="Calibri" w:cs="Calibri" w:eastAsia="Calibri" w:hAnsi="Calibri"/>
          <w:b/>
          <w:bCs/>
          <w:color w:val="0F172A"/>
          <w:sz w:val="20"/>
          <w:szCs w:val="20"/>
        </w:rPr>
        <w:t xml:space="preserve">Ley 21.634</w:t>
      </w:r>
      <w:r>
        <w:rPr>
          <w:rFonts w:ascii="Calibri" w:cs="Calibri" w:eastAsia="Calibri" w:hAnsi="Calibri"/>
          <w:color w:val="334155"/>
          <w:sz w:val="20"/>
          <w:szCs w:val="20"/>
        </w:rPr>
        <w:t xml:space="preserve"> (11-dic-2023) modernizó la Ley 19.886 de compras públicas; el nuevo régimen y su reglamento, el </w:t>
      </w:r>
      <w:r>
        <w:rPr>
          <w:rFonts w:ascii="Calibri" w:cs="Calibri" w:eastAsia="Calibri" w:hAnsi="Calibri"/>
          <w:b/>
          <w:bCs/>
          <w:color w:val="0F172A"/>
          <w:sz w:val="20"/>
          <w:szCs w:val="20"/>
        </w:rPr>
        <w:t xml:space="preserve">DS 661/2024</w:t>
      </w:r>
      <w:r>
        <w:rPr>
          <w:rFonts w:ascii="Calibri" w:cs="Calibri" w:eastAsia="Calibri" w:hAnsi="Calibri"/>
          <w:color w:val="334155"/>
          <w:sz w:val="20"/>
          <w:szCs w:val="20"/>
        </w:rPr>
        <w:t xml:space="preserve"> de Hacienda, rigen desde el </w:t>
      </w:r>
      <w:r>
        <w:rPr>
          <w:rFonts w:ascii="Calibri" w:cs="Calibri" w:eastAsia="Calibri" w:hAnsi="Calibri"/>
          <w:b/>
          <w:bCs/>
          <w:color w:val="0F172A"/>
          <w:sz w:val="20"/>
          <w:szCs w:val="20"/>
        </w:rPr>
        <w:t xml:space="preserve">12 de diciembre de 2024</w:t>
      </w:r>
      <w:r>
        <w:rPr>
          <w:rFonts w:ascii="Calibri" w:cs="Calibri" w:eastAsia="Calibri" w:hAnsi="Calibri"/>
          <w:color w:val="334155"/>
          <w:sz w:val="20"/>
          <w:szCs w:val="20"/>
        </w:rPr>
        <w:t xml:space="preserve">. Valor de la UTM en octubre de 2026: </w:t>
      </w:r>
      <w:r>
        <w:rPr>
          <w:rFonts w:ascii="Calibri" w:cs="Calibri" w:eastAsia="Calibri" w:hAnsi="Calibri"/>
          <w:b/>
          <w:bCs/>
          <w:color w:val="0F172A"/>
          <w:sz w:val="20"/>
          <w:szCs w:val="20"/>
        </w:rPr>
        <w:t xml:space="preserve">$72.151</w:t>
      </w:r>
      <w:r>
        <w:rPr>
          <w:rFonts w:ascii="Calibri" w:cs="Calibri" w:eastAsia="Calibri" w:hAnsi="Calibri"/>
          <w:color w:val="334155"/>
          <w:sz w:val="20"/>
          <w:szCs w:val="20"/>
        </w:rPr>
        <w:t xml:space="preserve"> (SII).</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4900"/>
        <w:gridCol w:w="2740"/>
      </w:tblGrid>
      <w:tr>
        <w:trPr>
          <w:tblHeader/>
        </w:trPr>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PROCEDIMIENTO</w:t>
            </w:r>
          </w:p>
        </w:tc>
        <w:tc>
          <w:tcPr>
            <w:tcW w:type="dxa" w:w="4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2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MONTO APROXIMADO</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Compra Ágil</w:t>
            </w:r>
          </w:p>
        </w:tc>
        <w:tc>
          <w:tcPr>
            <w:tcW w:type="dxa" w:w="4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Hasta 100 UTM, mínimo 3 cotizaciones en Mercado Público (DS 661, arts. 97–98)</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Hasta $7.215.100</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Convenio marco</w:t>
            </w:r>
          </w:p>
        </w:tc>
        <w:tc>
          <w:tcPr>
            <w:tcW w:type="dxa" w:w="4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Catálogo de ChileCompra para compras sobre 100 UTM</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Sobre $7.215.100</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Trato directo</w:t>
            </w:r>
          </w:p>
        </w:tc>
        <w:tc>
          <w:tcPr>
            <w:tcW w:type="dxa" w:w="4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Solo por causales (art. 8 Ley 19.886 y art. 71 DS 661): proveedor único, emergencia, compatibilidad con sistemas existentes, entre otras</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Sobre 1.000 UTM ($72.151.000) publicación obligatoria de la resolución</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Licitación pública</w:t>
            </w:r>
          </w:p>
        </w:tc>
        <w:tc>
          <w:tcPr>
            <w:tcW w:type="dxa" w:w="4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Regla general; sobre 5.000 UTM exige garantía de seriedad y análisis técnico-económico</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Sobre $360.755.000 (garantía)</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12.2  </w:t>
      </w:r>
      <w:r>
        <w:rPr>
          <w:rFonts w:ascii="Calibri" w:cs="Calibri" w:eastAsia="Calibri" w:hAnsi="Calibri"/>
          <w:b/>
          <w:bCs/>
          <w:color w:val="0F172A"/>
          <w:sz w:val="25"/>
          <w:szCs w:val="25"/>
        </w:rPr>
        <w:t xml:space="preserve">Convenios marco relevantes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4300"/>
        <w:gridCol w:w="2140"/>
      </w:tblGrid>
      <w:tr>
        <w:trPr>
          <w:tblHeader/>
        </w:trPr>
        <w:tc>
          <w:tcPr>
            <w:tcW w:type="dxa" w:w="3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CONVENIO</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ALCANCE</w:t>
            </w:r>
          </w:p>
        </w:tc>
        <w:tc>
          <w:tcPr>
            <w:tcW w:type="dxa" w:w="2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2239-19-LR23 Desarrollo y Mantención de Software, Servicios Profesionales TI e IaaS</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Desarrollo, servicios TI e </w:t>
            </w:r>
            <w:r>
              <w:rPr>
                <w:rFonts w:ascii="Calibri" w:cs="Calibri" w:eastAsia="Calibri" w:hAnsi="Calibri"/>
                <w:b/>
                <w:bCs/>
                <w:color w:val="0F172A"/>
                <w:sz w:val="17"/>
                <w:szCs w:val="17"/>
              </w:rPr>
              <w:t xml:space="preserve">infraestructura como servicio</w:t>
            </w:r>
            <w:r>
              <w:rPr>
                <w:rFonts w:ascii="Calibri" w:cs="Calibri" w:eastAsia="Calibri" w:hAnsi="Calibri"/>
                <w:b w:val="false"/>
                <w:bCs w:val="false"/>
                <w:color w:val="334155"/>
                <w:sz w:val="17"/>
                <w:szCs w:val="17"/>
              </w:rPr>
              <w:t xml:space="preserve"> en nube pública y privada; compras de 100 a 25.000 UTM</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Vigente</w:t>
            </w:r>
          </w:p>
        </w:tc>
      </w:tr>
      <w:tr>
        <w:trPr>
          <w:cantSplit/>
        </w:trPr>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2239-2-LR26 (nuevo)</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Desarrollo; servicios TI que incluyen </w:t>
            </w:r>
            <w:r>
              <w:rPr>
                <w:rFonts w:ascii="Calibri" w:cs="Calibri" w:eastAsia="Calibri" w:hAnsi="Calibri"/>
                <w:b/>
                <w:bCs/>
                <w:color w:val="0F172A"/>
                <w:sz w:val="17"/>
                <w:szCs w:val="17"/>
              </w:rPr>
              <w:t xml:space="preserve">proyectos de IA y automatización RPA</w:t>
            </w:r>
            <w:r>
              <w:rPr>
                <w:rFonts w:ascii="Calibri" w:cs="Calibri" w:eastAsia="Calibri" w:hAnsi="Calibri"/>
                <w:b w:val="false"/>
                <w:bCs w:val="false"/>
                <w:color w:val="334155"/>
                <w:sz w:val="17"/>
                <w:szCs w:val="17"/>
              </w:rPr>
              <w:t xml:space="preserve">; nube IaaS y SaaS mediante créditos</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Ofertas hasta 9-oct-2026; adjudicación estimada 7-dic-2026</w:t>
            </w:r>
          </w:p>
        </w:tc>
      </w:tr>
      <w:tr>
        <w:trPr>
          <w:cantSplit/>
        </w:trPr>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2239-11-LR24 Licencias de Software de Ofimática</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Solo ofimática; no incluye licencias RPA</w:t>
            </w:r>
          </w:p>
        </w:tc>
        <w:tc>
          <w:tcPr>
            <w:tcW w:type="dxa" w:w="2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Vigente</w:t>
            </w:r>
          </w:p>
        </w:tc>
      </w:tr>
    </w:tbl>
    <w:p>
      <w:pPr>
        <w:spacing w:after="120" w:before="0" w:line="120"/>
      </w:pPr>
    </w:p>
    <w:p>
      <w:pPr>
        <w:pStyle w:val="ListParagraph"/>
        <w:numPr>
          <w:ilvl w:val="0"/>
          <w:numId w:val="2"/>
        </w:numPr>
        <w:spacing w:after="70" w:line="264"/>
      </w:pPr>
      <w:r>
        <w:rPr>
          <w:b/>
          <w:bCs/>
          <w:color w:val="0F172A"/>
          <w:sz w:val="20"/>
          <w:szCs w:val="20"/>
        </w:rPr>
        <w:t xml:space="preserve">Licencias RPA</w:t>
      </w:r>
      <w:r>
        <w:rPr>
          <w:color w:val="334155"/>
          <w:sz w:val="20"/>
          <w:szCs w:val="20"/>
        </w:rPr>
        <w:t xml:space="preserve"> (UiPath, Power Automate): si no quedan en el catálogo del nuevo convenio, la vía es licitación o Compra Ágil cuando el monto no supere 100 UTM. Invocar "proveedor único" para una marca exige demostrar que no hay equivalentes.</w:t>
      </w:r>
    </w:p>
    <w:p>
      <w:pPr>
        <w:pStyle w:val="ListParagraph"/>
        <w:numPr>
          <w:ilvl w:val="0"/>
          <w:numId w:val="2"/>
        </w:numPr>
        <w:spacing w:after="70" w:line="264"/>
      </w:pPr>
      <w:r>
        <w:rPr>
          <w:b/>
          <w:bCs/>
          <w:color w:val="0F172A"/>
          <w:sz w:val="20"/>
          <w:szCs w:val="20"/>
        </w:rPr>
        <w:t xml:space="preserve">Nube:</w:t>
      </w:r>
      <w:r>
        <w:rPr>
          <w:color w:val="334155"/>
          <w:sz w:val="20"/>
          <w:szCs w:val="20"/>
        </w:rPr>
        <w:t xml:space="preserve"> el canal natural es la IaaS del convenio marco, mediante revendedores. Pagar directamente al proveedor con tarjeta no sigue el procedimiento de la Ley 19.886 </w:t>
      </w:r>
      <w:r>
        <w:rPr>
          <w:b/>
          <w:bCs/>
          <w:color w:val="0F172A"/>
          <w:sz w:val="20"/>
          <w:szCs w:val="20"/>
        </w:rPr>
        <w:t xml:space="preserve">[interpretación]</w:t>
      </w:r>
      <w:r>
        <w:rPr>
          <w:color w:val="334155"/>
          <w:sz w:val="20"/>
          <w:szCs w:val="20"/>
        </w:rPr>
        <w:t xml:space="preserve">.</w:t>
      </w:r>
    </w:p>
    <w:p>
      <w:pPr>
        <w:pStyle w:val="ListParagraph"/>
        <w:numPr>
          <w:ilvl w:val="0"/>
          <w:numId w:val="2"/>
        </w:numPr>
        <w:spacing w:after="70" w:line="264"/>
      </w:pPr>
      <w:r>
        <w:rPr>
          <w:b/>
          <w:bCs/>
          <w:color w:val="0F172A"/>
          <w:sz w:val="20"/>
          <w:szCs w:val="20"/>
        </w:rPr>
        <w:t xml:space="preserve">EvalTIC:</w:t>
      </w:r>
      <w:r>
        <w:rPr>
          <w:color w:val="334155"/>
          <w:sz w:val="20"/>
          <w:szCs w:val="20"/>
        </w:rPr>
        <w:t xml:space="preserve"> los proyectos TIC se formulan presupuestariamente con la metodología EvalTIC (DIPRES y Gobierno Digital), en los subtítulos 29 (software y equipos) y 22 (servicios, nube y licencias). Sobre MM$500 requieren gobernanza con Gobierno Digital y Hacienda.</w:t>
      </w:r>
    </w:p>
    <w:p>
      <w:pPr>
        <w:pStyle w:val="ListParagraph"/>
        <w:numPr>
          <w:ilvl w:val="0"/>
          <w:numId w:val="2"/>
        </w:numPr>
        <w:spacing w:after="70" w:line="264"/>
      </w:pPr>
      <w:r>
        <w:rPr>
          <w:b/>
          <w:bCs/>
          <w:color w:val="0F172A"/>
          <w:sz w:val="20"/>
          <w:szCs w:val="20"/>
        </w:rPr>
        <w:t xml:space="preserve">Probidad:</w:t>
      </w:r>
      <w:r>
        <w:rPr>
          <w:color w:val="334155"/>
          <w:sz w:val="20"/>
          <w:szCs w:val="20"/>
        </w:rPr>
        <w:t xml:space="preserve"> la Ley 21.634 y el DS 661 amplían el deber de declarar intereses y patrimonio a quienes participan en compras; las reuniones con proveedores pueden quedar sujetas a la Ley 20.730 de lobby.</w:t>
      </w:r>
    </w:p>
    <w:p>
      <w:pPr>
        <w:pStyle w:val="Heading2"/>
        <w:keepNext/>
        <w:spacing w:after="120" w:before="260"/>
      </w:pPr>
      <w:r>
        <w:rPr>
          <w:rFonts w:ascii="Consolas" w:cs="Consolas" w:eastAsia="Consolas" w:hAnsi="Consolas"/>
          <w:b/>
          <w:bCs/>
          <w:color w:val="0D9488"/>
          <w:sz w:val="22"/>
          <w:szCs w:val="22"/>
        </w:rPr>
        <w:t xml:space="preserve">12.3  </w:t>
      </w:r>
      <w:r>
        <w:rPr>
          <w:rFonts w:ascii="Calibri" w:cs="Calibri" w:eastAsia="Calibri" w:hAnsi="Calibri"/>
          <w:b/>
          <w:bCs/>
          <w:color w:val="0F172A"/>
          <w:sz w:val="25"/>
          <w:szCs w:val="25"/>
        </w:rPr>
        <w:t xml:space="preserve">Contratación de personas</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art. 11 del Estatuto Administrativo</w:t>
      </w:r>
      <w:r>
        <w:rPr>
          <w:rFonts w:ascii="Calibri" w:cs="Calibri" w:eastAsia="Calibri" w:hAnsi="Calibri"/>
          <w:color w:val="334155"/>
          <w:sz w:val="20"/>
          <w:szCs w:val="20"/>
        </w:rPr>
        <w:t xml:space="preserve"> permite contratar a honorarios a profesionales, técnicos o expertos para </w:t>
      </w:r>
      <w:r>
        <w:rPr>
          <w:rFonts w:ascii="Calibri" w:cs="Calibri" w:eastAsia="Calibri" w:hAnsi="Calibri"/>
          <w:b/>
          <w:bCs/>
          <w:color w:val="0F172A"/>
          <w:sz w:val="20"/>
          <w:szCs w:val="20"/>
        </w:rPr>
        <w:t xml:space="preserve">labores accidentales y no habituales</w:t>
      </w:r>
      <w:r>
        <w:rPr>
          <w:rFonts w:ascii="Calibri" w:cs="Calibri" w:eastAsia="Calibri" w:hAnsi="Calibri"/>
          <w:color w:val="334155"/>
          <w:sz w:val="20"/>
          <w:szCs w:val="20"/>
        </w:rPr>
        <w:t xml:space="preserve"> de la institución, o para cometidos específicos. La Contraloría (Dictamen E173171N22, 2022) ha reiterado que las funciones habituales y permanentes no corresponden a honorarios.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F172A" w:sz="24"/>
              <w:bottom w:val="none" w:color="FFFFFF" w:sz="0"/>
              <w:right w:val="none" w:color="FFFFFF" w:sz="0"/>
            </w:tcBorders>
            <w:shd w:fill="F8FAFC" w:color="auto" w:val="clear"/>
            <w:tcMar>
              <w:top w:type="dxa" w:w="110"/>
              <w:left w:type="dxa" w:w="220"/>
              <w:bottom w:type="dxa" w:w="110"/>
              <w:right w:type="dxa" w:w="110"/>
            </w:tcMar>
            <w:vAlign w:val="top"/>
          </w:tcPr>
          <w:p>
            <w:pPr>
              <w:spacing w:after="60"/>
            </w:pPr>
            <w:r>
              <w:rPr>
                <w:rFonts w:ascii="Consolas" w:cs="Consolas" w:eastAsia="Consolas" w:hAnsi="Consolas"/>
                <w:b/>
                <w:bCs/>
                <w:color w:val="0F172A"/>
                <w:spacing w:val="20"/>
                <w:sz w:val="15"/>
                <w:szCs w:val="15"/>
              </w:rPr>
              <w:t xml:space="preserve">INTERPRETACIÓN</w:t>
            </w:r>
          </w:p>
          <w:p>
            <w:pPr>
              <w:spacing w:after="50" w:line="260"/>
            </w:pPr>
            <w:r>
              <w:rPr>
                <w:color w:val="334155"/>
                <w:sz w:val="19"/>
                <w:szCs w:val="19"/>
              </w:rPr>
              <w:t xml:space="preserve">El desarrollo acotado de una aplicación con entregables definidos calza con un cometido específico. La </w:t>
            </w:r>
            <w:r>
              <w:rPr>
                <w:b/>
                <w:bCs/>
                <w:color w:val="0F172A"/>
                <w:sz w:val="19"/>
                <w:szCs w:val="19"/>
              </w:rPr>
              <w:t xml:space="preserve">operación y mantención permanente</w:t>
            </w:r>
            <w:r>
              <w:rPr>
                <w:color w:val="334155"/>
                <w:sz w:val="19"/>
                <w:szCs w:val="19"/>
              </w:rPr>
              <w:t xml:space="preserve"> del portal, una vez en producción, es una labor habitual: conviene prever para ella dotación a contrata o un servicio contratado por convenio marco. Este punto debe considerarse en los costos de los informes 8 a 13.</w:t>
            </w:r>
          </w:p>
        </w:tc>
      </w:tr>
    </w:tbl>
    <w:p>
      <w:pPr>
        <w:spacing w:after="140" w:before="0" w:line="120"/>
      </w:pPr>
    </w:p>
    <w:p>
      <w:pPr>
        <w:spacing w:after="140" w:before="0" w:line="276"/>
        <w:jc w:val="left"/>
      </w:pPr>
      <w:r>
        <w:rPr>
          <w:rFonts w:ascii="Calibri" w:cs="Calibri" w:eastAsia="Calibri" w:hAnsi="Calibri"/>
          <w:color w:val="334155"/>
          <w:sz w:val="19"/>
          <w:szCs w:val="19"/>
        </w:rPr>
        <w:t xml:space="preserve">Para los costos de la serie se usa el valor informado por la jefatura: </w:t>
      </w:r>
      <w:r>
        <w:rPr>
          <w:rFonts w:ascii="Calibri" w:cs="Calibri" w:eastAsia="Calibri" w:hAnsi="Calibri"/>
          <w:b/>
          <w:bCs/>
          <w:color w:val="0F172A"/>
          <w:sz w:val="19"/>
          <w:szCs w:val="19"/>
        </w:rPr>
        <w:t xml:space="preserve">desarrollador a honorarios, $1.200.000 brutos mensuales</w:t>
      </w:r>
      <w:r>
        <w:rPr>
          <w:rFonts w:ascii="Calibri" w:cs="Calibri" w:eastAsia="Calibri" w:hAnsi="Calibri"/>
          <w:color w:val="334155"/>
          <w:sz w:val="19"/>
          <w:szCs w:val="19"/>
        </w:rPr>
        <w:t xml:space="preserve">. El costo para la institución es el monto bruto; la retención de impuesto (15,25% en 2026) es de cargo del prestador.</w:t>
      </w:r>
    </w:p>
    <w:p>
      <w:pPr>
        <w:keepNext/>
        <w:pageBreakBefore/>
        <w:spacing w:after="60"/>
      </w:pPr>
      <w:r>
        <w:rPr>
          <w:rFonts w:ascii="Consolas" w:cs="Consolas" w:eastAsia="Consolas" w:hAnsi="Consolas"/>
          <w:b/>
          <w:bCs/>
          <w:color w:val="0D9488"/>
          <w:spacing w:val="30"/>
          <w:sz w:val="16"/>
          <w:szCs w:val="16"/>
        </w:rPr>
        <w:t xml:space="preserve">SECCIÓN 13</w:t>
      </w:r>
      <w:r>
        <w:rPr>
          <w:rFonts w:ascii="Consolas" w:cs="Consolas" w:eastAsia="Consolas" w:hAnsi="Consolas"/>
          <w:color w:val="94A3B8"/>
          <w:sz w:val="16"/>
          <w:szCs w:val="16"/>
        </w:rPr>
        <w:t xml:space="preserve">  /  licencias de software</w:t>
      </w:r>
    </w:p>
    <w:p>
      <w:pPr>
        <w:pStyle w:val="Heading1"/>
        <w:keepNext/>
        <w:pBdr>
          <w:bottom w:val="single" w:color="E2E8F0" w:sz="6" w:space="6"/>
        </w:pBdr>
        <w:spacing w:after="160"/>
      </w:pPr>
      <w:r>
        <w:rPr>
          <w:rFonts w:ascii="Calibri" w:cs="Calibri" w:eastAsia="Calibri" w:hAnsi="Calibri"/>
          <w:b/>
          <w:bCs/>
          <w:color w:val="0F172A"/>
          <w:sz w:val="34"/>
          <w:szCs w:val="34"/>
        </w:rPr>
        <w:t xml:space="preserve">Propiedad intelectual y licencias de software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publicar el código bajo GPLv3, reutilizar LAYA o desplegar modelos de IA, la DEP debe ser titular de lo que desarrolla y cumplir las licencias de lo que usa.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Asegurar que la institución sea dueña de GDP-SLEP Studio y que cada componente de terceros pueda usarse en las condiciones previstas.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 la Ley 17.336, jurisprudencia reciente y las licencias de cada componente del proyecto.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13.1  </w:t>
      </w:r>
      <w:r>
        <w:rPr>
          <w:rFonts w:ascii="Calibri" w:cs="Calibri" w:eastAsia="Calibri" w:hAnsi="Calibri"/>
          <w:b/>
          <w:bCs/>
          <w:color w:val="0F172A"/>
          <w:sz w:val="25"/>
          <w:szCs w:val="25"/>
        </w:rPr>
        <w:t xml:space="preserve">Quién es dueño del software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3300"/>
        <w:gridCol w:w="3240"/>
      </w:tblGrid>
      <w:tr>
        <w:trPr>
          <w:tblHeader/>
        </w:trPr>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w:t>
            </w:r>
          </w:p>
        </w:tc>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3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TITULAR</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Desarrollado por funcionarios en ejercicio de sus funciones</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Ley 17.336, art. 8 inc. 2°</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empleador, salvo estipulación escrita en contrario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Desarrollado por encargo de un tercero (incluye honorarios)</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Ley 17.336, art. 8 inc. 3°; Corte Suprema, Rol 20.303-2026 (2-jun-2026)</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 presumen cedidos al que encargó, salvo estipulación escrita en contrario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Desarrollado durante una práctica profesional</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Código del Trabajo, art. 8 (la práctica no constituye contrato de trabajo)</w:t>
            </w:r>
          </w:p>
        </w:tc>
        <w:tc>
          <w:tcPr>
            <w:tcW w:type="dxa" w:w="3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No está claramente cubierto: riesgo de que el autor conserve la titularidad</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Suscribir un </w:t>
            </w:r>
            <w:r>
              <w:rPr>
                <w:b/>
                <w:bCs/>
                <w:color w:val="0F172A"/>
                <w:sz w:val="19"/>
                <w:szCs w:val="19"/>
              </w:rPr>
              <w:t xml:space="preserve">instrumento de cesión de derechos patrimoniales</w:t>
            </w:r>
            <w:r>
              <w:rPr>
                <w:color w:val="334155"/>
                <w:sz w:val="19"/>
                <w:szCs w:val="19"/>
              </w:rPr>
              <w:t xml:space="preserve"> a la DEP que cubra tanto el período de práctica (PMV en HTML, junio–julio 2026) como el contrato a honorarios, con autorización para licenciar bajo GPLv3, entrega del código fuente y documentación, e inventario de componentes de terceros.</w:t>
            </w:r>
          </w:p>
          <w:p>
            <w:pPr>
              <w:spacing w:after="50" w:line="260"/>
            </w:pPr>
            <w:r>
              <w:rPr>
                <w:color w:val="334155"/>
                <w:sz w:val="19"/>
                <w:szCs w:val="19"/>
              </w:rPr>
              <w:t xml:space="preserve">La transferencia se formaliza por instrumento público o privado autorizado ante notario (art. 73) y puede registrarse en el Departamento de Derechos Intelectuales como prueba. Los derechos morales del autor no se ceden.</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13.2  </w:t>
      </w:r>
      <w:r>
        <w:rPr>
          <w:rFonts w:ascii="Calibri" w:cs="Calibri" w:eastAsia="Calibri" w:hAnsi="Calibri"/>
          <w:b/>
          <w:bCs/>
          <w:color w:val="0F172A"/>
          <w:sz w:val="25"/>
          <w:szCs w:val="25"/>
        </w:rPr>
        <w:t xml:space="preserve">Licencias de los componentes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2400"/>
        <w:gridCol w:w="50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COMPONENTE</w:t>
            </w:r>
          </w:p>
        </w:tc>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LICENCIA</w:t>
            </w:r>
          </w:p>
        </w:tc>
        <w:tc>
          <w:tcPr>
            <w:tcW w:type="dxa" w:w="5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IMPLICA PARA EL PROYECTO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GDP-SLEP Studio</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GPLv3</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Recomendada por la Guía de software. Puede incorporar código Apache-2.0, pero no al revés. Requiere que la DEP sea titular (13.1).</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LAYA</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Apache-2.0</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Uso, modificación y redistribución permitidos, con aviso de licencia. </w:t>
            </w:r>
            <w:r>
              <w:rPr>
                <w:rFonts w:ascii="Calibri" w:cs="Calibri" w:eastAsia="Calibri" w:hAnsi="Calibri"/>
                <w:b/>
                <w:bCs/>
                <w:color w:val="0F172A"/>
                <w:sz w:val="15"/>
                <w:szCs w:val="15"/>
              </w:rPr>
              <w:t xml:space="preserve">No trae conectores para FONASA ni licencias médicas</w:t>
            </w:r>
            <w:r>
              <w:rPr>
                <w:rFonts w:ascii="Calibri" w:cs="Calibri" w:eastAsia="Calibri" w:hAnsi="Calibri"/>
                <w:b w:val="false"/>
                <w:bCs w:val="false"/>
                <w:color w:val="334155"/>
                <w:sz w:val="15"/>
                <w:szCs w:val="15"/>
              </w:rPr>
              <w:t xml:space="preserve">: es un centro de notificaciones de escritorio que habría que adaptar.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n8n (pasarela de LAYA)</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Sustainable Use License ("fair-code", no es open source OSI)</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B45309"/>
                <w:sz w:val="15"/>
                <w:szCs w:val="15"/>
              </w:rPr>
              <w:t xml:space="preserve">Uso solo para "fines internos de negocio" o no comerciales. Si la DEP sirve a 36 SLEP con personalidad jurídica propia, es zona gris: pedir confirmación escrita a n8n o reemplazar por una alternativa permisiva.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Ollama</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MIT</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Sin restricciones relevantes.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Llama 3.x (Meta)</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Llama Community License</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Atribución "Built with Llama", política de uso aceptable y ley de California. Usable, con condiciones.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Mistral Small 3.x · Qwen3 (8B)</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Apache-2.0</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Preferibles para la IA local por su licencia permisiva. Evitar modelos con licencia de no producción (por ejemplo, MNPL).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UiPath</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Suscripción propietaria (usuarios, robots desatendidos, unidades de consumo)</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Costo recurrente; la edición Community tiene requisitos de elegibilidad que deben revisarse para uso institucional.</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Power Automate</w:t>
            </w:r>
          </w:p>
        </w:tc>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Propietaria (Premium por usuario; Process y Hosted Process por bot)</w:t>
            </w:r>
          </w:p>
        </w:tc>
        <w:tc>
          <w:tcPr>
            <w:tcW w:type="dxa" w:w="5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Costo recurrente; integración con el ecosistema Microsoft.</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14</w:t>
      </w:r>
      <w:r>
        <w:rPr>
          <w:rFonts w:ascii="Consolas" w:cs="Consolas" w:eastAsia="Consolas" w:hAnsi="Consolas"/>
          <w:color w:val="94A3B8"/>
          <w:sz w:val="16"/>
          <w:szCs w:val="16"/>
        </w:rPr>
        <w:t xml:space="preserve">  /  vía formal</w:t>
      </w:r>
    </w:p>
    <w:p>
      <w:pPr>
        <w:pStyle w:val="Heading1"/>
        <w:keepNext/>
        <w:pBdr>
          <w:bottom w:val="single" w:color="E2E8F0" w:sz="6" w:space="6"/>
        </w:pBdr>
        <w:spacing w:after="160"/>
      </w:pPr>
      <w:r>
        <w:rPr>
          <w:rFonts w:ascii="Calibri" w:cs="Calibri" w:eastAsia="Calibri" w:hAnsi="Calibri"/>
          <w:b/>
          <w:bCs/>
          <w:color w:val="0F172A"/>
          <w:sz w:val="34"/>
          <w:szCs w:val="34"/>
        </w:rPr>
        <w:t xml:space="preserve">La vía documentada por FONASA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automatizar la tramitación de licencias de forma 100% legal hay que usar los canales que FONASA, la SUSESO y el Estado ya ofrecen o autorizan.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Identificar qué canal formal existe hoy, qué permite y qué pasos debe dar la DEP para usarlo.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Revisión del portal PIEE y su manual, la documentación de los operadores de licencia médica electrónica, el Compendio de la SUSESO y la norma técnica de interoperabilidad.</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14.1  </w:t>
      </w:r>
      <w:r>
        <w:rPr>
          <w:rFonts w:ascii="Calibri" w:cs="Calibri" w:eastAsia="Calibri" w:hAnsi="Calibri"/>
          <w:b/>
          <w:bCs/>
          <w:color w:val="0F172A"/>
          <w:sz w:val="25"/>
          <w:szCs w:val="25"/>
        </w:rPr>
        <w:t xml:space="preserve">PIEE: el portal oficial de los empleadores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640"/>
      </w:tblGrid>
      <w:tr>
        <w:trPr>
          <w:tblHeader/>
        </w:trPr>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7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SITUACIÓN AL 2-OCT-2026</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Qué es</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Portal Integrado para Entidades Empleadoras de FONASA para tramitar, hacer seguimiento y administrar licencias médicas (tramitacion.lmempleador.gob.cl).</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Transición</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El Portal Único de Empleadores cerró el </w:t>
            </w:r>
            <w:r>
              <w:rPr>
                <w:rFonts w:ascii="Calibri" w:cs="Calibri" w:eastAsia="Calibri" w:hAnsi="Calibri"/>
                <w:b/>
                <w:bCs/>
                <w:color w:val="0F172A"/>
                <w:sz w:val="17"/>
                <w:szCs w:val="17"/>
              </w:rPr>
              <w:t xml:space="preserve">30 de septiembre de 2026</w:t>
            </w:r>
            <w:r>
              <w:rPr>
                <w:rFonts w:ascii="Calibri" w:cs="Calibri" w:eastAsia="Calibri" w:hAnsi="Calibri"/>
                <w:b w:val="false"/>
                <w:bCs w:val="false"/>
                <w:color w:val="334155"/>
                <w:sz w:val="17"/>
                <w:szCs w:val="17"/>
              </w:rPr>
              <w:t xml:space="preserve">; desde el </w:t>
            </w:r>
            <w:r>
              <w:rPr>
                <w:rFonts w:ascii="Calibri" w:cs="Calibri" w:eastAsia="Calibri" w:hAnsi="Calibri"/>
                <w:b/>
                <w:bCs/>
                <w:color w:val="0F172A"/>
                <w:sz w:val="17"/>
                <w:szCs w:val="17"/>
              </w:rPr>
              <w:t xml:space="preserve">1 de octubre de 2026</w:t>
            </w:r>
            <w:r>
              <w:rPr>
                <w:rFonts w:ascii="Calibri" w:cs="Calibri" w:eastAsia="Calibri" w:hAnsi="Calibri"/>
                <w:b w:val="false"/>
                <w:bCs w:val="false"/>
                <w:color w:val="334155"/>
                <w:sz w:val="17"/>
                <w:szCs w:val="17"/>
              </w:rPr>
              <w:t xml:space="preserve"> el PIEE es el único canal.</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Inscripción</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 hace el representante legal, validado con el SII, con ClaveÚnica personal; sin costo. Se homologa un operador (I-MED o Medipass) como fuente de datos.</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Funciones</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Bandeja de tramitación con filtros; tramitación de la zona C en cuatro pasos; bandeja de tramitadas; consulta a operadores; </w:t>
            </w:r>
            <w:r>
              <w:rPr>
                <w:rFonts w:ascii="Calibri" w:cs="Calibri" w:eastAsia="Calibri" w:hAnsi="Calibri"/>
                <w:b/>
                <w:bCs/>
                <w:color w:val="0F172A"/>
                <w:sz w:val="17"/>
                <w:szCs w:val="17"/>
              </w:rPr>
              <w:t xml:space="preserve">exportación a CSV</w:t>
            </w:r>
            <w:r>
              <w:rPr>
                <w:rFonts w:ascii="Calibri" w:cs="Calibri" w:eastAsia="Calibri" w:hAnsi="Calibri"/>
                <w:b w:val="false"/>
                <w:bCs w:val="false"/>
                <w:color w:val="334155"/>
                <w:sz w:val="17"/>
                <w:szCs w:val="17"/>
              </w:rPr>
              <w:t xml:space="preserve"> (hasta 1.000 licencias).</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API o servicios web</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El manual no menciona API, servicios web ni carga masiva</w:t>
            </w:r>
            <w:r>
              <w:rPr>
                <w:rFonts w:ascii="Calibri" w:cs="Calibri" w:eastAsia="Calibri" w:hAnsi="Calibri"/>
                <w:b w:val="false"/>
                <w:bCs w:val="false"/>
                <w:color w:val="334155"/>
                <w:sz w:val="17"/>
                <w:szCs w:val="17"/>
              </w:rPr>
              <w:t xml:space="preserve"> para empleadores.</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Condiciones de uso</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Las condiciones de uso de FONASA sancionan el uso de la información con fines distintos de los laborales sin autorización expresa; no hay cláusula explícita sobre robots.</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Soporte</w:t>
            </w:r>
          </w:p>
        </w:tc>
        <w:tc>
          <w:tcPr>
            <w:tcW w:type="dxa" w:w="7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lmsoportempleador@fonasa.cl · +56 2 2640 3421</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14.2  </w:t>
      </w:r>
      <w:r>
        <w:rPr>
          <w:rFonts w:ascii="Calibri" w:cs="Calibri" w:eastAsia="Calibri" w:hAnsi="Calibri"/>
          <w:b/>
          <w:bCs/>
          <w:color w:val="0F172A"/>
          <w:sz w:val="25"/>
          <w:szCs w:val="25"/>
        </w:rPr>
        <w:t xml:space="preserve">Operadores de licencia médica electrónica</w:t>
      </w:r>
    </w:p>
    <w:p>
      <w:pPr>
        <w:spacing w:after="140" w:before="0" w:line="276"/>
        <w:jc w:val="left"/>
      </w:pPr>
      <w:r>
        <w:rPr>
          <w:rFonts w:ascii="Calibri" w:cs="Calibri" w:eastAsia="Calibri" w:hAnsi="Calibri"/>
          <w:color w:val="334155"/>
          <w:sz w:val="20"/>
          <w:szCs w:val="20"/>
        </w:rPr>
        <w:t xml:space="preserve">La única </w:t>
      </w:r>
      <w:r>
        <w:rPr>
          <w:rFonts w:ascii="Calibri" w:cs="Calibri" w:eastAsia="Calibri" w:hAnsi="Calibri"/>
          <w:b/>
          <w:bCs/>
          <w:color w:val="0F172A"/>
          <w:sz w:val="20"/>
          <w:szCs w:val="20"/>
        </w:rPr>
        <w:t xml:space="preserve">integración automatizada documentada</w:t>
      </w:r>
      <w:r>
        <w:rPr>
          <w:rFonts w:ascii="Calibri" w:cs="Calibri" w:eastAsia="Calibri" w:hAnsi="Calibri"/>
          <w:color w:val="334155"/>
          <w:sz w:val="20"/>
          <w:szCs w:val="20"/>
        </w:rPr>
        <w:t xml:space="preserve"> para empleadores es la de los operadores autorizados por la SUSESO. La Circular 3779 obliga a celebrar convenios de servicios informáticos entre operador y empleador, y el operador debe impedir que el empleador vea el diagnóstico.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5100"/>
        <w:gridCol w:w="3040"/>
      </w:tblGrid>
      <w:tr>
        <w:trPr>
          <w:tblHeader/>
        </w:trPr>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OPERADOR</w:t>
            </w:r>
          </w:p>
        </w:tc>
        <w:tc>
          <w:tcPr>
            <w:tcW w:type="dxa" w:w="5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SERVICIO PARA EMPLEADORES</w:t>
            </w:r>
          </w:p>
        </w:tc>
        <w:tc>
          <w:tcPr>
            <w:tcW w:type="dxa" w:w="3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REQUISITO</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I-MED</w:t>
            </w:r>
          </w:p>
        </w:tc>
        <w:tc>
          <w:tcPr>
            <w:tcW w:type="dxa" w:w="5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Integración vía API y servicios web con sistemas de RR.HH. "conforme a normativa SUSESO". Su documentación pública de servicio web describe operaciones para </w:t>
            </w:r>
            <w:r>
              <w:rPr>
                <w:rFonts w:ascii="Calibri" w:cs="Calibri" w:eastAsia="Calibri" w:hAnsi="Calibri"/>
                <w:b/>
                <w:bCs/>
                <w:color w:val="0F172A"/>
                <w:sz w:val="17"/>
                <w:szCs w:val="17"/>
              </w:rPr>
              <w:t xml:space="preserve">obtener licencias</w:t>
            </w:r>
            <w:r>
              <w:rPr>
                <w:rFonts w:ascii="Calibri" w:cs="Calibri" w:eastAsia="Calibri" w:hAnsi="Calibri"/>
                <w:b w:val="false"/>
                <w:bCs w:val="false"/>
                <w:color w:val="334155"/>
                <w:sz w:val="17"/>
                <w:szCs w:val="17"/>
              </w:rPr>
              <w:t xml:space="preserve"> por cambio de estado, </w:t>
            </w:r>
            <w:r>
              <w:rPr>
                <w:rFonts w:ascii="Calibri" w:cs="Calibri" w:eastAsia="Calibri" w:hAnsi="Calibri"/>
                <w:b/>
                <w:bCs/>
                <w:color w:val="0F172A"/>
                <w:sz w:val="17"/>
                <w:szCs w:val="17"/>
              </w:rPr>
              <w:t xml:space="preserve">enviar la zona C</w:t>
            </w:r>
            <w:r>
              <w:rPr>
                <w:rFonts w:ascii="Calibri" w:cs="Calibri" w:eastAsia="Calibri" w:hAnsi="Calibri"/>
                <w:b w:val="false"/>
                <w:bCs w:val="false"/>
                <w:color w:val="334155"/>
                <w:sz w:val="17"/>
                <w:szCs w:val="17"/>
              </w:rPr>
              <w:t xml:space="preserve"> y </w:t>
            </w:r>
            <w:r>
              <w:rPr>
                <w:rFonts w:ascii="Calibri" w:cs="Calibri" w:eastAsia="Calibri" w:hAnsi="Calibri"/>
                <w:b/>
                <w:bCs/>
                <w:color w:val="0F172A"/>
                <w:sz w:val="17"/>
                <w:szCs w:val="17"/>
              </w:rPr>
              <w:t xml:space="preserve">obtener el XML</w:t>
            </w:r>
            <w:r>
              <w:rPr>
                <w:rFonts w:ascii="Calibri" w:cs="Calibri" w:eastAsia="Calibri" w:hAnsi="Calibri"/>
                <w:b w:val="false"/>
                <w:bCs w:val="false"/>
                <w:color w:val="334155"/>
                <w:sz w:val="17"/>
                <w:szCs w:val="17"/>
              </w:rPr>
              <w:t xml:space="preserve"> oficial de cada licencia.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Empleador adscrito y homologado en el PIEE; credenciales del empleador; convenio. Confirmar versión vigente tras la migración al PIEE.</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Medipass</w:t>
            </w:r>
          </w:p>
        </w:tc>
        <w:tc>
          <w:tcPr>
            <w:tcW w:type="dxa" w:w="5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Integración con sistemas de RR.HH. de entidades públicas y privadas.</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Empleador adscrito; convenio.</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Límite común</w:t>
            </w:r>
          </w:p>
        </w:tc>
        <w:tc>
          <w:tcPr>
            <w:tcW w:type="dxa" w:w="5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Ningún operador ofrece re-tramitar licencias devueltas por integración; esas se gestionan en el PIEE.</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w:t>
            </w:r>
          </w:p>
        </w:tc>
      </w:tr>
    </w:tbl>
    <w:p>
      <w:pPr>
        <w:spacing w:after="120" w:before="0" w:line="120"/>
      </w:pPr>
    </w:p>
    <w:p>
      <w:pPr>
        <w:spacing w:after="140" w:before="0" w:line="276"/>
        <w:jc w:val="left"/>
      </w:pPr>
      <w:r>
        <w:rPr>
          <w:rFonts w:ascii="Calibri" w:cs="Calibri" w:eastAsia="Calibri" w:hAnsi="Calibri"/>
          <w:color w:val="334155"/>
          <w:sz w:val="19"/>
          <w:szCs w:val="19"/>
        </w:rPr>
        <w:t xml:space="preserve">El Compendio de Normas sobre Licencias Médicas (16ª versión, vigente desde el 1-sep-2026) especifica los servicios web del sistema de información de licencias electrónicas en sus </w:t>
      </w:r>
      <w:r>
        <w:rPr>
          <w:rFonts w:ascii="Calibri" w:cs="Calibri" w:eastAsia="Calibri" w:hAnsi="Calibri"/>
          <w:b/>
          <w:bCs/>
          <w:color w:val="0F172A"/>
          <w:sz w:val="19"/>
          <w:szCs w:val="19"/>
        </w:rPr>
        <w:t xml:space="preserve">anexos 4 a 6</w:t>
      </w:r>
      <w:r>
        <w:rPr>
          <w:rFonts w:ascii="Calibri" w:cs="Calibri" w:eastAsia="Calibri" w:hAnsi="Calibri"/>
          <w:color w:val="334155"/>
          <w:sz w:val="19"/>
          <w:szCs w:val="19"/>
        </w:rPr>
        <w:t xml:space="preserve">.</w:t>
      </w:r>
    </w:p>
    <w:p>
      <w:pPr>
        <w:pStyle w:val="Heading2"/>
        <w:keepNext/>
        <w:spacing w:after="120" w:before="260"/>
      </w:pPr>
      <w:r>
        <w:rPr>
          <w:rFonts w:ascii="Consolas" w:cs="Consolas" w:eastAsia="Consolas" w:hAnsi="Consolas"/>
          <w:b/>
          <w:bCs/>
          <w:color w:val="0D9488"/>
          <w:sz w:val="22"/>
          <w:szCs w:val="22"/>
        </w:rPr>
        <w:t xml:space="preserve">14.3  </w:t>
      </w:r>
      <w:r>
        <w:rPr>
          <w:rFonts w:ascii="Calibri" w:cs="Calibri" w:eastAsia="Calibri" w:hAnsi="Calibri"/>
          <w:b/>
          <w:bCs/>
          <w:color w:val="0F172A"/>
          <w:sz w:val="25"/>
          <w:szCs w:val="25"/>
        </w:rPr>
        <w:t xml:space="preserve">Red de Interoperabilidad del Estado</w:t>
      </w: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DS 12/2023</w:t>
      </w:r>
      <w:r>
        <w:rPr>
          <w:rFonts w:ascii="Calibri" w:cs="Calibri" w:eastAsia="Calibri" w:hAnsi="Calibri"/>
          <w:color w:val="334155"/>
          <w:sz w:val="20"/>
          <w:szCs w:val="20"/>
        </w:rPr>
        <w:t xml:space="preserve"> (norma técnica de interoperabilidad), modificado por el </w:t>
      </w:r>
      <w:r>
        <w:rPr>
          <w:rFonts w:ascii="Calibri" w:cs="Calibri" w:eastAsia="Calibri" w:hAnsi="Calibri"/>
          <w:b/>
          <w:bCs/>
          <w:color w:val="0F172A"/>
          <w:sz w:val="20"/>
          <w:szCs w:val="20"/>
        </w:rPr>
        <w:t xml:space="preserve">DS 876/2025</w:t>
      </w:r>
      <w:r>
        <w:rPr>
          <w:rFonts w:ascii="Calibri" w:cs="Calibri" w:eastAsia="Calibri" w:hAnsi="Calibri"/>
          <w:color w:val="334155"/>
          <w:sz w:val="20"/>
          <w:szCs w:val="20"/>
        </w:rPr>
        <w:t xml:space="preserve">, permite que un órgano solicite datos a otro mediante el </w:t>
      </w:r>
      <w:r>
        <w:rPr>
          <w:rFonts w:ascii="Calibri" w:cs="Calibri" w:eastAsia="Calibri" w:hAnsi="Calibri"/>
          <w:b/>
          <w:bCs/>
          <w:color w:val="0F172A"/>
          <w:sz w:val="20"/>
          <w:szCs w:val="20"/>
        </w:rPr>
        <w:t xml:space="preserve">Gestor de Solicitudes</w:t>
      </w:r>
      <w:r>
        <w:rPr>
          <w:rFonts w:ascii="Calibri" w:cs="Calibri" w:eastAsia="Calibri" w:hAnsi="Calibri"/>
          <w:color w:val="334155"/>
          <w:sz w:val="20"/>
          <w:szCs w:val="20"/>
        </w:rPr>
        <w:t xml:space="preserve">, sin convenio formal: el órgano proveedor responde en </w:t>
      </w:r>
      <w:r>
        <w:rPr>
          <w:rFonts w:ascii="Calibri" w:cs="Calibri" w:eastAsia="Calibri" w:hAnsi="Calibri"/>
          <w:b/>
          <w:bCs/>
          <w:color w:val="0F172A"/>
          <w:sz w:val="20"/>
          <w:szCs w:val="20"/>
        </w:rPr>
        <w:t xml:space="preserve">15 días hábiles</w:t>
      </w:r>
      <w:r>
        <w:rPr>
          <w:rFonts w:ascii="Calibri" w:cs="Calibri" w:eastAsia="Calibri" w:hAnsi="Calibri"/>
          <w:color w:val="334155"/>
          <w:sz w:val="20"/>
          <w:szCs w:val="20"/>
        </w:rPr>
        <w:t xml:space="preserve"> y fija los términos por acto administrativo. PISEE deja de operar el 31 de diciembre de 2026. Que FONASA tenga hoy publicado un servicio de licencias para empleadores públicos está </w:t>
      </w:r>
      <w:r>
        <w:rPr>
          <w:rFonts w:ascii="Calibri" w:cs="Calibri" w:eastAsia="Calibri" w:hAnsi="Calibri"/>
          <w:b/>
          <w:bCs/>
          <w:color w:val="0F172A"/>
          <w:sz w:val="20"/>
          <w:szCs w:val="20"/>
        </w:rPr>
        <w:t xml:space="preserve">por confirmar</w:t>
      </w:r>
      <w:r>
        <w:rPr>
          <w:rFonts w:ascii="Calibri" w:cs="Calibri" w:eastAsia="Calibri" w:hAnsi="Calibri"/>
          <w:color w:val="334155"/>
          <w:sz w:val="20"/>
          <w:szCs w:val="20"/>
        </w:rPr>
        <w:t xml:space="preserve">.</w:t>
      </w:r>
    </w:p>
    <w:p>
      <w:pPr>
        <w:pStyle w:val="Heading2"/>
        <w:keepNext/>
        <w:spacing w:after="120" w:before="260"/>
      </w:pPr>
      <w:r>
        <w:rPr>
          <w:rFonts w:ascii="Consolas" w:cs="Consolas" w:eastAsia="Consolas" w:hAnsi="Consolas"/>
          <w:b/>
          <w:bCs/>
          <w:color w:val="0D9488"/>
          <w:sz w:val="22"/>
          <w:szCs w:val="22"/>
        </w:rPr>
        <w:t xml:space="preserve">14.4  </w:t>
      </w:r>
      <w:r>
        <w:rPr>
          <w:rFonts w:ascii="Calibri" w:cs="Calibri" w:eastAsia="Calibri" w:hAnsi="Calibri"/>
          <w:b/>
          <w:bCs/>
          <w:color w:val="0F172A"/>
          <w:sz w:val="25"/>
          <w:szCs w:val="25"/>
        </w:rPr>
        <w:t xml:space="preserve">Ruta formal recomendada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9120"/>
      </w:tblGrid>
      <w:tr>
        <w:trPr>
          <w:cantSplit/>
        </w:trPr>
        <w:tc>
          <w:tcPr>
            <w:tcW w:type="dxa" w:w="52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1</w:t>
            </w:r>
          </w:p>
        </w:tc>
        <w:tc>
          <w:tcPr>
            <w:tcW w:type="dxa" w:w="912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Oficio de la DEP a FONASA</w:t>
            </w:r>
          </w:p>
          <w:p>
            <w:pPr>
              <w:spacing w:after="0" w:line="230"/>
              <w:jc w:val="left"/>
            </w:pPr>
            <w:r>
              <w:rPr>
                <w:color w:val="64748B"/>
                <w:sz w:val="14"/>
                <w:szCs w:val="14"/>
              </w:rPr>
              <w:t xml:space="preserve">Consultar si existe o se proyecta una API del PIEE para empleadores públicos; pedir autorización expresa y condiciones para cualquier automatización; confirmar la vigencia de las integraciones de operadores tras la migración.</w:t>
            </w:r>
          </w:p>
        </w:tc>
      </w:tr>
      <w:tr>
        <w:trPr>
          <w:cantSplit/>
        </w:trPr>
        <w:tc>
          <w:tcPr>
            <w:tcW w:type="dxa" w:w="52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2</w:t>
            </w:r>
          </w:p>
        </w:tc>
        <w:tc>
          <w:tcPr>
            <w:tcW w:type="dxa" w:w="912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Solicitud por la Red de Interoperabilidad</w:t>
            </w:r>
          </w:p>
          <w:p>
            <w:pPr>
              <w:spacing w:after="0" w:line="230"/>
              <w:jc w:val="left"/>
            </w:pPr>
            <w:r>
              <w:rPr>
                <w:color w:val="64748B"/>
                <w:sz w:val="14"/>
                <w:szCs w:val="14"/>
              </w:rPr>
              <w:t xml:space="preserve">Pedir a FONASA, vía Gestor de Solicitudes (DS 12/2023), un servicio de estado de licencias y datos de zona C del personal SLEP. Plazo de respuesta: 15 días hábiles.</w:t>
            </w:r>
          </w:p>
        </w:tc>
      </w:tr>
      <w:tr>
        <w:trPr>
          <w:cantSplit/>
        </w:trPr>
        <w:tc>
          <w:tcPr>
            <w:tcW w:type="dxa" w:w="52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3</w:t>
            </w:r>
          </w:p>
        </w:tc>
        <w:tc>
          <w:tcPr>
            <w:tcW w:type="dxa" w:w="912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Convenio con un operador LME (I-MED o Medipass)</w:t>
            </w:r>
          </w:p>
          <w:p>
            <w:pPr>
              <w:spacing w:after="0" w:line="230"/>
              <w:jc w:val="left"/>
            </w:pPr>
            <w:r>
              <w:rPr>
                <w:color w:val="64748B"/>
                <w:sz w:val="14"/>
                <w:szCs w:val="14"/>
              </w:rPr>
              <w:t xml:space="preserve">Por cada SLEP (empleador con RUT propio) o centralizado con mandato, para usar los servicios web de empleador.</w:t>
            </w:r>
          </w:p>
        </w:tc>
      </w:tr>
      <w:tr>
        <w:trPr>
          <w:cantSplit/>
        </w:trPr>
        <w:tc>
          <w:tcPr>
            <w:tcW w:type="dxa" w:w="52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4</w:t>
            </w:r>
          </w:p>
        </w:tc>
        <w:tc>
          <w:tcPr>
            <w:tcW w:type="dxa" w:w="912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Consulta técnica a la SUSESO</w:t>
            </w:r>
          </w:p>
          <w:p>
            <w:pPr>
              <w:spacing w:after="0" w:line="230"/>
              <w:jc w:val="left"/>
            </w:pPr>
            <w:r>
              <w:rPr>
                <w:color w:val="64748B"/>
                <w:sz w:val="14"/>
                <w:szCs w:val="14"/>
              </w:rPr>
              <w:t xml:space="preserve">Sobre los anexos 4 a 6 del Compendio y la integración de un empleador público según la Circular 3779.</w:t>
            </w:r>
          </w:p>
        </w:tc>
      </w:tr>
      <w:tr>
        <w:trPr>
          <w:cantSplit/>
        </w:trPr>
        <w:tc>
          <w:tcPr>
            <w:tcW w:type="dxa" w:w="52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20" w:line="240"/>
              <w:jc w:val="center"/>
            </w:pPr>
            <w:r>
              <w:rPr>
                <w:b/>
                <w:bCs/>
                <w:color w:val="FFFFFF"/>
                <w:sz w:val="17"/>
                <w:szCs w:val="17"/>
              </w:rPr>
              <w:t xml:space="preserve">5</w:t>
            </w:r>
          </w:p>
        </w:tc>
        <w:tc>
          <w:tcPr>
            <w:tcW w:type="dxa" w:w="9120"/>
            <w:tcBorders>
              <w:top w:val="single" w:color="CBD5E1" w:sz="6"/>
              <w:left w:val="single" w:color="CBD5E1" w:sz="6"/>
              <w:bottom w:val="single" w:color="CBD5E1" w:sz="6"/>
              <w:right w:val="single" w:color="CBD5E1" w:sz="6"/>
            </w:tcBorders>
            <w:shd w:fill="FFFFFF"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Mientras tanto: operación asistida</w:t>
            </w:r>
          </w:p>
          <w:p>
            <w:pPr>
              <w:spacing w:after="0" w:line="230"/>
              <w:jc w:val="left"/>
            </w:pPr>
            <w:r>
              <w:rPr>
                <w:color w:val="64748B"/>
                <w:sz w:val="14"/>
                <w:szCs w:val="14"/>
              </w:rPr>
              <w:t xml:space="preserve">Tramitación humana en el PIEE + exportación CSV oficial + tablero de plazos en GDP-SLEP Studio.</w:t>
            </w:r>
          </w:p>
        </w:tc>
      </w:tr>
    </w:tbl>
    <w:p>
      <w:pPr>
        <w:spacing w:after="200" w:before="80"/>
      </w:pPr>
      <w:r>
        <w:rPr>
          <w:rFonts w:ascii="Consolas" w:cs="Consolas" w:eastAsia="Consolas" w:hAnsi="Consolas"/>
          <w:b/>
          <w:bCs/>
          <w:color w:val="0D9488"/>
          <w:sz w:val="15"/>
          <w:szCs w:val="15"/>
        </w:rPr>
        <w:t xml:space="preserve">FIG. 7  </w:t>
      </w:r>
      <w:r>
        <w:rPr>
          <w:rFonts w:ascii="Calibri" w:cs="Calibri" w:eastAsia="Calibri" w:hAnsi="Calibri"/>
          <w:color w:val="64748B"/>
          <w:sz w:val="16"/>
          <w:szCs w:val="16"/>
        </w:rPr>
        <w:t xml:space="preserve">Pasos para automatizar la tramitación por vías autorizadas.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 DE LA SECCIÓN</w:t>
            </w:r>
          </w:p>
          <w:p>
            <w:pPr>
              <w:spacing w:after="50" w:line="260"/>
            </w:pPr>
            <w:r>
              <w:rPr>
                <w:color w:val="334155"/>
                <w:sz w:val="19"/>
                <w:szCs w:val="19"/>
              </w:rPr>
              <w:t xml:space="preserve">El canal </w:t>
            </w:r>
            <w:r>
              <w:rPr>
                <w:b/>
                <w:bCs/>
                <w:color w:val="0F172A"/>
                <w:sz w:val="19"/>
                <w:szCs w:val="19"/>
              </w:rPr>
              <w:t xml:space="preserve">API + webservice</w:t>
            </w:r>
            <w:r>
              <w:rPr>
                <w:color w:val="334155"/>
                <w:sz w:val="19"/>
                <w:szCs w:val="19"/>
              </w:rPr>
              <w:t xml:space="preserve"> es legalmente sólido </w:t>
            </w:r>
            <w:r>
              <w:rPr>
                <w:b/>
                <w:bCs/>
                <w:color w:val="0F172A"/>
                <w:sz w:val="19"/>
                <w:szCs w:val="19"/>
              </w:rPr>
              <w:t xml:space="preserve">cuando la fuente es un operador LME con convenio o un servicio publicado por FONASA</w:t>
            </w:r>
            <w:r>
              <w:rPr>
                <w:color w:val="334155"/>
                <w:sz w:val="19"/>
                <w:szCs w:val="19"/>
              </w:rPr>
              <w:t xml:space="preserve">, no cuando se consumen endpoints internos del portal sin autorización. Esta conclusión es la base de los informes 10 y 11.</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15</w:t>
      </w:r>
      <w:r>
        <w:rPr>
          <w:rFonts w:ascii="Consolas" w:cs="Consolas" w:eastAsia="Consolas" w:hAnsi="Consolas"/>
          <w:color w:val="94A3B8"/>
          <w:sz w:val="16"/>
          <w:szCs w:val="16"/>
        </w:rPr>
        <w:t xml:space="preserve">  /  aplicación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Aplicación del marco a cada solución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Cada informe de factibilidad y técnico de la serie necesita saber qué normas le aplican y con qué condiciones.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Entregar un semáforo legal por solución que los informes 2 a 13 puedan citar directamente.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Cruce de los doce bloques normativos con las seis soluciones del ecosistema.</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15.1  </w:t>
      </w:r>
      <w:r>
        <w:rPr>
          <w:rFonts w:ascii="Calibri" w:cs="Calibri" w:eastAsia="Calibri" w:hAnsi="Calibri"/>
          <w:b/>
          <w:bCs/>
          <w:color w:val="0F172A"/>
          <w:sz w:val="25"/>
          <w:szCs w:val="25"/>
        </w:rPr>
        <w:t xml:space="preserve">Matriz normas × soluciones</w:t>
      </w:r>
    </w:p>
    <w:p>
      <w:pPr>
        <w:spacing w:after="140" w:before="0" w:line="276"/>
        <w:jc w:val="left"/>
      </w:pPr>
      <w:r>
        <w:rPr>
          <w:rFonts w:ascii="Calibri" w:cs="Calibri" w:eastAsia="Calibri" w:hAnsi="Calibri"/>
          <w:color w:val="64748B"/>
          <w:sz w:val="17"/>
          <w:szCs w:val="17"/>
        </w:rPr>
        <w:t xml:space="preserve">● aplica con exigencias relevantes · ◐ aplica parcialmente · ○ no aplica o aplica marginalmente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40"/>
        <w:gridCol w:w="1100"/>
        <w:gridCol w:w="1140"/>
        <w:gridCol w:w="1100"/>
        <w:gridCol w:w="1160"/>
        <w:gridCol w:w="1100"/>
        <w:gridCol w:w="1200"/>
      </w:tblGrid>
      <w:tr>
        <w:trPr>
          <w:tblHeader/>
        </w:trPr>
        <w:tc>
          <w:tcPr>
            <w:tcW w:type="dxa" w:w="2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BLOQUE</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PORTAL</w:t>
            </w:r>
          </w:p>
        </w:tc>
        <w:tc>
          <w:tcPr>
            <w:tcW w:type="dxa" w:w="1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VALIDADOR</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RPA</w:t>
            </w:r>
          </w:p>
        </w:tc>
        <w:tc>
          <w:tcPr>
            <w:tcW w:type="dxa" w:w="11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API+LAYA</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MIXTA</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IA LOCAL</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Institucional (21.040)</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Sumarios y CGR</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Licencias médicas</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Datos personales (21.719)</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Ciberseguridad (21.663)</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Delitos informáticos (21.459)</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Estado digital (21.180)</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ClaveÚnica</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Inteligencia artificial</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Nube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Compras y contratación</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r>
        <w:trPr>
          <w:cantSplit/>
        </w:trPr>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Propiedad intelectual</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15.2  </w:t>
      </w:r>
      <w:r>
        <w:rPr>
          <w:rFonts w:ascii="Calibri" w:cs="Calibri" w:eastAsia="Calibri" w:hAnsi="Calibri"/>
          <w:b/>
          <w:bCs/>
          <w:color w:val="0F172A"/>
          <w:sz w:val="25"/>
          <w:szCs w:val="25"/>
        </w:rPr>
        <w:t xml:space="preserve">Portal GDP-SLEP Studio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CONDICIONES PARA AVANZAR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Viable</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Resolución DEP que lo institucionalice (art. 61 Ley 21.040) · integración de ClaveÚnica con dominio .gob.cl · inclusión en el sistema de gestión de seguridad de la DEP (DS 7) · protocolo de incidentes (Ley 21.663) · política de privacidad del portal · cesión de derechos y licencia GPLv3.</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15.3  </w:t>
      </w:r>
      <w:r>
        <w:rPr>
          <w:rFonts w:ascii="Calibri" w:cs="Calibri" w:eastAsia="Calibri" w:hAnsi="Calibri"/>
          <w:b/>
          <w:bCs/>
          <w:color w:val="0F172A"/>
          <w:sz w:val="25"/>
          <w:szCs w:val="25"/>
        </w:rPr>
        <w:t xml:space="preserve">Validador de Formularios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CONDICIONES PARA AVANZAR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Viable</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Mantener solo cifras agregadas (sin RUT, nombres ni contenido de sumarios) · declarar que no reemplaza al SIAD de la CGR · formalizar el reporte mensual por oficio o resolución · agrupar celdas pequeñas al publicar · agregar el CIC N° 26 al catálogo.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15.4  </w:t>
      </w:r>
      <w:r>
        <w:rPr>
          <w:rFonts w:ascii="Calibri" w:cs="Calibri" w:eastAsia="Calibri" w:hAnsi="Calibri"/>
          <w:b/>
          <w:bCs/>
          <w:color w:val="0F172A"/>
          <w:sz w:val="25"/>
          <w:szCs w:val="25"/>
        </w:rPr>
        <w:t xml:space="preserve">Automatización por robot de software (RPA)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1700"/>
        <w:gridCol w:w="4240"/>
      </w:tblGrid>
      <w:tr>
        <w:trPr>
          <w:tblHeader/>
        </w:trPr>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VARIANTE</w:t>
            </w:r>
          </w:p>
        </w:tc>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4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Robot que inicia sesión en el PIEE con la ClaveÚnica de un funcionario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 No viable</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Res. Ex. 733/2025 §6.5 (prohíbe almacenar credenciales y automatizar el acceso); acto atribuido al funcionario; riesgo para la integración ClaveÚnica de la DEP.</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Robot que consume endpoints internos del PIEE sin autorización</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 No viable</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Zona gris o riesgo alto bajo la Ley 21.459 (art. 2); fragilidad tras la migración al PIEE.</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RPA asistido: el funcionario inicia sesión y confirma; el robot solo prepara datos y llena campos</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Con autorización</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Defendible solo con autorización escrita de FONASA, sin almacenar credenciales, sin capturar diagnóstico y con trazabilidad.</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RPA sobre sistemas internos del SLEP (planillas, ERP propio)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Viable</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involucra ClaveÚnica ni sistemas de terceros; aplican reglas de datos y seguridad.</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15.5  </w:t>
      </w:r>
      <w:r>
        <w:rPr>
          <w:rFonts w:ascii="Calibri" w:cs="Calibri" w:eastAsia="Calibri" w:hAnsi="Calibri"/>
          <w:b/>
          <w:bCs/>
          <w:color w:val="0F172A"/>
          <w:sz w:val="25"/>
          <w:szCs w:val="25"/>
        </w:rPr>
        <w:t xml:space="preserve">API + webservice + Python + LAYA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CONDICIONES PARA AVANZAR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Con condiciones</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Fuente autorizada (operador LME con convenio, servicio de FONASA en la Red de Interoperabilidad o CSV oficial) · LAYA con modelo </w:t>
            </w:r>
            <w:r>
              <w:rPr>
                <w:rFonts w:ascii="Calibri" w:cs="Calibri" w:eastAsia="Calibri" w:hAnsi="Calibri"/>
                <w:b/>
                <w:bCs/>
                <w:color w:val="0F172A"/>
                <w:sz w:val="18"/>
                <w:szCs w:val="18"/>
              </w:rPr>
              <w:t xml:space="preserve">local</w:t>
            </w:r>
            <w:r>
              <w:rPr>
                <w:rFonts w:ascii="Calibri" w:cs="Calibri" w:eastAsia="Calibri" w:hAnsi="Calibri"/>
                <w:b w:val="false"/>
                <w:bCs w:val="false"/>
                <w:color w:val="334155"/>
                <w:sz w:val="18"/>
                <w:szCs w:val="18"/>
              </w:rPr>
              <w:t xml:space="preserve"> para datos de salud · aprobación humana de cada acción · nunca procesar el diagnóstico · servidor institucional o región en Chile (AWS fuera de Chile solo con cláusulas contractuales) · confirmar licencia de n8n · convenios de encargo entre SLEP · evaluación de impacto antes del piloto.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15.6  </w:t>
      </w:r>
      <w:r>
        <w:rPr>
          <w:rFonts w:ascii="Calibri" w:cs="Calibri" w:eastAsia="Calibri" w:hAnsi="Calibri"/>
          <w:b/>
          <w:bCs/>
          <w:color w:val="0F172A"/>
          <w:sz w:val="25"/>
          <w:szCs w:val="25"/>
        </w:rPr>
        <w:t xml:space="preserve">Propuesta mixta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CONDICIONES PARA AVANZAR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Con condiciones</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Usar API o servicios web autorizados donde existan y RPA </w:t>
            </w:r>
            <w:r>
              <w:rPr>
                <w:rFonts w:ascii="Calibri" w:cs="Calibri" w:eastAsia="Calibri" w:hAnsi="Calibri"/>
                <w:b/>
                <w:bCs/>
                <w:color w:val="0F172A"/>
                <w:sz w:val="18"/>
                <w:szCs w:val="18"/>
              </w:rPr>
              <w:t xml:space="preserve">solo asistido</w:t>
            </w:r>
            <w:r>
              <w:rPr>
                <w:rFonts w:ascii="Calibri" w:cs="Calibri" w:eastAsia="Calibri" w:hAnsi="Calibri"/>
                <w:b w:val="false"/>
                <w:bCs w:val="false"/>
                <w:color w:val="334155"/>
                <w:sz w:val="18"/>
                <w:szCs w:val="18"/>
              </w:rPr>
              <w:t xml:space="preserve"> donde no haya API (por ejemplo, re-tramitación de licencias devueltas en el PIEE) o sobre sistemas internos · hereda todas las condiciones de 15.4 y 15.5 · es la arquitectura que mejor sirve al objetivo de automatizar progresivamente otros procesos de GDP-SLEP.</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15.7  </w:t>
      </w:r>
      <w:r>
        <w:rPr>
          <w:rFonts w:ascii="Calibri" w:cs="Calibri" w:eastAsia="Calibri" w:hAnsi="Calibri"/>
          <w:b/>
          <w:bCs/>
          <w:color w:val="0F172A"/>
          <w:sz w:val="25"/>
          <w:szCs w:val="25"/>
        </w:rPr>
        <w:t xml:space="preserve">IA local orquestadora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CONDICIONES PARA AVANZAR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Recomendable con condiciones</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Infraestructura on-premise o en Chile (resuelve la transferencia internacional) · modelos con licencia permisiva (Apache-2.0) · humano en el circuito y registro de decisiones · transparencia algorítmica (CPLT 372) · activo crítico bajo DS 7 y Ley 21.663 · minimización: datos agregados o seudonimizados cuando sea posible · preparación para la futura ley de IA.</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16</w:t>
      </w:r>
      <w:r>
        <w:rPr>
          <w:rFonts w:ascii="Consolas" w:cs="Consolas" w:eastAsia="Consolas" w:hAnsi="Consolas"/>
          <w:color w:val="94A3B8"/>
          <w:sz w:val="16"/>
          <w:szCs w:val="16"/>
        </w:rPr>
        <w:t xml:space="preserve">  /  fechas</w:t>
      </w:r>
    </w:p>
    <w:p>
      <w:pPr>
        <w:pStyle w:val="Heading1"/>
        <w:keepNext/>
        <w:pBdr>
          <w:bottom w:val="single" w:color="E2E8F0" w:sz="6" w:space="6"/>
        </w:pBdr>
        <w:spacing w:after="160"/>
      </w:pPr>
      <w:r>
        <w:rPr>
          <w:rFonts w:ascii="Calibri" w:cs="Calibri" w:eastAsia="Calibri" w:hAnsi="Calibri"/>
          <w:b/>
          <w:bCs/>
          <w:color w:val="0F172A"/>
          <w:sz w:val="34"/>
          <w:szCs w:val="34"/>
        </w:rPr>
        <w:t xml:space="preserve">Calendario normativo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Varias fechas legales caen dentro del cronograma del proyecto. Ignorarlas obliga a rehacer trabajo.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Que cada informe y cada carta Gantt de la serie considere las fechas que lo afectan.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Línea de tiempo que cruza los hitos normativos con las etapas del proyecto.</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300"/>
        <w:gridCol w:w="1300"/>
        <w:gridCol w:w="33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FECHA</w:t>
            </w:r>
          </w:p>
        </w:tc>
        <w:tc>
          <w:tcPr>
            <w:tcW w:type="dxa" w:w="3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HITO</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w:t>
            </w:r>
          </w:p>
        </w:tc>
        <w:tc>
          <w:tcPr>
            <w:tcW w:type="dxa" w:w="3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EFECTO EN EL PROYECTO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12-dic-2024</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Rige nueva Ley de Compras (21.634) y DS 661</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Reglas de adquisición de licencias, nube y servicios.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13-dic-2024</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Publicación Ley 21.719</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Inicia el plazo de 24 meses de adecuación.</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1-ene / 1-mar-2025</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Vigencia Ley 21.663; deberes de reporte y sanciones</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Reporte de incidentes en 3 h, 72 h y 15 días.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24-may-2025</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21.746 (licencias médicas)</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electrónica como regla; más control.</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6-nov-2025</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 Ex. 733 ClaveÚnica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Prohíbe automatizar el acceso con ClaveÚnica.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25-may-2026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21.819 (modifica Ley 21.040)</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Facultad vinculante de la DEP (art. 61 u).</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Jun–jul 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Diagnóstico y PMV del Validador</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Proyecto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Informes 1 a 5.</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1-sep-2026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Compendio SUSESO 16ª versión</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Especificación de servicios web de LME.</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Septiembre 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Transformación del Validador</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Proyecto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Informes 6 y 7.</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30-sep / 1-oct-2026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Cierre del PUE; el PIEE queda como portal único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Operativo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Rehacer cualquier mapeo técnico del portal.</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2-oct-2026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CIC N° 26 de la Contraloría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Fiscalización</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Nuevos casos; actualizar el catálogo del Validador.</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1-oct – 27-nov-2026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Automatización de licencias médicas</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Proyecto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Informes 8 a 11.</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9-oct-2026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Cierre de ofertas convenio marco 2239-2-LR26</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Compras</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Adjudicación estimada el 7-dic-2026.</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Fines de 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Región AWS Chile (anunciada)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Mercado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Podría resolver la localización de la solución en AWS.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1-dic-2026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5"/>
                <w:szCs w:val="15"/>
              </w:rPr>
              <w:t xml:space="preserve">Vigencia Ley 21.719</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Todo el ecosistema debe cumplirla desde ese día.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Dic-2026 – ene-2027</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Portal GDP-SLEP Studio e IA local</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5"/>
                <w:szCs w:val="15"/>
              </w:rPr>
              <w:t xml:space="preserve">Proyecto</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Informes 12 y 13.</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31-dic-2026</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Fin de PISEE · cierre de la fase de expediente electrónico (Grupo A)</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Interoperabilidad solo por la nueva Red (DS 12); el portal ayuda a cumplir el expediente electrónico.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1-dic-2027</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Posible vigencia postergada Ley 21.719 (Boletín 18.623-07)</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En trámite</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 altera la planificación: se diseña para 2026.</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31-dic-2027</w:t>
            </w:r>
          </w:p>
        </w:tc>
        <w:tc>
          <w:tcPr>
            <w:tcW w:type="dxa" w:w="3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Plazo máximo de la Ley 21.180</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Transformación digital completa de los órganos.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17</w:t>
      </w:r>
      <w:r>
        <w:rPr>
          <w:rFonts w:ascii="Consolas" w:cs="Consolas" w:eastAsia="Consolas" w:hAnsi="Consolas"/>
          <w:color w:val="94A3B8"/>
          <w:sz w:val="16"/>
          <w:szCs w:val="16"/>
        </w:rPr>
        <w:t xml:space="preserve">  /  riesgos</w:t>
      </w:r>
    </w:p>
    <w:p>
      <w:pPr>
        <w:pStyle w:val="Heading1"/>
        <w:keepNext/>
        <w:pBdr>
          <w:bottom w:val="single" w:color="E2E8F0" w:sz="6" w:space="6"/>
        </w:pBdr>
        <w:spacing w:after="160"/>
      </w:pPr>
      <w:r>
        <w:rPr>
          <w:rFonts w:ascii="Calibri" w:cs="Calibri" w:eastAsia="Calibri" w:hAnsi="Calibri"/>
          <w:b/>
          <w:bCs/>
          <w:color w:val="0F172A"/>
          <w:sz w:val="34"/>
          <w:szCs w:val="34"/>
        </w:rPr>
        <w:t xml:space="preserve">Riesgos legales y mitigaciones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marco legal útil identifica qué puede salir mal antes de construir.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Priorizar los riesgos por probabilidad e impacto y asignarles una mitigación concreta.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Matriz de riesgos legales derivada de las secciones 03 a 14.</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3100"/>
        <w:gridCol w:w="900"/>
        <w:gridCol w:w="1000"/>
        <w:gridCol w:w="40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RIESGO</w:t>
            </w:r>
          </w:p>
        </w:tc>
        <w:tc>
          <w:tcPr>
            <w:tcW w:type="dxa" w:w="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PROB.</w:t>
            </w:r>
          </w:p>
        </w:tc>
        <w:tc>
          <w:tcPr>
            <w:tcW w:type="dxa" w:w="1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IMPACTO</w:t>
            </w:r>
          </w:p>
        </w:tc>
        <w:tc>
          <w:tcPr>
            <w:tcW w:type="dxa" w:w="4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MITIGACIÓN</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Construir un robot que use la ClaveÚnica de un funcionario</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Descartar esa variante; usar canales autorizados o RPA asistido con autorización de FONASA.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R2</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Uso de endpoints del PIEE sin autorización (Ley 21.459)</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Oficio a FONASA; no pasar a producción sin autorización escrita.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R3</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Captura o envío a IA del diagnóstico</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Baja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Regla de diseño obligatoria; pruebas que verifiquen que el campo nunca se procesa.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R4</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Datos de salud en una región extranjera de nube</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Servidor institucional o región en Chile; si no, cláusulas contractuales y evaluación de impacto.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R5</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Incumplir la Ley 21.719 desde el 1-dic-2026</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Diseño conforme desde ya; evaluación de impacto; registro de tratamientos; protocolo de vulneraciones.</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R6</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reportar un incidente a la ANCI en 3 horas</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Protocolo único de incidentes con doble reporte (ANCI y Agencia).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R7</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Titularidad del código del PMV hecho en práctica</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Instrumento de cesión de derechos antes de licenciar bajo GPLv3.</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R8</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Licencia de n8n incompatible con servir a 36 SLEP</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Confirmación escrita de n8n o pasarela alternativa con licencia permisiva.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R9</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Operación permanente del portal a honorarios</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Prever dotación a contrata o servicio por convenio marco para la etapa de operación.</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R10</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Reidentificación de personas con cifras pequeñas</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Baja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Agrupar o suprimir celdas menores a 5 al publicar.</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R11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Portal sin acto administrativo que lo respalde</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Medio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Resolución DEP basada en el art. 61 de la Ley 21.040.</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R12</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Cambios normativos (prórroga 21.719, ley de IA, calendario SLEP)</w:t>
            </w:r>
          </w:p>
        </w:tc>
        <w:tc>
          <w:tcPr>
            <w:tcW w:type="dxa" w:w="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6"/>
                <w:szCs w:val="16"/>
              </w:rPr>
              <w:t xml:space="preserve">Alta</w:t>
            </w:r>
          </w:p>
        </w:tc>
        <w:tc>
          <w:tcPr>
            <w:tcW w:type="dxa" w:w="1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Bajo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Revisar este informe cada vez que se publique una norma relevante.</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18</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 y recomendaciones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análisis solo sirve si termina en acciones concretas.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Entregar a la jefatura un plan de acciones legales priorizado y vinculado a cada informe de la serie.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Consolidación de las secciones 03 a 17.</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18.1  </w:t>
      </w:r>
      <w:r>
        <w:rPr>
          <w:rFonts w:ascii="Calibri" w:cs="Calibri" w:eastAsia="Calibri" w:hAnsi="Calibri"/>
          <w:b/>
          <w:bCs/>
          <w:color w:val="0F172A"/>
          <w:sz w:val="25"/>
          <w:szCs w:val="25"/>
        </w:rPr>
        <w:t xml:space="preserve">Conclusión general</w:t>
      </w:r>
    </w:p>
    <w:p>
      <w:pPr>
        <w:spacing w:after="140" w:before="0" w:line="276"/>
        <w:jc w:val="left"/>
      </w:pPr>
      <w:r>
        <w:rPr>
          <w:rFonts w:ascii="Calibri" w:cs="Calibri" w:eastAsia="Calibri" w:hAnsi="Calibri"/>
          <w:color w:val="334155"/>
          <w:sz w:val="20"/>
          <w:szCs w:val="20"/>
        </w:rPr>
        <w:t xml:space="preserve">El ecosistema GDP-SLEP Studio es </w:t>
      </w:r>
      <w:r>
        <w:rPr>
          <w:rFonts w:ascii="Calibri" w:cs="Calibri" w:eastAsia="Calibri" w:hAnsi="Calibri"/>
          <w:b/>
          <w:bCs/>
          <w:color w:val="0F172A"/>
          <w:sz w:val="20"/>
          <w:szCs w:val="20"/>
        </w:rPr>
        <w:t xml:space="preserve">legalmente viable</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conveniente</w:t>
      </w:r>
      <w:r>
        <w:rPr>
          <w:rFonts w:ascii="Calibri" w:cs="Calibri" w:eastAsia="Calibri" w:hAnsi="Calibri"/>
          <w:color w:val="334155"/>
          <w:sz w:val="20"/>
          <w:szCs w:val="20"/>
        </w:rPr>
        <w:t xml:space="preserve">: un portal seguro, trazable y con ClaveÚnica acerca a la DEP y a los SLEP al cumplimiento que ya les exigen las leyes 21.719, 21.663 y 21.180.</w:t>
      </w:r>
    </w:p>
    <w:p>
      <w:pPr>
        <w:spacing w:after="140" w:before="0" w:line="276"/>
        <w:jc w:val="left"/>
      </w:pPr>
      <w:r>
        <w:rPr>
          <w:rFonts w:ascii="Calibri" w:cs="Calibri" w:eastAsia="Calibri" w:hAnsi="Calibri"/>
          <w:color w:val="334155"/>
          <w:sz w:val="20"/>
          <w:szCs w:val="20"/>
        </w:rPr>
        <w:t xml:space="preserve">La automatización de licencias es viable </w:t>
      </w:r>
      <w:r>
        <w:rPr>
          <w:rFonts w:ascii="Calibri" w:cs="Calibri" w:eastAsia="Calibri" w:hAnsi="Calibri"/>
          <w:b/>
          <w:bCs/>
          <w:color w:val="0F172A"/>
          <w:sz w:val="20"/>
          <w:szCs w:val="20"/>
        </w:rPr>
        <w:t xml:space="preserve">solo por vías autorizadas</w:t>
      </w:r>
      <w:r>
        <w:rPr>
          <w:rFonts w:ascii="Calibri" w:cs="Calibri" w:eastAsia="Calibri" w:hAnsi="Calibri"/>
          <w:color w:val="334155"/>
          <w:sz w:val="20"/>
          <w:szCs w:val="20"/>
        </w:rPr>
        <w:t xml:space="preserve">; el robot que opera el PIEE con la ClaveÚnica de una persona se descarta. Lo más sólido es la </w:t>
      </w:r>
      <w:r>
        <w:rPr>
          <w:rFonts w:ascii="Calibri" w:cs="Calibri" w:eastAsia="Calibri" w:hAnsi="Calibri"/>
          <w:b/>
          <w:bCs/>
          <w:color w:val="0F172A"/>
          <w:sz w:val="20"/>
          <w:szCs w:val="20"/>
        </w:rPr>
        <w:t xml:space="preserve">propuesta mixta</w:t>
      </w:r>
      <w:r>
        <w:rPr>
          <w:rFonts w:ascii="Calibri" w:cs="Calibri" w:eastAsia="Calibri" w:hAnsi="Calibri"/>
          <w:color w:val="334155"/>
          <w:sz w:val="20"/>
          <w:szCs w:val="20"/>
        </w:rPr>
        <w:t xml:space="preserve">: servicios web autorizados como canal principal, RPA asistido donde no haya API e IA local como apoyo a la decisión humana.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 PRINCIPAL</w:t>
            </w:r>
          </w:p>
          <w:p>
            <w:pPr>
              <w:spacing w:after="50" w:line="260"/>
            </w:pPr>
            <w:r>
              <w:rPr>
                <w:color w:val="334155"/>
                <w:sz w:val="19"/>
                <w:szCs w:val="19"/>
              </w:rPr>
              <w:t xml:space="preserve">Avanzar con el portal y el Validador. Para la automatización de licencias, </w:t>
            </w:r>
            <w:r>
              <w:rPr>
                <w:b/>
                <w:bCs/>
                <w:color w:val="0F172A"/>
                <w:sz w:val="19"/>
                <w:szCs w:val="19"/>
              </w:rPr>
              <w:t xml:space="preserve">iniciar de inmediato las gestiones formales con FONASA</w:t>
            </w:r>
            <w:r>
              <w:rPr>
                <w:color w:val="334155"/>
                <w:sz w:val="19"/>
                <w:szCs w:val="19"/>
              </w:rPr>
              <w:t xml:space="preserve"> (acciones 4 a 6), que no dependen del desarrollo y cuyos plazos de respuesta —15 días hábiles en la Red de Interoperabilidad— caben dentro del período del 1 de octubre al 27 de noviembre de 2026.</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18.2  </w:t>
      </w:r>
      <w:r>
        <w:rPr>
          <w:rFonts w:ascii="Calibri" w:cs="Calibri" w:eastAsia="Calibri" w:hAnsi="Calibri"/>
          <w:b/>
          <w:bCs/>
          <w:color w:val="0F172A"/>
          <w:sz w:val="25"/>
          <w:szCs w:val="25"/>
        </w:rPr>
        <w:t xml:space="preserve">Acciones recomendadas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3700"/>
        <w:gridCol w:w="2100"/>
        <w:gridCol w:w="1900"/>
        <w:gridCol w:w="1440"/>
      </w:tblGrid>
      <w:tr>
        <w:trPr>
          <w:tblHeader/>
        </w:trPr>
        <w:tc>
          <w:tcPr>
            <w:tcW w:type="dxa" w:w="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ACCIÓN</w:t>
            </w:r>
          </w:p>
        </w:tc>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RESPONSABLE SUGERIDO</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w:t>
            </w:r>
          </w:p>
        </w:tc>
        <w:tc>
          <w:tcPr>
            <w:tcW w:type="dxa" w:w="1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INFORMES</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Validar este informe con el área jurídica de la DEP</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GDP-SLEP</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Todos</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Resolución DEP que crea GDP-SLEP Studio como sistema común de los SLEP</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GDP-SLEP · Jurídica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integrar ClaveÚnica</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2, 7, 13</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3</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Solicitud de credenciales de ClaveÚnica (dominio .gob.cl)</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TI institucional</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Tras la revisión de TI</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7, 13</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4</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Oficio a FONASA (API, autorización, operadores)</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GDP-SLEP</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Primera semana de 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 a 11</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5</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Solicitud por la Red de Interoperabilidad (DS 12)</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TI institucional</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8, 10, 11</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6</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Evaluar convenio con operador LME (I-MED o Medipass)</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GDP-SLEP · Compras</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8, 10, 11</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7</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Evaluación de impacto en protección de datos de la automatización</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Desarrollador · Jurídica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del piloto</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 a 11</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8</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Protocolo único de incidentes (ANCI + Agencia)</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Responsable de seguridad DEP</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producción</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7, 13</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9</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Instrumento de cesión de derechos del software</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Jurídica · Desarrollador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licenciar GPLv3</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5, 7</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10</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Confirmar licencia de n8n o definir alternativa</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Desarrollador</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10, 11</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11</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Definir alojamiento de datos de salud (institucional o Chile)</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TI institucional</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Octubre 2026</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10 a 13</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12</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Prever la dotación para operar el portal en régimen</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GDP-SLEP</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Formulación presupuestaria 2027</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12, 13</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ANEXO A</w:t>
      </w:r>
      <w:r>
        <w:rPr>
          <w:rFonts w:ascii="Consolas" w:cs="Consolas" w:eastAsia="Consolas" w:hAnsi="Consolas"/>
          <w:color w:val="94A3B8"/>
          <w:sz w:val="16"/>
          <w:szCs w:val="16"/>
        </w:rPr>
        <w:t xml:space="preserve">  /  glosario</w:t>
      </w:r>
    </w:p>
    <w:p>
      <w:pPr>
        <w:pStyle w:val="Heading1"/>
        <w:spacing w:after="160"/>
      </w:pPr>
      <w:r>
        <w:rPr>
          <w:b/>
          <w:bCs/>
          <w:color w:val="0F172A"/>
          <w:sz w:val="34"/>
          <w:szCs w:val="34"/>
        </w:rPr>
        <w:t xml:space="preserve">Glosario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740"/>
      </w:tblGrid>
      <w:tr>
        <w:trPr>
          <w:tblHeader/>
        </w:trPr>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TÉRMINO</w:t>
            </w:r>
          </w:p>
        </w:tc>
        <w:tc>
          <w:tcPr>
            <w:tcW w:type="dxa" w:w="7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SIGNIFICADO</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ANCI</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Agencia Nacional de Ciberseguridad (Ley 21.663).</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CIC</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Consolidado de Información Circularizada de la Contraloría.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ClaveÚnica</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Mecanismo oficial de identidad digital del Estado para personas naturales.</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COMPIN</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Comisión de Medicina Preventiva e Invalidez; pronuncia licencias de afiliados a FONASA.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CPLT</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Consejo para la Transparencia.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DEP</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Dirección de Educación Pública.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Encargado</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Quien trata datos personales por cuenta del responsable (Ley 21.719, art. 15 bis).</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EvalTIC</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Metodología oficial de evaluación y formulación presupuestaria de proyectos TIC.</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GDP-SLEP</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Subdepartamento de Gestión y Desarrollo de Personas para los SLEP.</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LAYA</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Motor de IA de código abierto (Apache-2.0) que clasifica eventos y prepara acciones para aprobación humana.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LME</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Licencia Médica Electrónica.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n8n</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Plataforma de automatización de flujos que LAYA usa como pasarela de integración.</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OIDC</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OpenID Connect, protocolo de autenticación que usa ClaveÚnica.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PIEE</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Portal Integrado para Entidades Empleadoras de FONASA.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PISEE</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Plataforma de Integración de Servicios Electrónicos del Estado (termina el 31-dic-2026).</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RPA</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Automatización robótica de procesos: software que imita acciones de una persona en una interfaz.</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SIAD</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Sistema de Inspección de Acciones Derivadas de la Contraloría.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SLEP</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Servicio Local de Educación Pública.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SUSESO</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Superintendencia de Seguridad Social.</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Zona C</w:t>
            </w:r>
          </w:p>
        </w:tc>
        <w:tc>
          <w:tcPr>
            <w:tcW w:type="dxa" w:w="7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Sección de la licencia médica que completa el empleador.</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ANEXO B</w:t>
      </w:r>
      <w:r>
        <w:rPr>
          <w:rFonts w:ascii="Consolas" w:cs="Consolas" w:eastAsia="Consolas" w:hAnsi="Consolas"/>
          <w:color w:val="94A3B8"/>
          <w:sz w:val="16"/>
          <w:szCs w:val="16"/>
        </w:rPr>
        <w:t xml:space="preserve">  /  normas</w:t>
      </w:r>
    </w:p>
    <w:p>
      <w:pPr>
        <w:pStyle w:val="Heading1"/>
        <w:spacing w:after="160"/>
      </w:pPr>
      <w:r>
        <w:rPr>
          <w:b/>
          <w:bCs/>
          <w:color w:val="0F172A"/>
          <w:sz w:val="34"/>
          <w:szCs w:val="34"/>
        </w:rPr>
        <w:t xml:space="preserve">Índice de normas y actos analizados</w:t>
      </w:r>
    </w:p>
    <w:p>
      <w:pPr>
        <w:spacing w:after="140" w:before="0" w:line="276"/>
        <w:jc w:val="left"/>
      </w:pPr>
      <w:r>
        <w:rPr>
          <w:rFonts w:ascii="Calibri" w:cs="Calibri" w:eastAsia="Calibri" w:hAnsi="Calibri"/>
          <w:color w:val="64748B"/>
          <w:sz w:val="17"/>
          <w:szCs w:val="17"/>
        </w:rPr>
        <w:t xml:space="preserve">Total: 48 normas, proyectos y actos.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900"/>
        <w:gridCol w:w="1500"/>
        <w:gridCol w:w="16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MATERIA</w:t>
            </w:r>
          </w:p>
        </w:tc>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PUBLICACIÓN</w:t>
            </w:r>
          </w:p>
        </w:tc>
        <w:tc>
          <w:tcPr>
            <w:tcW w:type="dxa" w:w="1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21.040</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Sistema de Educación Pública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24-nov-2017</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21.819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Modifica Ley 21.040 (art. 61 t, u, v)</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25-may-2026</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Boletín 18.551-04</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Plazo de instalación de SLEP hasta 2040</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2026</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 trámite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DFL 1-19.653 (Ley 18.575)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Bases Generales de la Administración del Estado</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2001</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DFL 29/2004</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Estatuto Administrativo</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2005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DFL 1/1996</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Estatuto Docente</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1997</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21.109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Estatuto de los Asistentes de la Educación</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2018</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10.336</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Organización y atribuciones de la Contraloría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1964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Oficio CGR E89569/2025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Instrucciones sobre sumarios por licencias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Jun-2025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Dictamen CGR E150651N25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Financiamiento de remuneraciones con licencia en SLEP</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Sep-2025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Dictamen CGR E173171N22</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Límites de la contratación a honorarios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Ene-2022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3/1984 MINSAL</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Reglamento de licencias médicas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1984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20.585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Otorgamiento y uso de licencias médicas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11-may-2012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21.746</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Modifica Ley 20.585</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24-may-2025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Circular SUSESO 3779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médica electrónica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12-oct-2023</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Circular SUSESO 3868</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Implementación Ley 21.746</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25-jun-2025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Compendio SUSESO (16ª ed.)</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Normas sobre licencias médicas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1-sep-2026</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18.196, art. 12</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Recuperación del subsidio por el empleador público</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1982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Boletín 17.375-11</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Funciones de COMPIN a FONASA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 trámite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19.628</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Protección de la vida privada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28-ago-1999</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 hasta 30-nov-2026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21.719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Protección de datos personales y Agencia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13-dic-2024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Por entrar en vigor (1-dic-2026)</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Boletín 18.623-07</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Posterga la Ley 21.719 al 1-dic-2027</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2026</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 trámite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20.584</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Derechos y deberes de los pacientes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24-abr-2012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20.285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Acceso a la información pública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20-ago-2008</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21.663</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Marco de Ciberseguridad</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8-abr-2024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295/2024 Interior</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Reglamento de reporte de incidentes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1-mar-2025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285/2024 Interior</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Calificación de operadores de importancia vital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13-mar-2025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Instrucción General ANCI N° 1</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Inscripción de prestadores de servicios esenciales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Jun-2025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21.459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Delitos informáticos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20-jun-2022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21.180</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Transformación Digital del Estado</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11-nov-2019</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21.464</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Extiende plazos de la Ley 21.180</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9-jun-2022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DFL 1/2020 SEGPRES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Gradualidad de la transformación digital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6-abr-2021</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4/2020 SEGPRES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Reglamento de la Ley 21.180</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11-dic-2021</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7 a 12/2023 SEGPRES</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Normas técnicas (seguridad, notificaciones, autenticación, expedientes, calidad, interoperabilidad)</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17-ago-2023</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876/2025</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Modifica la norma técnica de interoperabilidad</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21-ago-2025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19.880</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Bases de los procedimientos administrativos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29-may-2003</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19.799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Documentos y firma electrónica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12-abr-2002</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21.658</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Crea la Secretaría de Gobierno Digital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9-feb-2024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Res. Ex. 733/2025 Hacienda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Términos y condiciones de ClaveÚnica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6-nov-2025</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Guía de Desarrollo de Software v2.0</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Lineamientos de Gobierno Digital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May-2021</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 (recomendación)</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Boletín 16821-19</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Regula los sistemas de inteligencia artificial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 trámite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Oficio Circular 711/2023</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Lineamientos de uso de IA en el sector público</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14-dic-2023</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Res. Ex. 372/2024 CPLT</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Transparencia algorítmica</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12-ago-2024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 (recomendación)</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19.886 / Ley 21.634</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Compras públicas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2003 / 11-dic-2023</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DS 661/2024 Hacienda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Reglamento de compras públicas</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12-dic-2024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Directiva ChileCompra N° 32</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Contratación de servicios en la nube</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5-dic-2018</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 (recomendación)</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20.730</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Lobby</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2014</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Ley 17.336</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Propiedad intelectual</w:t>
            </w:r>
          </w:p>
        </w:tc>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1970</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Vigente</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ANEXO C</w:t>
      </w:r>
      <w:r>
        <w:rPr>
          <w:rFonts w:ascii="Consolas" w:cs="Consolas" w:eastAsia="Consolas" w:hAnsi="Consolas"/>
          <w:color w:val="94A3B8"/>
          <w:sz w:val="16"/>
          <w:szCs w:val="16"/>
        </w:rPr>
        <w:t xml:space="preserve">  /  fuentes</w:t>
      </w:r>
    </w:p>
    <w:p>
      <w:pPr>
        <w:pStyle w:val="Heading1"/>
        <w:spacing w:after="160"/>
      </w:pPr>
      <w:r>
        <w:rPr>
          <w:b/>
          <w:bCs/>
          <w:color w:val="0F172A"/>
          <w:sz w:val="34"/>
          <w:szCs w:val="34"/>
        </w:rPr>
        <w:t xml:space="preserve">Fuentes principales</w:t>
      </w:r>
    </w:p>
    <w:p>
      <w:pPr>
        <w:pStyle w:val="ListParagraph"/>
        <w:numPr>
          <w:ilvl w:val="0"/>
          <w:numId w:val="2"/>
        </w:numPr>
        <w:spacing w:after="70" w:line="264"/>
      </w:pPr>
      <w:r>
        <w:rPr>
          <w:color w:val="334155"/>
          <w:sz w:val="16"/>
          <w:szCs w:val="16"/>
        </w:rPr>
        <w:t xml:space="preserve">Diario Oficial — Ley 21.719: diariooficial.interior.gob.cl/publicaciones/2024/12/13/44023/01/2583630.pdf</w:t>
      </w:r>
    </w:p>
    <w:p>
      <w:pPr>
        <w:pStyle w:val="ListParagraph"/>
        <w:numPr>
          <w:ilvl w:val="0"/>
          <w:numId w:val="2"/>
        </w:numPr>
        <w:spacing w:after="70" w:line="264"/>
      </w:pPr>
      <w:r>
        <w:rPr>
          <w:color w:val="334155"/>
          <w:sz w:val="16"/>
          <w:szCs w:val="16"/>
        </w:rPr>
        <w:t xml:space="preserve">Diario Oficial — Ley 21.663: diariooficial.interior.gob.cl/publicaciones/2024/04/08/43820/01/2475674.pdf</w:t>
      </w:r>
    </w:p>
    <w:p>
      <w:pPr>
        <w:pStyle w:val="ListParagraph"/>
        <w:numPr>
          <w:ilvl w:val="0"/>
          <w:numId w:val="2"/>
        </w:numPr>
        <w:spacing w:after="70" w:line="264"/>
      </w:pPr>
      <w:r>
        <w:rPr>
          <w:color w:val="334155"/>
          <w:sz w:val="16"/>
          <w:szCs w:val="16"/>
        </w:rPr>
        <w:t xml:space="preserve">Diario Oficial — Res. Ex. 733/2025 ClaveÚnica: diariooficial.interior.gob.cl/publicaciones/2025/11/06/44292/01/2719876.pdf</w:t>
      </w:r>
    </w:p>
    <w:p>
      <w:pPr>
        <w:pStyle w:val="ListParagraph"/>
        <w:numPr>
          <w:ilvl w:val="0"/>
          <w:numId w:val="2"/>
        </w:numPr>
        <w:spacing w:after="70" w:line="264"/>
      </w:pPr>
      <w:r>
        <w:rPr>
          <w:color w:val="334155"/>
          <w:sz w:val="16"/>
          <w:szCs w:val="16"/>
        </w:rPr>
        <w:t xml:space="preserve">Diario Oficial — Ley 21.819: diariooficial.interior.gob.cl/publicaciones/2026/05/25/44457/01/2813577.pdf</w:t>
      </w:r>
    </w:p>
    <w:p>
      <w:pPr>
        <w:pStyle w:val="ListParagraph"/>
        <w:numPr>
          <w:ilvl w:val="0"/>
          <w:numId w:val="2"/>
        </w:numPr>
        <w:spacing w:after="70" w:line="264"/>
      </w:pPr>
      <w:r>
        <w:rPr>
          <w:color w:val="334155"/>
          <w:sz w:val="16"/>
          <w:szCs w:val="16"/>
        </w:rPr>
        <w:t xml:space="preserve">Diario Oficial — Ley 21.746: diariooficial.interior.gob.cl/publicaciones/2025/05/24/44156/01/2649408.pdf</w:t>
      </w:r>
    </w:p>
    <w:p>
      <w:pPr>
        <w:pStyle w:val="ListParagraph"/>
        <w:numPr>
          <w:ilvl w:val="0"/>
          <w:numId w:val="2"/>
        </w:numPr>
        <w:spacing w:after="70" w:line="264"/>
      </w:pPr>
      <w:r>
        <w:rPr>
          <w:color w:val="334155"/>
          <w:sz w:val="16"/>
          <w:szCs w:val="16"/>
        </w:rPr>
        <w:t xml:space="preserve">Diario Oficial — DS 7/2023: diariooficial.interior.gob.cl/publicaciones/2023/08/17/43629/01/2361371.pdf</w:t>
      </w:r>
    </w:p>
    <w:p>
      <w:pPr>
        <w:pStyle w:val="ListParagraph"/>
        <w:numPr>
          <w:ilvl w:val="0"/>
          <w:numId w:val="2"/>
        </w:numPr>
        <w:spacing w:after="70" w:line="264"/>
      </w:pPr>
      <w:r>
        <w:rPr>
          <w:color w:val="334155"/>
          <w:sz w:val="16"/>
          <w:szCs w:val="16"/>
        </w:rPr>
        <w:t xml:space="preserve">Diario Oficial — Res. CPLT 372/2024: diariooficial.interior.gob.cl/publicaciones/2024/08/30/43938/01/2537198.pdf</w:t>
      </w:r>
    </w:p>
    <w:p>
      <w:pPr>
        <w:pStyle w:val="ListParagraph"/>
        <w:numPr>
          <w:ilvl w:val="0"/>
          <w:numId w:val="2"/>
        </w:numPr>
        <w:spacing w:after="70" w:line="264"/>
      </w:pPr>
      <w:r>
        <w:rPr>
          <w:color w:val="334155"/>
          <w:sz w:val="16"/>
          <w:szCs w:val="16"/>
        </w:rPr>
        <w:t xml:space="preserve">BCN LeyChile — Ley 21.040 (idNorma 1111237), Ley 19.628 (141599), Ley 21.719 (1209272), Ley 20.584 (1039348), Ley 20.585 (1039952), Ley 20.285 (276363), DS 3/1984 (7281), Ley 21.180 (1138479), Ley 19.880 (210676), Ley 19.799 (196640), DS 295 (1211466).</w:t>
      </w:r>
    </w:p>
    <w:p>
      <w:pPr>
        <w:pStyle w:val="ListParagraph"/>
        <w:numPr>
          <w:ilvl w:val="0"/>
          <w:numId w:val="2"/>
        </w:numPr>
        <w:spacing w:after="70" w:line="264"/>
      </w:pPr>
      <w:r>
        <w:rPr>
          <w:color w:val="334155"/>
          <w:sz w:val="16"/>
          <w:szCs w:val="16"/>
        </w:rPr>
        <w:t xml:space="preserve">Senado — Boletín 18.623-07: tramitacion.senado.cl/wspublico/tramitacion.php?boletin=18623</w:t>
      </w:r>
    </w:p>
    <w:p>
      <w:pPr>
        <w:pStyle w:val="ListParagraph"/>
        <w:numPr>
          <w:ilvl w:val="0"/>
          <w:numId w:val="2"/>
        </w:numPr>
        <w:spacing w:after="70" w:line="264"/>
      </w:pPr>
      <w:r>
        <w:rPr>
          <w:color w:val="334155"/>
          <w:sz w:val="16"/>
          <w:szCs w:val="16"/>
        </w:rPr>
        <w:t xml:space="preserve">Cámara — Boletín 16821-19 (IA): camara.cl/legislacion/proyectosdeley/tramitacion.aspx?prmBOLETIN=16821-19</w:t>
      </w:r>
    </w:p>
    <w:p>
      <w:pPr>
        <w:pStyle w:val="ListParagraph"/>
        <w:numPr>
          <w:ilvl w:val="0"/>
          <w:numId w:val="2"/>
        </w:numPr>
        <w:spacing w:after="70" w:line="264"/>
      </w:pPr>
      <w:r>
        <w:rPr>
          <w:color w:val="334155"/>
          <w:sz w:val="16"/>
          <w:szCs w:val="16"/>
        </w:rPr>
        <w:t xml:space="preserve">SUSESO — Compendio de licencias médicas: suseso.gob.cl/622/w3-propertyvalue-789014.html · Circular 3779: suseso.gob.cl/606/articles-716143_archivo_01.pdf · Dictamen 9937-2012: suseso.gob.cl/612/w3-article-37236.html</w:t>
      </w:r>
    </w:p>
    <w:p>
      <w:pPr>
        <w:pStyle w:val="ListParagraph"/>
        <w:numPr>
          <w:ilvl w:val="0"/>
          <w:numId w:val="2"/>
        </w:numPr>
        <w:spacing w:after="70" w:line="264"/>
      </w:pPr>
      <w:r>
        <w:rPr>
          <w:color w:val="334155"/>
          <w:sz w:val="16"/>
          <w:szCs w:val="16"/>
        </w:rPr>
        <w:t xml:space="preserve">FONASA — Portal de licencias para empleadores: fonasa.gob.cl/empleadores/portal-de-licencias-medicas/ · Manual PIEE: fonasa.gob.cl/wp-content/uploads/sites/2/2026/03/MANUAL-USO-PORTAL-PIEE.pdf · Cierre PUE: fonasa.gob.cl/empleadores/noticias/cierre-portal-de-entidades-empleadoras/</w:t>
      </w:r>
    </w:p>
    <w:p>
      <w:pPr>
        <w:pStyle w:val="ListParagraph"/>
        <w:numPr>
          <w:ilvl w:val="0"/>
          <w:numId w:val="2"/>
        </w:numPr>
        <w:spacing w:after="70" w:line="264"/>
      </w:pPr>
      <w:r>
        <w:rPr>
          <w:color w:val="334155"/>
          <w:sz w:val="16"/>
          <w:szCs w:val="16"/>
        </w:rPr>
        <w:t xml:space="preserve">I-MED — Integración ERP: imed.cl/empleadores/integracion-automatizada-de-licencias-medicas/habilitacion-erp · Servicio web empleador: licencia.cl/pages/webservice_empleador</w:t>
      </w:r>
    </w:p>
    <w:p>
      <w:pPr>
        <w:pStyle w:val="ListParagraph"/>
        <w:numPr>
          <w:ilvl w:val="0"/>
          <w:numId w:val="2"/>
        </w:numPr>
        <w:spacing w:after="70" w:line="264"/>
      </w:pPr>
      <w:r>
        <w:rPr>
          <w:color w:val="334155"/>
          <w:sz w:val="16"/>
          <w:szCs w:val="16"/>
        </w:rPr>
        <w:t xml:space="preserve">Gobierno Digital — Guía de integración ClaveÚnica v5.5; normas técnicas: wikiguias.digital.gob.cl/es/Normas · Recomendaciones cloud: wikiguias.digital.gob.cl/guias/guias/recomendaciones_cloud</w:t>
      </w:r>
    </w:p>
    <w:p>
      <w:pPr>
        <w:pStyle w:val="ListParagraph"/>
        <w:numPr>
          <w:ilvl w:val="0"/>
          <w:numId w:val="2"/>
        </w:numPr>
        <w:spacing w:after="70" w:line="264"/>
      </w:pPr>
      <w:r>
        <w:rPr>
          <w:color w:val="334155"/>
          <w:sz w:val="16"/>
          <w:szCs w:val="16"/>
        </w:rPr>
        <w:t xml:space="preserve">Guía de Desarrollo de Software v2.0: cms-dgd-prod.s3-us-west-2.amazonaws.com/uploads/pdf/Guia_Desarrollo_Software_-_v2.0_-_Mayo_2021.pdf</w:t>
      </w:r>
    </w:p>
    <w:p>
      <w:pPr>
        <w:pStyle w:val="ListParagraph"/>
        <w:numPr>
          <w:ilvl w:val="0"/>
          <w:numId w:val="2"/>
        </w:numPr>
        <w:spacing w:after="70" w:line="264"/>
      </w:pPr>
      <w:r>
        <w:rPr>
          <w:color w:val="334155"/>
          <w:sz w:val="16"/>
          <w:szCs w:val="16"/>
        </w:rPr>
        <w:t xml:space="preserve">ANCI — Instrucciones generales: anci.gob.cl/noticias/anci-instrucciones-2025/ · Res. Ex. 87/2025 (OIV): diariooficial.interior.gob.cl/publicaciones/2025/12/17/44326-B/01/2743431.pdf</w:t>
      </w:r>
    </w:p>
    <w:p>
      <w:pPr>
        <w:pStyle w:val="ListParagraph"/>
        <w:numPr>
          <w:ilvl w:val="0"/>
          <w:numId w:val="2"/>
        </w:numPr>
        <w:spacing w:after="70" w:line="264"/>
      </w:pPr>
      <w:r>
        <w:rPr>
          <w:color w:val="334155"/>
          <w:sz w:val="16"/>
          <w:szCs w:val="16"/>
        </w:rPr>
        <w:t xml:space="preserve">Minciencia — Oficio Circular 711/2023: minciencia.gob.cl/uploads/filer_public/ae/9a/ae9a7ce7-807b-4781-9ac3-9b253bfbe735/of_n711_2023_dis_lin_ia_minciencia.pdf</w:t>
      </w:r>
    </w:p>
    <w:p>
      <w:pPr>
        <w:pStyle w:val="ListParagraph"/>
        <w:numPr>
          <w:ilvl w:val="0"/>
          <w:numId w:val="2"/>
        </w:numPr>
        <w:spacing w:after="70" w:line="264"/>
      </w:pPr>
      <w:r>
        <w:rPr>
          <w:color w:val="334155"/>
          <w:sz w:val="16"/>
          <w:szCs w:val="16"/>
        </w:rPr>
        <w:t xml:space="preserve">ChileCompra — DS 661: chilecompra.cl/2024/12/conoce-las-principales-disposiciones-del-nuevo-reglamento-de-compras-publicas/ · Convenio 2239-2-LR26: chilecompra.cl/2026/09/aprovecha-la-extension-del-plazo-de-la-licitacion-para-el-nuevo-convenio-marco-de-servicios-de-desarrollo-y-mantencion-de-software/</w:t>
      </w:r>
    </w:p>
    <w:p>
      <w:pPr>
        <w:pStyle w:val="ListParagraph"/>
        <w:numPr>
          <w:ilvl w:val="0"/>
          <w:numId w:val="2"/>
        </w:numPr>
        <w:spacing w:after="70" w:line="264"/>
      </w:pPr>
      <w:r>
        <w:rPr>
          <w:color w:val="334155"/>
          <w:sz w:val="16"/>
          <w:szCs w:val="16"/>
        </w:rPr>
        <w:t xml:space="preserve">SII — UTM 2026: sii.cl/valores_y_fechas/utm/utm2026.htm</w:t>
      </w:r>
    </w:p>
    <w:p>
      <w:pPr>
        <w:pStyle w:val="ListParagraph"/>
        <w:numPr>
          <w:ilvl w:val="0"/>
          <w:numId w:val="2"/>
        </w:numPr>
        <w:spacing w:after="70" w:line="264"/>
      </w:pPr>
      <w:r>
        <w:rPr>
          <w:color w:val="334155"/>
          <w:sz w:val="16"/>
          <w:szCs w:val="16"/>
        </w:rPr>
        <w:t xml:space="preserve">DIPRES — Avance de sumarios: dipres.gob.cl/598/w3-article-404440.html</w:t>
      </w:r>
    </w:p>
    <w:p>
      <w:pPr>
        <w:pStyle w:val="ListParagraph"/>
        <w:numPr>
          <w:ilvl w:val="0"/>
          <w:numId w:val="2"/>
        </w:numPr>
        <w:spacing w:after="70" w:line="264"/>
      </w:pPr>
      <w:r>
        <w:rPr>
          <w:color w:val="334155"/>
          <w:sz w:val="16"/>
          <w:szCs w:val="16"/>
        </w:rPr>
        <w:t xml:space="preserve">Contraloría — Dictamen E173171N22: contraloria.cl/pdfbuscador/dictamenes/E173171N22/html</w:t>
      </w:r>
    </w:p>
    <w:p>
      <w:pPr>
        <w:pStyle w:val="ListParagraph"/>
        <w:numPr>
          <w:ilvl w:val="0"/>
          <w:numId w:val="2"/>
        </w:numPr>
        <w:spacing w:after="70" w:line="264"/>
      </w:pPr>
      <w:r>
        <w:rPr>
          <w:color w:val="334155"/>
          <w:sz w:val="16"/>
          <w:szCs w:val="16"/>
        </w:rPr>
        <w:t xml:space="preserve">DEP — 36 SLEP operativos (2-ene-2026): dep.gob.cl/nueva-educacion-publica/mas-del-50-del-nuevo-sistema-de-educacion-publica-instalado-10-slep-inician-su-administracion-educacional-el-1-de-enero-de-2026/</w:t>
      </w:r>
    </w:p>
    <w:p>
      <w:pPr>
        <w:pStyle w:val="ListParagraph"/>
        <w:numPr>
          <w:ilvl w:val="0"/>
          <w:numId w:val="2"/>
        </w:numPr>
        <w:spacing w:after="70" w:line="264"/>
      </w:pPr>
      <w:r>
        <w:rPr>
          <w:color w:val="334155"/>
          <w:sz w:val="16"/>
          <w:szCs w:val="16"/>
        </w:rPr>
        <w:t xml:space="preserve">AWS — Región Chile: aws.amazon.com/blogs/aws/coming-soon-aws-south-america-chile-region/</w:t>
      </w:r>
    </w:p>
    <w:p>
      <w:pPr>
        <w:pStyle w:val="ListParagraph"/>
        <w:numPr>
          <w:ilvl w:val="0"/>
          <w:numId w:val="2"/>
        </w:numPr>
        <w:spacing w:after="70" w:line="264"/>
      </w:pPr>
      <w:r>
        <w:rPr>
          <w:color w:val="334155"/>
          <w:sz w:val="16"/>
          <w:szCs w:val="16"/>
        </w:rPr>
        <w:t xml:space="preserve">Licencias de software — LAYA: github.com/aayushch/laya · n8n: github.com/n8n-io/n8n/blob/master/LICENSE.md · Compatibilidad Apache/GPL: apache.org/licenses/GPL-compatibility.html</w:t>
      </w:r>
    </w:p>
    <w:p>
      <w:pPr>
        <w:pStyle w:val="ListParagraph"/>
        <w:numPr>
          <w:ilvl w:val="0"/>
          <w:numId w:val="2"/>
        </w:numPr>
        <w:spacing w:after="70" w:line="264"/>
      </w:pPr>
      <w:r>
        <w:rPr>
          <w:color w:val="334155"/>
          <w:sz w:val="16"/>
          <w:szCs w:val="16"/>
        </w:rPr>
        <w:t xml:space="preserve">Corte Suprema, Rol 20.303-2026 (software por encargo): actualidadjuridica.doe.cl</w:t>
      </w:r>
    </w:p>
    <w:p>
      <w:pPr>
        <w:pStyle w:val="ListParagraph"/>
        <w:numPr>
          <w:ilvl w:val="0"/>
          <w:numId w:val="2"/>
        </w:numPr>
        <w:spacing w:after="70" w:line="264"/>
      </w:pPr>
      <w:r>
        <w:rPr>
          <w:color w:val="334155"/>
          <w:sz w:val="16"/>
          <w:szCs w:val="16"/>
        </w:rPr>
        <w:t xml:space="preserve">BCN — Cronología del caso licencias (CEI 73): obtienearchivo.bcn.cl (informe CEI 73, septiembre de 2025)</w:t>
      </w:r>
    </w:p>
    <w:p>
      <w:pPr>
        <w:keepNext/>
        <w:pageBreakBefore/>
        <w:spacing w:after="60"/>
      </w:pPr>
      <w:r>
        <w:rPr>
          <w:rFonts w:ascii="Consolas" w:cs="Consolas" w:eastAsia="Consolas" w:hAnsi="Consolas"/>
          <w:b/>
          <w:bCs/>
          <w:color w:val="0D9488"/>
          <w:spacing w:val="30"/>
          <w:sz w:val="16"/>
          <w:szCs w:val="16"/>
        </w:rPr>
        <w:t xml:space="preserve">ANEXO D</w:t>
      </w:r>
      <w:r>
        <w:rPr>
          <w:rFonts w:ascii="Consolas" w:cs="Consolas" w:eastAsia="Consolas" w:hAnsi="Consolas"/>
          <w:color w:val="94A3B8"/>
          <w:sz w:val="16"/>
          <w:szCs w:val="16"/>
        </w:rPr>
        <w:t xml:space="preserve">  /  por confirmar</w:t>
      </w:r>
    </w:p>
    <w:p>
      <w:pPr>
        <w:pStyle w:val="Heading1"/>
        <w:spacing w:after="160"/>
      </w:pPr>
      <w:r>
        <w:rPr>
          <w:b/>
          <w:bCs/>
          <w:color w:val="0F172A"/>
          <w:sz w:val="34"/>
          <w:szCs w:val="34"/>
        </w:rPr>
        <w:t xml:space="preserve">Puntos por confirmar</w:t>
      </w:r>
    </w:p>
    <w:p>
      <w:pPr>
        <w:spacing w:after="140" w:before="0" w:line="276"/>
        <w:jc w:val="left"/>
      </w:pPr>
      <w:r>
        <w:rPr>
          <w:rFonts w:ascii="Calibri" w:cs="Calibri" w:eastAsia="Calibri" w:hAnsi="Calibri"/>
          <w:color w:val="334155"/>
          <w:sz w:val="20"/>
          <w:szCs w:val="20"/>
        </w:rPr>
        <w:t xml:space="preserve">Datos que no pudieron verificarse en fuente oficial a la fecha de corte. Ninguno cambia las conclusiones principales, pero deben revisarse antes de usar el dato en una decisión formal.</w:t>
      </w:r>
    </w:p>
    <w:p>
      <w:pPr>
        <w:pStyle w:val="ListParagraph"/>
        <w:numPr>
          <w:ilvl w:val="0"/>
          <w:numId w:val="3"/>
        </w:numPr>
        <w:spacing w:after="70" w:line="264"/>
      </w:pPr>
      <w:r>
        <w:rPr>
          <w:color w:val="334155"/>
          <w:sz w:val="18"/>
          <w:szCs w:val="18"/>
        </w:rPr>
        <w:t xml:space="preserve">Si la DEP, algún SLEP o FONASA figuran en la nómina oficial de operadores de importancia vital (ANCI).</w:t>
      </w:r>
    </w:p>
    <w:p>
      <w:pPr>
        <w:pStyle w:val="ListParagraph"/>
        <w:numPr>
          <w:ilvl w:val="0"/>
          <w:numId w:val="3"/>
        </w:numPr>
        <w:spacing w:after="70" w:line="264"/>
      </w:pPr>
      <w:r>
        <w:rPr>
          <w:color w:val="334155"/>
          <w:sz w:val="18"/>
          <w:szCs w:val="18"/>
        </w:rPr>
        <w:t xml:space="preserve">Si existe hoy un servicio de FONASA sobre licencias en la Red de Interoperabilidad para empleadores públicos.</w:t>
      </w:r>
    </w:p>
    <w:p>
      <w:pPr>
        <w:pStyle w:val="ListParagraph"/>
        <w:numPr>
          <w:ilvl w:val="0"/>
          <w:numId w:val="3"/>
        </w:numPr>
        <w:spacing w:after="70" w:line="264"/>
      </w:pPr>
      <w:r>
        <w:rPr>
          <w:color w:val="334155"/>
          <w:sz w:val="18"/>
          <w:szCs w:val="18"/>
        </w:rPr>
        <w:t xml:space="preserve">Versión vigente del servicio web de empleador de I-MED tras la migración al PIEE.</w:t>
      </w:r>
    </w:p>
    <w:p>
      <w:pPr>
        <w:pStyle w:val="ListParagraph"/>
        <w:numPr>
          <w:ilvl w:val="0"/>
          <w:numId w:val="3"/>
        </w:numPr>
        <w:spacing w:after="70" w:line="264"/>
      </w:pPr>
      <w:r>
        <w:rPr>
          <w:color w:val="334155"/>
          <w:sz w:val="18"/>
          <w:szCs w:val="18"/>
        </w:rPr>
        <w:t xml:space="preserve">Estado de la postergación de la Ley 21.719 (Boletín 18.623-07) y de la instalación de la Agencia.</w:t>
      </w:r>
    </w:p>
    <w:p>
      <w:pPr>
        <w:pStyle w:val="ListParagraph"/>
        <w:numPr>
          <w:ilvl w:val="0"/>
          <w:numId w:val="3"/>
        </w:numPr>
        <w:spacing w:after="70" w:line="264"/>
      </w:pPr>
      <w:r>
        <w:rPr>
          <w:color w:val="334155"/>
          <w:sz w:val="18"/>
          <w:szCs w:val="18"/>
        </w:rPr>
        <w:t xml:space="preserve">Existencia de reglamentos de la Ley 21.719 publicados.</w:t>
      </w:r>
    </w:p>
    <w:p>
      <w:pPr>
        <w:pStyle w:val="ListParagraph"/>
        <w:numPr>
          <w:ilvl w:val="0"/>
          <w:numId w:val="3"/>
        </w:numPr>
        <w:spacing w:after="70" w:line="264"/>
      </w:pPr>
      <w:r>
        <w:rPr>
          <w:color w:val="334155"/>
          <w:sz w:val="18"/>
          <w:szCs w:val="18"/>
        </w:rPr>
        <w:t xml:space="preserve">Numeración exacta de los arts. 34 bis a 34 quáter de la Ley 21.719 (tipificación de infracciones).</w:t>
      </w:r>
    </w:p>
    <w:p>
      <w:pPr>
        <w:pStyle w:val="ListParagraph"/>
        <w:numPr>
          <w:ilvl w:val="0"/>
          <w:numId w:val="3"/>
        </w:numPr>
        <w:spacing w:after="70" w:line="264"/>
      </w:pPr>
      <w:r>
        <w:rPr>
          <w:color w:val="334155"/>
          <w:sz w:val="18"/>
          <w:szCs w:val="18"/>
        </w:rPr>
        <w:t xml:space="preserve">Procedimiento disciplinario aplicable a docentes de los SLEP tras la Ley 21.040.</w:t>
      </w:r>
    </w:p>
    <w:p>
      <w:pPr>
        <w:pStyle w:val="ListParagraph"/>
        <w:numPr>
          <w:ilvl w:val="0"/>
          <w:numId w:val="3"/>
        </w:numPr>
        <w:spacing w:after="70" w:line="264"/>
      </w:pPr>
      <w:r>
        <w:rPr>
          <w:color w:val="334155"/>
          <w:sz w:val="18"/>
          <w:szCs w:val="18"/>
        </w:rPr>
        <w:t xml:space="preserve">Instrumento formal de la CGR que fija el reporte mensual con los campos del Validador y el origen de la fecha de corte 11-03-2022.</w:t>
      </w:r>
    </w:p>
    <w:p>
      <w:pPr>
        <w:pStyle w:val="ListParagraph"/>
        <w:numPr>
          <w:ilvl w:val="0"/>
          <w:numId w:val="3"/>
        </w:numPr>
        <w:spacing w:after="70" w:line="264"/>
      </w:pPr>
      <w:r>
        <w:rPr>
          <w:color w:val="334155"/>
          <w:sz w:val="18"/>
          <w:szCs w:val="18"/>
        </w:rPr>
        <w:t xml:space="preserve">Fecha exacta de la fase de notificaciones electrónicas para el Grupo A (2026 o 2027).</w:t>
      </w:r>
    </w:p>
    <w:p>
      <w:pPr>
        <w:pStyle w:val="ListParagraph"/>
        <w:numPr>
          <w:ilvl w:val="0"/>
          <w:numId w:val="3"/>
        </w:numPr>
        <w:spacing w:after="70" w:line="264"/>
      </w:pPr>
      <w:r>
        <w:rPr>
          <w:color w:val="334155"/>
          <w:sz w:val="18"/>
          <w:szCs w:val="18"/>
        </w:rPr>
        <w:t xml:space="preserve">Si las licencias RPA quedarán en el catálogo del convenio marco 2239-2-LR26.</w:t>
      </w:r>
    </w:p>
    <w:p>
      <w:pPr>
        <w:pStyle w:val="ListParagraph"/>
        <w:numPr>
          <w:ilvl w:val="0"/>
          <w:numId w:val="3"/>
        </w:numPr>
        <w:spacing w:after="70" w:line="264"/>
      </w:pPr>
      <w:r>
        <w:rPr>
          <w:color w:val="334155"/>
          <w:sz w:val="18"/>
          <w:szCs w:val="18"/>
        </w:rPr>
        <w:t xml:space="preserve">Si los usos en gestión de personas o salud serán "alto riesgo" en el texto final de la ley de IA.</w:t>
      </w:r>
    </w:p>
    <w:p>
      <w:pPr>
        <w:pStyle w:val="ListParagraph"/>
        <w:numPr>
          <w:ilvl w:val="0"/>
          <w:numId w:val="3"/>
        </w:numPr>
        <w:spacing w:after="70" w:line="264"/>
      </w:pPr>
      <w:r>
        <w:rPr>
          <w:color w:val="334155"/>
          <w:sz w:val="18"/>
          <w:szCs w:val="18"/>
        </w:rPr>
        <w:t xml:space="preserve">Interpretación de "uso interno" en la licencia de n8n para una DEP que sirve a SLEP con personalidad jurídica propia.</w:t>
      </w: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00  ·  MARCO LEGAL Y NORMATIVO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00 — Marco Legal y Normativo · GDP-SLEP Studio</dc:title>
  <dc:subject>GDP-SLEP Studio</dc:subject>
  <dc:creator>César Torres</dc:creator>
  <dc:description>Marco legal y normativo del ecosistema GDP-SLEP Studio</dc:description>
  <cp:lastModifiedBy>Un-named</cp:lastModifiedBy>
  <cp:revision>1</cp:revision>
  <dcterms:created xsi:type="dcterms:W3CDTF">2026-10-02T15:58:53.774Z</dcterms:created>
  <dcterms:modified xsi:type="dcterms:W3CDTF">2026-10-02T15:58:53.774Z</dcterms:modified>
</cp:coreProperties>
</file>

<file path=docProps/custom.xml><?xml version="1.0" encoding="utf-8"?>
<Properties xmlns="http://schemas.openxmlformats.org/officeDocument/2006/custom-properties" xmlns:vt="http://schemas.openxmlformats.org/officeDocument/2006/docPropsVTypes"/>
</file>