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validador / factibilidad-transformacion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06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Factibilidad de la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transformación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Del PMV en HTML al estándar institucional: Angular · NestJS · MySQL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Propuesta de arquitectura, alcance y estrategia de migración del Validador de Formularios, con evaluación de factibilidad técnica, operativa, legal y económica, costos generales y carta Gantt de septiembre.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1: Validador de Formularios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Propuesta y factibilidad de la transformación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Septiembre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2 de septiembre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Primer informe de la etapa de desarrollo, tras el reintegro del 1 de septiembre de 2026.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06 — Factibilidad de la transformación del Validador de Formularios al estándar institucional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Sexto informe. Abre la etapa de desarrollo (septiembre 2026) a continuación de la entrega del PMV (Informe 05)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Proponer la arquitectura de destino, el alcance y la estrategia para transformar el PMV en un sistema con servidor, base de datos y seguridad reales, y evaluar si es factible hacerlo en septiembre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Técnica · Operativa · Legal y normativa · Económica · Plazo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Septiembre de 2026 (21 días hábiles)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Conclusión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La transformación es factible en septiembre con el stack aprobado por TI, con cuatro condiciones: alcance acotado, paridad verificada contra el PMV, cesión de derechos y decisión sobre la plantilla Fuse Admin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00 (Marco legal) · Informe 04 (Técnico del PMV, §13) · Informe 05 (Entrega del PMV) · Informe 07 (Técnico de la transformación)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50"/>
        <w:gridCol w:w="260"/>
        <w:gridCol w:w="1850"/>
        <w:gridCol w:w="260"/>
        <w:gridCol w:w="1850"/>
        <w:gridCol w:w="260"/>
        <w:gridCol w:w="1850"/>
        <w:gridCol w:w="260"/>
        <w:gridCol w:w="1200"/>
      </w:tblGrid>
      <w:tr>
        <w:trPr>
          <w:cantSplit/>
        </w:trPr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JUN – JUL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01–05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Práctica: diagnóstico y PMV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2 DE SEPTIEMBRE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06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Factibilidad de la transformación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SEPTIEMBRE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07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Técnico de la transformación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OCT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Revisión de TI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Servidor y ClaveÚnica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OCT – NOV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08–11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Licencias médicas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Informe 06 abre la etapa de desarrollo.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Cómo leer este informe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Las secciones 02 a 04 explican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 dónde se parte, a dónde se quiere llegar y cómo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las secciones 05 a 08 evalúan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factibilidad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por dimensión; la 09 presenta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carta Gantt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septiembre, la 10 los riesgos y la 11 las decisiones que se solicitan a la jefatura. El Anexo A lista los servicios (endpoints) previstos y el Anexo B los criterios de aceptación.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ejecutivo</w:t>
            </w:r>
          </w:p>
          <w:p>
            <w:r>
              <w:rPr>
                <w:color w:val="64748B"/>
                <w:sz w:val="17"/>
                <w:szCs w:val="17"/>
              </w:rPr>
              <w:t xml:space="preserve">La transformación y su factibilidad en dos páginas.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Punto de partida</w:t>
            </w:r>
          </w:p>
          <w:p>
            <w:r>
              <w:rPr>
                <w:color w:val="64748B"/>
                <w:sz w:val="17"/>
                <w:szCs w:val="17"/>
              </w:rPr>
              <w:t xml:space="preserve">El PMV entregado, sus límites y lo que exige TI.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Propuesta: arquitectura de destino</w:t>
            </w:r>
          </w:p>
          <w:p>
            <w:r>
              <w:rPr>
                <w:color w:val="64748B"/>
                <w:sz w:val="17"/>
                <w:szCs w:val="17"/>
              </w:rPr>
              <w:t xml:space="preserve">Stack, módulos, modelo de datos y seguridad.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Alcance y estrategia de migración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entra, qué no y las 14 fases.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técnica</w:t>
            </w:r>
          </w:p>
          <w:p>
            <w:r>
              <w:rPr>
                <w:color w:val="64748B"/>
                <w:sz w:val="17"/>
                <w:szCs w:val="17"/>
              </w:rPr>
              <w:t xml:space="preserve">¿Se puede construir con lo aprobado?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operativa</w:t>
            </w:r>
          </w:p>
          <w:p>
            <w:r>
              <w:rPr>
                <w:color w:val="64748B"/>
                <w:sz w:val="17"/>
                <w:szCs w:val="17"/>
              </w:rPr>
              <w:t xml:space="preserve">¿Cambia el trabajo de los usuarios? ¿Quién lo opera?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legal y normativa</w:t>
            </w:r>
          </w:p>
          <w:p>
            <w:r>
              <w:rPr>
                <w:color w:val="64748B"/>
                <w:sz w:val="17"/>
                <w:szCs w:val="17"/>
              </w:rPr>
              <w:t xml:space="preserve">Datos, seguridad, autenticación y propiedad del código.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económica</w:t>
            </w:r>
          </w:p>
          <w:p>
            <w:r>
              <w:rPr>
                <w:color w:val="64748B"/>
                <w:sz w:val="17"/>
                <w:szCs w:val="17"/>
              </w:rPr>
              <w:t xml:space="preserve">Costos generales, licencias e infraestructura.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Planificación: carta Gantt</w:t>
            </w:r>
          </w:p>
          <w:p>
            <w:r>
              <w:rPr>
                <w:color w:val="64748B"/>
                <w:sz w:val="17"/>
                <w:szCs w:val="17"/>
              </w:rPr>
              <w:t xml:space="preserve">Septiembre semana a semana.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Riesgos y mitigaciones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puede salir mal.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Conclusiones y decisiones solicitadas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se aprueba.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A–B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Anexos</w:t>
            </w:r>
          </w:p>
          <w:p>
            <w:r>
              <w:rPr>
                <w:color w:val="64748B"/>
                <w:sz w:val="17"/>
                <w:szCs w:val="17"/>
              </w:rPr>
              <w:t xml:space="preserve">Servicios previstos · Criterios de aceptación.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ejecutivo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PMV funciona, pero corre entero en el navegador: no guarda datos en un servidor, su seguridad es solo de pantalla y no puede integrarse con ClaveÚnica.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Convertirlo en un sistema institucional, con servidor, base de datos y control de acceso reales, sin cambiar lo que el usuario ya conoce.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Arquitectura sobre el stack aprobado por TI y migración en 14 fases cortas, verificando cada una contra el comportamiento del PMV.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informe propone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transformar el Validador de Formularios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desde un archivo HTML único a una aplicación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tres capas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una interfaz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Angular 19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un servicio (API)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NestJS 10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una base de datos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MySQL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empaquetadas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Docker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para que TI las instale en su servidor. Es el paso que exige TI para alojar el sistema y presentarlo 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Gobierno Digital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para obtener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ClaveÚnica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regla central es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paridad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el sistema nuevo debe producir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exactamente los mismos resultados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el PMV con los mismos datos.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14 meses históricos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(julio 2025 – agosto 2026, unos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504 contenedores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) se migrarán y se compararán campo por campo antes de dar por terminada la transformación.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fases de migración (F1–F14)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21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días hábiles en septiembre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504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contenedores históricos a migrar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$1,23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de septiembre (aprox.)</w:t>
            </w:r>
          </w:p>
        </w:tc>
      </w:tr>
    </w:tbl>
    <w:p>
      <w:pPr>
        <w:spacing w:after="16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Veredicto por dimensión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900"/>
        <w:gridCol w:w="604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DIMENSIÓN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Técnica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Factible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Stack aprobado por TI, de amplio uso y sin licencias de pago. El PMV ya está escrito en módulos con fachadas y trae un mapeo función por función hacia el destino.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Operativa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Factible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Los usuarios mantienen el mismo ciclo mensual y las mismas pantallas. TI recibe imágenes Docker y un procedimiento de instalación.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Legal y normativa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Con condiciones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Cifras agregadas, sin datos personales de los sumarios; sí trata datos de los usuarios. Requiere cesión de derechos, licencia de la plantilla y ClaveÚnica en la puesta en producción.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Económica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Factible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Un mes de desarrollo ($1,2 MM brutos) y licencias marginales. La operación se suma a la infraestructura que TI ya administra.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Plazo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Con condiciones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Cuatro semanas efectivas alcanzan si se difiere lo no esencial (PDF en servidor, plantilla comercial, ClaveÚnica) y se mantiene una semana de holgura.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La transformación es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factible en septiembre de 2026</w:t>
            </w:r>
            <w:r>
              <w:rPr>
                <w:color w:val="334155"/>
                <w:sz w:val="19"/>
                <w:szCs w:val="19"/>
              </w:rPr>
              <w:t xml:space="preserve">. Se recomienda aprobarla con el stack de TI, entregar el sistema a TI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30 de septiembre</w:t>
            </w:r>
            <w:r>
              <w:rPr>
                <w:color w:val="334155"/>
                <w:sz w:val="19"/>
                <w:szCs w:val="19"/>
              </w:rPr>
              <w:t xml:space="preserve"> y documentar su construcción en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Informe 07</w:t>
            </w:r>
            <w:r>
              <w:rPr>
                <w:color w:val="334155"/>
                <w:sz w:val="19"/>
                <w:szCs w:val="19"/>
              </w:rPr>
              <w:t xml:space="preserve">, dejando la integración con ClaveÚnica para la etapa de revisión de TI.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situación actual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Punto de partida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Transformar exige saber con precisión qué se tiene, qué funciona y qué no puede seguir así.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Delimitar lo que el PMV ya resuelve y lo que solo un servidor puede resolver.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Revisión del PMV entregado el 31 de julio (Informe 05) y de los requisitos de TI.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Lo que el PMV ya resuelve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PMV entregado el 31 de julio cumple su objetivo funcional: reconoce las versiones del formulario (31, 34, 37, 42 y 44 preguntas) mediante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banco de preguntas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aplica las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41 reglas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coherencia de la plantilla de 37 campos, organiza la información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contenedores por SLEP y mes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y genera el consolidado, el dashboard, el informe y los Excel. Ese comportamiento —probado con datos reales y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257 pruebas automatizadas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es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especificación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la transformación: no se rediseña, se traslada.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Lo que el PMV no puede resolver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200"/>
        <w:gridCol w:w="38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LÍMITE DEL PMV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CÓMO LO RESUELVE LA TRANSFORMACIÓN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Los datos viven en la memoria del navegador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Al cerrar la página se pierde lo que no se exportó; no hay historia común entre usuarios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Base de datos MySQL en el servidor, con respaldos que administra TI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La seguridad es solo de interfaz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Los permisos ocultan botones, pero cualquiera con la consola del navegador puede saltárselos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Permisos verificados en el servidor en cada solicitud (Guards de NestJS)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Usuarios y contraseñas dentro del archivo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 se pueden administrar ni revocar; no cumplen la norma de autenticación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Contraseñas cifradas con hash en la base; preparado para ClaveÚnica (OpenID Connect)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Estado global compartido (objeto S)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Cualquier módulo modifica cualquier dato; difícil de mantener al crecer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Estado por usuario y por solicitud en el servidor; servicios reactivos (RxJS) en la interfaz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Excel y PDF se generan en el navegador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Depende del equipo y del navegador de cada usuario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Servicios de reportería en el servidor (Excel); PDF desde el informe HTML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Archivo único de ≈14.000 líneas con librerías desde internet (CDN)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Difícil de mantener por partes; falla si la red bloquea esos dominios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Proyectos por módulo en un repositorio Git, con dependencias empaquetadas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Lo que exige TI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stack de destino fue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revisado y aprobado por TI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durante la práctica: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NestJS + TypeORM + MySQL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el servidor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Angular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la interfaz. Para alojar el sistema, TI requiere además una aplicación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contenedorizada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(Docker) con procedimiento de instalación reproducible,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código fuente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un repositorio sin servicios externos no autorizados,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control de acceso en el servidor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—condición para presentarlo a Gobierno Digital y solicitar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ClaveÚnica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documentación técnica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suficiente para que otra persona pueda mantenerlo (Informe 07).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arquitectura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Propuesta: arquitectura de destino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sistema institucional necesita separar la interfaz, las reglas y los datos.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Definir cómo se organizará el Validador en el servidor y en el navegador.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Arquitectura de tres capas sobre el stack aprobado, con el PMV como especificación.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Vista general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300"/>
        <w:gridCol w:w="2200"/>
        <w:gridCol w:w="300"/>
        <w:gridCol w:w="2200"/>
        <w:gridCol w:w="300"/>
        <w:gridCol w:w="2140"/>
      </w:tblGrid>
      <w:tr>
        <w:trPr>
          <w:cantSplit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PERSONAS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Usuarios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GDP-SLEP y SLEP (navegador)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FRONTEND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Interfaz Angular 19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Material · PrimeNG · Tailwind · RxJS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BACKEND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API NestJS 10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Guards · validación · servicios · TypeORM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1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DATOS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MySQL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Preguntas, contenedores, valores, usuarios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4700"/>
            <w:gridSpan w:val="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DESPLIEGUE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Docker · docker-compose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Las tres piezas se empaquetan como contenedores para el servidor de TI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21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IDENTIDAD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ClaveÚnica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OpenID Connect · etapa de revisión de TI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Arquitectura de destino del Validador de Formularios.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Stack tecnológico y licencias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900"/>
        <w:gridCol w:w="3700"/>
        <w:gridCol w:w="1740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LICENCIA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Interfaz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Angular 19 (standalone)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Aplicación web de una sola página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Interfaz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Angular Material 19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Estructura, formularios, modales, avisos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Interfaz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PrimeNG 19 + PrimeIcons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Tablas y selectores con muchos datos; gráficos (Chart.js)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Interfaz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Tailwind CSS · RxJS 7.8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Estilos utilitarios · estado reactivo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MIT · Apache-2.0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Interfaz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Fuse Admin (opcional)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Plantilla de layout administrativo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Comercial (Envato)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Servidor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NestJS 10 sobre Node.js LTS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API REST, módulos, inyección de dependencias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Servidor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TypeORM 0.3 + mysql2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Entidades, migraciones de esquema, consultas preparadas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Servidor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Passport + JWT · class-validator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Sesión, permisos y validación de entradas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Datos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MySQL Community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Base de datos relacional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GPLv2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Despliegue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Docker Engine · docker-compose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Contenedores para el servidor de TI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Apache-2.0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Calidad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Jest · Puppeteer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Pruebas unitarias y de extremo a extremo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MIT · Apache-2.0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Todo el stack es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software libre sin costo de licencia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, salvo la plantilla Fuse Admin, que es opcional (sección 7.3).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Docker Desktop no es gratuito para organismos públicos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; se usará Docker Engine, que sí lo es.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Módulos: del codename del PMV al nombre profesional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2000"/>
        <w:gridCol w:w="3200"/>
        <w:gridCol w:w="284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PMV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SISTEMA FINAL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SERVIDOR (NESTJS)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INTERFAZ (ANGULAR)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FUNDACIÓN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Core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core/ · Event Bus → Subject; interceptores y filtros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core/ · servicios únicos y guards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MAKEMAKE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Auth · Users · Reports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auth/, users/, reports/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features/auth, users, reports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MARAMARAMA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Cases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cases/ · contenedores, validación, importación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features/cases (incluye Inspector de Campo)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RONGORONGO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Dashboard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dashboard/ · consolidado, métricas, ranking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features/dashboard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MOAI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Forms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forms/ · banco de preguntas, plantillas, SLEP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— (se consume vía API)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LIBS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—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Dependencias del proyecto (npm)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Dependencias del proyecto (npm)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Modelo de datos: cómo se guarda cada formulario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 el PMV, cada contenedor guarda sus respuestas como un objeto plano (c01, c02… c44). En una base relacional hay dos caminos: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2800"/>
        <w:gridCol w:w="2300"/>
        <w:gridCol w:w="22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CÓMO FUNCIONA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VENTAJA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DESVENTAJA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 · Columnas fijas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Una columna por cada posición (c01…c44)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Consultas simples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Cada pregunta nueva obliga a cambiar el esquema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6"/>
                <w:szCs w:val="16"/>
              </w:rPr>
              <w:t xml:space="preserve">B · Tabla de valores (recomendado)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Una fila por cada pregunta respondida (contenedor, pregunta, valor)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Una nueva versión del formulario no cambia el esquema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Consultas algo más elaboradas (se resuelven con índices)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 recomienda el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camino B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coherente con el banco de preguntas único del PMV. Las entidades previstas son: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Pregunta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Formulario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FormularioPregunta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(la "receta" de cada versión),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Contenedor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ValorCampo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Usuario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Perfil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Seguridad desde el diseño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9"/>
          <w:szCs w:val="19"/>
        </w:rPr>
        <w:t xml:space="preserve">Toda verificación de permisos ocurre en el servidor</w:t>
      </w:r>
      <w:r>
        <w:rPr>
          <w:color w:val="334155"/>
          <w:sz w:val="19"/>
          <w:szCs w:val="19"/>
        </w:rPr>
        <w:t xml:space="preserve">: perfil (qué puede hacer) y alcance (qué SLEP puede ver), en cada servicio.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La interfaz solo </w:t>
      </w:r>
      <w:r>
        <w:rPr>
          <w:b/>
          <w:bCs/>
          <w:color w:val="0F172A"/>
          <w:sz w:val="19"/>
          <w:szCs w:val="19"/>
        </w:rPr>
        <w:t xml:space="preserve">oculta</w:t>
      </w:r>
      <w:r>
        <w:rPr>
          <w:color w:val="334155"/>
          <w:sz w:val="19"/>
          <w:szCs w:val="19"/>
        </w:rPr>
        <w:t xml:space="preserve"> lo que el usuario no puede usar; nunca es la barrera de seguridad.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Contraseñas guardadas como </w:t>
      </w:r>
      <w:r>
        <w:rPr>
          <w:b/>
          <w:bCs/>
          <w:color w:val="0F172A"/>
          <w:sz w:val="19"/>
          <w:szCs w:val="19"/>
        </w:rPr>
        <w:t xml:space="preserve">hash</w:t>
      </w:r>
      <w:r>
        <w:rPr>
          <w:color w:val="334155"/>
          <w:sz w:val="19"/>
          <w:szCs w:val="19"/>
        </w:rPr>
        <w:t xml:space="preserve"> (nunca en texto), sesión con </w:t>
      </w:r>
      <w:r>
        <w:rPr>
          <w:b/>
          <w:bCs/>
          <w:color w:val="0F172A"/>
          <w:sz w:val="19"/>
          <w:szCs w:val="19"/>
        </w:rPr>
        <w:t xml:space="preserve">token firmado</w:t>
      </w:r>
      <w:r>
        <w:rPr>
          <w:color w:val="334155"/>
          <w:sz w:val="19"/>
          <w:szCs w:val="19"/>
        </w:rPr>
        <w:t xml:space="preserve"> de duración limitada y secreto fuera del código.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Fórmulas de validación evaluadas con un </w:t>
      </w:r>
      <w:r>
        <w:rPr>
          <w:b/>
          <w:bCs/>
          <w:color w:val="0F172A"/>
          <w:sz w:val="19"/>
          <w:szCs w:val="19"/>
        </w:rPr>
        <w:t xml:space="preserve">intérprete seguro</w:t>
      </w:r>
      <w:r>
        <w:rPr>
          <w:color w:val="334155"/>
          <w:sz w:val="19"/>
          <w:szCs w:val="19"/>
        </w:rPr>
        <w:t xml:space="preserve">, sin ejecutar código arbitrario.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Entradas validadas en el servidor y consultas preparadas por el ORM, según OWASP.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alcance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Alcance y estrategia de migración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mes de plazo obliga a separar lo indispensable de lo deseable.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Fijar qué se transforma en septiembre, qué queda fuera y en qué orden se construye.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Alcance cerrado, 14 fases cortas y una regla de término: paridad con el PMV.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Dentro y fuera del alcance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DENTRO DEL ALCANCE (SEPTIEMBRE)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FUERA DEL ALCANCE (ETAPAS SIGUIENTES)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Todas las funciones del PMV: banco de preguntas, versiones, importación, validación, Inspector de Campo, contenedores, Agregar Mes, Cargar Datos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Integración con ClaveÚnica (requiere trámite de TI con Gobierno Digital)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Consolidado, dashboard y ranking con las mismas 15 métricas y 36 filas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Puesta en producción en el servidor de TI (la ejecuta TI)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Usuarios, perfiles y alcance con permisos verificados en el servidor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Generación de PDF en el servidor (Puppeteer); se mantiene el PDF desde el informe HTML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Informe HTML paramétrico (general y por SLEP) y Excel en sus dos modalidades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Integración de la plantilla comercial Fuse Admin (se usa un layout equivalente con Material)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Migración de los 14 meses históricos y comparación con el PMV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Nuevas funciones (notificaciones, carga directa por los SLEP, firma)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Docker, docker-compose y procedimiento de corte para TI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Integración con el portal GDP-SLEP Studio (Informe 13)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Las 14 fases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Informe 04 estimó la migración en 12 fases y unas 18 semanas, suponiendo dedicación parcial y una construcción desde cero. Con dedicación completa, el PMV ya desacoplado por fachadas, el mapeo función por función listo y las pruebas del PMV como especificación, se replanifica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14 fases cortas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cada una con un entregable verificable: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5000"/>
        <w:gridCol w:w="384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FASE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TERMINA CUANDO…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Proyecto NestJS, configuración y conexión a MySQL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API arranca y migra un esquema vacío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Forms: preguntas, formularios, recetas y SLEP (con datos semilla)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banco de 44 preguntas y las 5 versiones quedan en la 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Cases: contenedores, valores e importación de Excel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Un archivo real crea los mismos contenedores que en el PMV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Motor de validación (41 reglas) con intérprete seguro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Los mismos campos quedan válidos o inválidos que en el PMV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Consolidado, métricas y ranking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Las series del dashboard coinciden con el PMV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Auth y Users: sesión, perfiles, alcance y Guards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Un usuario sin permiso recibe rechazo del servidor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F7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Reports: Excel (2 modos) e informe HTML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Los archivos descargados equivalen a los del PMV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F8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Proyecto Angular, layout e inicio de sesión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 ingresa y se navega con datos reales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F9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Meses, panel SLEP, formulario e Inspector de Campo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flujo mensual completo funciona en la interfaz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F10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Permisos en la interfaz, usuarios y perfiles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Cada perfil ve exactamente lo que le corresponde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F11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Dashboard y ranking con gráficos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dashboard muestra las mismas cifras que el PMV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F12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Descargas y tabla de errores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y Excel se descargan desde la interfaz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F13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Migración de los 14 meses y comparación en paralelo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Cero diferencias en métricas y ranking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6"/>
                <w:szCs w:val="16"/>
              </w:rPr>
              <w:t xml:space="preserve">F14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Docker, docker-compose y procedimiento de corte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TI puede instalar el sistema siguiendo el documento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REGLA DE TÉRMINO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Una fase no se da por cerrada porque "el código está escrito", sino cuando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se ejecuta contra MySQL real y un navegador real</w:t>
            </w:r>
            <w:r>
              <w:rPr>
                <w:color w:val="334155"/>
                <w:sz w:val="19"/>
                <w:szCs w:val="19"/>
              </w:rPr>
              <w:t xml:space="preserve"> y su resultado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coincide con el PMV</w:t>
            </w:r>
            <w:r>
              <w:rPr>
                <w:color w:val="334155"/>
                <w:sz w:val="19"/>
                <w:szCs w:val="19"/>
              </w:rPr>
              <w:t xml:space="preserve">. Esta regla es la principal protección del plazo: evita descubrir errores acumulados al final.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técnica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técnica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transformación cambia la forma del sistema, no su comportamiento.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Verificar que el stack aprobado y el diseño del PMV permiten hacerlo sin reescribir la lógica a ciegas.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Análisis de las fricciones conocidas, del estado de soporte de cada componente y de la preparación del PMV.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El PMV fue diseñado para este destino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Los seis módulos se comunican por </w:t>
      </w:r>
      <w:r>
        <w:rPr>
          <w:b/>
          <w:bCs/>
          <w:color w:val="0F172A"/>
          <w:sz w:val="19"/>
          <w:szCs w:val="19"/>
        </w:rPr>
        <w:t xml:space="preserve">fachadas</w:t>
      </w:r>
      <w:r>
        <w:rPr>
          <w:color w:val="334155"/>
          <w:sz w:val="19"/>
          <w:szCs w:val="19"/>
        </w:rPr>
        <w:t xml:space="preserve"> y un </w:t>
      </w:r>
      <w:r>
        <w:rPr>
          <w:b/>
          <w:bCs/>
          <w:color w:val="0F172A"/>
          <w:sz w:val="19"/>
          <w:szCs w:val="19"/>
        </w:rPr>
        <w:t xml:space="preserve">Event Bus</w:t>
      </w:r>
      <w:r>
        <w:rPr>
          <w:color w:val="334155"/>
          <w:sz w:val="19"/>
          <w:szCs w:val="19"/>
        </w:rPr>
        <w:t xml:space="preserve">: se traducen directamente a módulos de NestJS/Angular y a Subjects de RxJS.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Antes de entregar el PMV se auditó el </w:t>
      </w:r>
      <w:r>
        <w:rPr>
          <w:b/>
          <w:bCs/>
          <w:color w:val="0F172A"/>
          <w:sz w:val="19"/>
          <w:szCs w:val="19"/>
        </w:rPr>
        <w:t xml:space="preserve">acoplamiento real</w:t>
      </w:r>
      <w:r>
        <w:rPr>
          <w:color w:val="334155"/>
          <w:sz w:val="19"/>
          <w:szCs w:val="19"/>
        </w:rPr>
        <w:t xml:space="preserve"> entre módulos y se corrigieron los accesos que se saltaban las fachadas.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Cada pieza compleja tiene un </w:t>
      </w:r>
      <w:r>
        <w:rPr>
          <w:b/>
          <w:bCs/>
          <w:color w:val="0F172A"/>
          <w:sz w:val="19"/>
          <w:szCs w:val="19"/>
        </w:rPr>
        <w:t xml:space="preserve">destino definido</w:t>
      </w:r>
      <w:r>
        <w:rPr>
          <w:color w:val="334155"/>
          <w:sz w:val="19"/>
          <w:szCs w:val="19"/>
        </w:rPr>
        <w:t xml:space="preserve"> (Informe 04, §13): importación, validación, consolidado, dashboard, reportería y RBAC.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La separación entre </w:t>
      </w:r>
      <w:r>
        <w:rPr>
          <w:b/>
          <w:bCs/>
          <w:color w:val="0F172A"/>
          <w:sz w:val="19"/>
          <w:szCs w:val="19"/>
        </w:rPr>
        <w:t xml:space="preserve">datos de visualización y su representación</w:t>
      </w:r>
      <w:r>
        <w:rPr>
          <w:color w:val="334155"/>
          <w:sz w:val="19"/>
          <w:szCs w:val="19"/>
        </w:rPr>
        <w:t xml:space="preserve"> permite cambiar las barras del PMV por una librería de gráficos sin recalcular nada.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Fricciones conocidas y cómo se abordan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2800"/>
        <w:gridCol w:w="3940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FRICCIÓN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 SI SE IGNORA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TRATAMIENTO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Estado global mutable (objeto S, 36 referencias en dos módulos)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Lógica que asume datos "siempre presentes" en memoria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Cada función recibe contenedor, mes y usuario como parámetros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Mutación en el lugar al validar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Guardados en momentos no controlados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Validar y luego guardar con save() en un punto explícito del servicio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Seguridad solo de interfaz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Sistema expuesto con apariencia de protegido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Guards de perfil y alcance en el servidor desde F6, antes de la interfaz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Excel y PDF en el navegador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Decidirlo tarde obliga a rehacer la interfaz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Excel en el servidor desde F7; PDF desde el informe HTML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Event Bus y Mediador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Ninguno: es la pieza más directa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Event Bus → Subject/BehaviorSubject; Mediador → inyección de dependencias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Estado de soporte de los componentes (septiembre 2026)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700"/>
        <w:gridCol w:w="2500"/>
        <w:gridCol w:w="374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VERSIÓN APROBADA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 DE SOPORTE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Angular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19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Sin soporte desde mayo 2026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Construir en 19 (aprobado) y planificar la actualización a 21 (soporte hasta mayo 2027) tras el corte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NestJS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Con soporte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Mantener; evaluar NestJS 11 en la misma actualización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Node.js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20 (Informe 00)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Sin soporte desde abril 2026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Ejecutar sobre Node.js 22 o 24 LTS; no cambia el código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MySQL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8.0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Sin soporte desde abril 2026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Usar MySQL 8.4 LTS; compatible con TypeORM y mysql2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TypeORM · RxJS · PrimeNG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0.3 · 7.8 · 19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Con soporte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Mantener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El cambio de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Node.js y MySQL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a sus versiones LTS vigentes es de configuración y se hace desde F1. La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actualización de Angular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sí toca el código; hacerla ahora reabriría la aprobación de TI y comprometería el plazo, por lo que se propone como una tarea acotada posterior al corte (≈ 1 a 2 semanas).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Stack maduro, aprobado y gratuito; el PMV ya está estructurado para migrar y cuenta con una especificación verificable. Las versiones fuera de soporte se resuelven con configuración o con una actualización planificada.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operativa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operativa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cambio de tecnología no debe convertirse en un cambio de trabajo para los usuarios.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Verificar que el ciclo mensual se mantiene y que existen responsables para operar el sistema.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Comparación del uso antes y después, definición de roles y plan de transición.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cambia y qué no para los usuarios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3700"/>
        <w:gridCol w:w="404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PMV (JULIO)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SISTEMA TRANSFORMADO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Ciclo mensual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Abrir mes → cargar → validar → cerrar → descargar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Igual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Pantallas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Meses, SLEP, formulario, Inspector de Campo, dashboard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Iguales, con componentes institucionales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Ingreso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Usuario y contraseña definidos en el archivo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Cuenta administrada en el servidor (luego ClaveÚnica)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Datos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 pierden al cerrar la página si no se exportan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Quedan guardados y disponibles para todos los usuarios autorizados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Trabajo y acceso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Una persona por archivo, abierto en su equipo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Varias personas a la vez, cada una con su alcance, en una dirección web interna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Roles y responsabilidades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600"/>
        <w:gridCol w:w="34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RESPONSABILIDAD EN LA TRANSFORMACIÓN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RESPONSABILIDAD EN LA OPERACIÓN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Jefatura GDP-SLEP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Aprobar el alcance y las decisiones de la sección 11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Dueña funcional del sistema; aprueba perfiles y accesos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Equipo GDP-SLEP (Admin, Validador, Digitador)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Validar que el sistema nuevo se comporta igual que el PMV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Ciclo mensual de los 36 SLEP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Desarrollador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Construir, probar y documentar (Informes 06 y 07)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Corrección de errores y mejoras planificadas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 de la DEP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Recibir el sistema, revisar seguridad y definir el servidor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Instalación, respaldos, monitoreo y trámite de ClaveÚnica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Transición sin interrupción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Durante septiembre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el PMV sigue en uso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el reporte de agosto se procesa con él. En la fase F13 se migran los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14 meses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al sistema nuevo y se comparan sus resultados; el primer cierre posterior a la entrega a TI puede procesarse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en paralelo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en ambos sistemas como prueba final. La capacitación es breve (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2 horas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una guía), porque pantallas y ciclo se mantienen.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trabajo mensual no cambia, el sistema gana persistencia y trabajo simultáneo, y cada actor tiene una responsabilidad definida. La transición mantiene el PMV como respaldo hasta la aceptación.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legal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legal y normativa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Llevar el sistema a un servidor institucional lo somete a las normas de datos, seguridad y gobierno digital.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Identificar qué exige cada norma a esta transformación y qué queda pendiente.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Aplicación del marco del Informe 00 al sistema transformado.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Datos que trata el sistema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1700"/>
        <w:gridCol w:w="484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INFORMACIÓN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¿DATO PERSONAL?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TRATAMIENTO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Cifras de avance de sumarios por SLEP y mes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No (agregadas)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 identifican a personas. Se restringe por alcance: cifras muy pequeñas en un SLEP podrían permitir inferencias, por lo que no se publican fuera del sistema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Datos de los usuarios (nombre, cuenta, correo institucional, perfil, alcance)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Sí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Base de licitud: funciones propias del órgano público (Ley 19.628, art. 20). Minimización y deber de información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Contraseñas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Sí (credencial)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 guardan solo como hash; nunca se muestran ni se exportan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Registros de acceso y acciones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Sí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Trazabilidad y seguridad; plazo de conservación a definir con TI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El sistema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no contiene RUT, nombres ni detalles de los sumarios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, por lo que no afecta su carácter reservado. La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Ley 21.719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rige desde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1 de diciembre de 2026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: el tratamiento de los datos de usuarios debe quedar documentado (finalidad, base, plazos y medidas) antes de esa fecha.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Seguridad, autenticación y gobierno digital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200"/>
        <w:gridCol w:w="38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NORMA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EXIGE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CÓMO LO ABORDA LA TRANSFORMACIÓN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Ley 21.663 · DS 295/2024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Gestión de riesgos y reporte de incidentes (3 h, 72 h y 15 días)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Registros de acceso y errores que TI puede usar para detectar y reportar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DS 7/2023 (seguridad de la información)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Controles de acceso, gestión de proveedores, responsable de seguridad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Permisos en el servidor, secretos fuera del código, instalación en infraestructura de TI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DS 9/2023 · Res. Ex. 733/2025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ClaveÚnica como mecanismo de autenticación de personas, incluidos funcionarios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Autenticación preparada para OpenID Connect; integración en la revisión de TI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DS 11/2023 · Guía de desarrollo de software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Calidad, continuidad y lineamientos de desarrollo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Stack de amplio soporte, API REST documentable, Docker, Git y pruebas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Ley 21.180 · Ley 19.880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Procesos electrónicos y neutralidad tecnológica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Sistema web interno; elección de versiones justificada técnicamente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Propiedad del código y licencias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9"/>
          <w:szCs w:val="19"/>
        </w:rPr>
        <w:t xml:space="preserve">Cesión de derechos (Ley 17.336):</w:t>
      </w:r>
      <w:r>
        <w:rPr>
          <w:color w:val="334155"/>
          <w:sz w:val="19"/>
          <w:szCs w:val="19"/>
        </w:rPr>
        <w:t xml:space="preserve"> el código del PMV se escribió en práctica; el de septiembre, a honorarios. Para que la DEP sea titular de ambos se requiere una </w:t>
      </w:r>
      <w:r>
        <w:rPr>
          <w:b/>
          <w:bCs/>
          <w:color w:val="0F172A"/>
          <w:sz w:val="19"/>
          <w:szCs w:val="19"/>
        </w:rPr>
        <w:t xml:space="preserve">cesión de derechos patrimoniales</w:t>
      </w:r>
      <w:r>
        <w:rPr>
          <w:color w:val="334155"/>
          <w:sz w:val="19"/>
          <w:szCs w:val="19"/>
        </w:rPr>
        <w:t xml:space="preserve"> y una cláusula equivalente en el contrato.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9"/>
          <w:szCs w:val="19"/>
        </w:rPr>
        <w:t xml:space="preserve">Licencia del sistema:</w:t>
      </w:r>
      <w:r>
        <w:rPr>
          <w:color w:val="334155"/>
          <w:sz w:val="19"/>
          <w:szCs w:val="19"/>
        </w:rPr>
        <w:t xml:space="preserve"> la guía de Gobierno Digital recomienda </w:t>
      </w:r>
      <w:r>
        <w:rPr>
          <w:b/>
          <w:bCs/>
          <w:color w:val="0F172A"/>
          <w:sz w:val="19"/>
          <w:szCs w:val="19"/>
        </w:rPr>
        <w:t xml:space="preserve">GPLv3</w:t>
      </w:r>
      <w:r>
        <w:rPr>
          <w:color w:val="334155"/>
          <w:sz w:val="19"/>
          <w:szCs w:val="19"/>
        </w:rPr>
        <w:t xml:space="preserve">. Las dependencias del stack (MIT, Apache-2.0) son compatibles; MySQL (GPLv2) se usa como servicio separado.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9"/>
          <w:szCs w:val="19"/>
        </w:rPr>
        <w:t xml:space="preserve">Fuse Admin:</w:t>
      </w:r>
      <w:r>
        <w:rPr>
          <w:color w:val="334155"/>
          <w:sz w:val="19"/>
          <w:szCs w:val="19"/>
        </w:rPr>
        <w:t xml:space="preserve"> su licencia de Envato permite usarla en </w:t>
      </w:r>
      <w:r>
        <w:rPr>
          <w:b/>
          <w:bCs/>
          <w:color w:val="0F172A"/>
          <w:sz w:val="19"/>
          <w:szCs w:val="19"/>
        </w:rPr>
        <w:t xml:space="preserve">un producto final</w:t>
      </w:r>
      <w:r>
        <w:rPr>
          <w:color w:val="334155"/>
          <w:sz w:val="19"/>
          <w:szCs w:val="19"/>
        </w:rPr>
        <w:t xml:space="preserve">, pero </w:t>
      </w:r>
      <w:r>
        <w:rPr>
          <w:b/>
          <w:bCs/>
          <w:color w:val="0F172A"/>
          <w:sz w:val="19"/>
          <w:szCs w:val="19"/>
        </w:rPr>
        <w:t xml:space="preserve">no redistribuir su código</w:t>
      </w:r>
      <w:r>
        <w:rPr>
          <w:color w:val="334155"/>
          <w:sz w:val="19"/>
          <w:szCs w:val="19"/>
        </w:rPr>
        <w:t xml:space="preserve">. Si el Validador se publica bajo GPLv3, la plantilla no puede incluirse en el repositorio publicado.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Contratación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desarrollo de septiembre corresponde a un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cometido específico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(la transformación), compatible con la contratación a honorarios (Estatuto Administrativo, art. 11).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operación permanente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del sistema no debería descansar en esa modalidad. La licencia de Fuse, si se compra, es de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bajo monto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en dólares, y debe tramitarse por el procedimiento de compras de la DEP (Ley 19.886 y DS 661/2024).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Con condiciones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No hay impedimento legal. Quedan cuatro condiciones: cesión de derechos, documentación del tratamiento de datos de usuarios antes del 1-dic-2026, integración con ClaveÚnica en la puesta en producción y decisión sobre la plantilla Fuse.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económica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económica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transformación es el primer gasto real del proyecto.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Estimar el costo de septiembre y de la operación posterior.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Costos generales a valores de agosto de 2026 (dólar $917,66); el detalle va en el Informe 07.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Costos de septiembre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1900"/>
        <w:gridCol w:w="1900"/>
        <w:gridCol w:w="38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ESCENARIO A · SERVIDOR DE TI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ESCENARIO B · NUBE EN CHILE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Desarrollador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$1.200.000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$1.200.000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Honorarios brutos; retención 15,25% ($183.000); líquido $1.017.000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Software del stack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$0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Stack libre (Angular, NestJS, MySQL, PrimeNG, Docker Engine); equipo existente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Plantilla Fuse Admin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$30.000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$30.000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Licencia regular, pago único (32 USD). Opcional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Repositorio de código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$7.300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GitHub Free / GitHub Team (2 usuarios × 4 USD)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Infraestructura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$0 adicional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$190.000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Servidor existente de TI / máquina virtual y base administrada en región Chile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ClaveÚnica y dominio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$0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Trámite institucional (se ejecuta en la revisión de TI)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Total septiembre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≈ $1.230.000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≈ $1.427.000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Sin Fuse: $1.200.000 en el escenario A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$1,23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septiembre, escenario A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$34.000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por SLEP atendido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$7.100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por hora (168 h)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$3,8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evitado (aprox.) frente a las 18 semanas del Informe 04 (≈ $5,0 MM)</w:t>
            </w:r>
          </w:p>
        </w:tc>
      </w:tr>
    </w:tbl>
    <w:p>
      <w:pPr>
        <w:spacing w:after="16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Operación posterior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1700"/>
        <w:gridCol w:w="1900"/>
        <w:gridCol w:w="37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ESCENARIO 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ESCENARIO B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Infraestructura mensual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Marginal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$190.000 / mes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B: ≈ $2,3 MM al año (más ≈ $7.300/mes si se usa GitHub Team), compartible con el portal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Mantención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Según contrato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Según contrato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Errores y actualización a Angular 21 (≈ 1–2 semanas)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Un mes de desarrollo y licencias marginales. Con el servidor de TI no hay costo recurrente adicional; en nube, el costo es acotado y se comparte con el resto del portal.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planificación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Planificación: carta Gantt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sistema debe llegar a TI al cierre de septiembre.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Ordenar las 14 fases en 21 días hábiles, con holgura.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Carta Gantt semanal de septiembre y vista mensual del ciclo del Validador.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Transformación (septiembre de 2026)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0"/>
        <w:gridCol w:w="1068"/>
        <w:gridCol w:w="1068"/>
        <w:gridCol w:w="1068"/>
        <w:gridCol w:w="1068"/>
        <w:gridCol w:w="1068"/>
      </w:tblGrid>
      <w:tr>
        <w:trPr>
          <w:tblHeader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1–4 sep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7–11 sep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14–18 sep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21–25 sep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28–30 sep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Informe 06 · este informe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Servidor (backend)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F1–F2 · Proyecto, Forms y datos semilla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F3–F4 · Cases, importación y validación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F5 · Consolidado, métricas y ranking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F6 · Auth, Users y Guards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F7 · Reports: Excel e informe HTML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Interfaz (frontend)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F8 · Proyecto Angular, layout e ingreso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F9 · Meses, SLEP, formulario e Inspector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F10 · Permisos, usuarios y perfiles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F11–F12 · Dashboard, descargas y errores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Cierre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F13 · Migración de 14 meses y comparación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F14 · Docker y procedimiento de corte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Holgura, Informe 07 y entrega a TI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Informe 06 (2-sep) · entrega a TI (30-sep) · S3 incluye el feriado del viernes 18 de septiembre.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Carta Gantt de la transformación del Validador.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Ciclo del Validador después de la transformación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0"/>
        <w:gridCol w:w="1068"/>
        <w:gridCol w:w="1068"/>
        <w:gridCol w:w="1068"/>
        <w:gridCol w:w="1068"/>
        <w:gridCol w:w="1068"/>
      </w:tblGrid>
      <w:tr>
        <w:trPr>
          <w:tblHeader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SEP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OCT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NOV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DIC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2026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ENE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2027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Transformación (este informe)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Revisión de TI, servidor y trámite de ClaveÚnica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Operación: cierres mensuales en el sistema nuevo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Actualización a Angular 21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Integración al portal GDP-SLEP Studio</w:t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6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Octubre y noviembre se dedican a la automatización de licencias (Informes 08–11); el Validador queda en revisión de TI y en operación.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4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Validador entre septiembre de 2026 y enero de 2027.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plazo de un mes deja poco margen para sorpresas.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Anticipar los riesgos de la transformación y su tratamiento.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300"/>
        <w:gridCol w:w="900"/>
        <w:gridCol w:w="1000"/>
        <w:gridCol w:w="38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R1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plazo de septiembre no alcanza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Alcance cerrado (§4.1), regla de término por fase y una semana de holgura (S5).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R2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sistema nuevo no reproduce los resultados del PMV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Comparación campo por campo de los 14 meses (F13) y pruebas por fase.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R3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Los permisos quedan solo en la interfaz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Guards en el servidor desde F6, antes de construir la interfaz; pruebas por perfil.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R4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instalación falla en una máquina distinta a la de desarrollo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Probar las migraciones contra una base nueva; Docker y procedimiento de corte paso a paso.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R5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Componentes fuera de soporte (Angular 19, Node 20, MySQL 8.0)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Node.js y MySQL en versiones LTS desde F1; actualización a Angular 21 planificada.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R6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red institucional bloquea servicios externos (fuentes, CDN, registros)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Empaquetar íconos y librerías dentro de la aplicación; imágenes Docker preparadas.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R7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licencia Fuse no se adquiere a tiempo o choca con GPLv3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Baja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Layout equivalente con Angular Material desde F8.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R8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revisión de TI o el trámite de ClaveÚnica se demoran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Media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Entrega completa y documentada; operación interna con autenticación local mientras tanto.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R9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conocimiento depende de una sola persona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07, repositorio Git, código comentado y traspaso a TI.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Conclusiones y decisiones solicitadas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Terminar con una decisión clara.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Aprobar la transformación y resolver sus condiciones.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de las cinco dimensiones.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4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DIMENSIÓN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Técnica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Operativa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Legal y normativa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Con condiciones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Económica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Plazo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Con condiciones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transformación del Validador de Formularios 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factible en septiembre de 2026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Mantiene lo que los usuarios ya validaron, agrega lo que solo un servidor puede dar —persistencia, seguridad real y trabajo simultáneo— y deja el sistema en condiciones de que TI lo aloje y lo presente a Gobierno Digital.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Decisiones que se solicitan a la jefatura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9"/>
          <w:szCs w:val="19"/>
        </w:rPr>
        <w:t xml:space="preserve">Aprobar</w:t>
      </w:r>
      <w:r>
        <w:rPr>
          <w:color w:val="334155"/>
          <w:sz w:val="19"/>
          <w:szCs w:val="19"/>
        </w:rPr>
        <w:t xml:space="preserve"> la transformación con el stack de TI y el alcance de la sección 4.1, con entrega a TI el </w:t>
      </w:r>
      <w:r>
        <w:rPr>
          <w:b/>
          <w:bCs/>
          <w:color w:val="0F172A"/>
          <w:sz w:val="19"/>
          <w:szCs w:val="19"/>
        </w:rPr>
        <w:t xml:space="preserve">30 de septiembre</w:t>
      </w:r>
      <w:r>
        <w:rPr>
          <w:color w:val="334155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9"/>
          <w:szCs w:val="19"/>
        </w:rPr>
        <w:t xml:space="preserve">Decidir sobre Fuse Admin:</w:t>
      </w:r>
      <w:r>
        <w:rPr>
          <w:color w:val="334155"/>
          <w:sz w:val="19"/>
          <w:szCs w:val="19"/>
        </w:rPr>
        <w:t xml:space="preserve"> comprar la licencia regular (≈ $30.000) o mantener el layout con Angular Material ($0). Se recomienda </w:t>
      </w:r>
      <w:r>
        <w:rPr>
          <w:b/>
          <w:bCs/>
          <w:color w:val="0F172A"/>
          <w:sz w:val="19"/>
          <w:szCs w:val="19"/>
        </w:rPr>
        <w:t xml:space="preserve">Material</w:t>
      </w:r>
      <w:r>
        <w:rPr>
          <w:color w:val="334155"/>
          <w:sz w:val="19"/>
          <w:szCs w:val="19"/>
        </w:rPr>
        <w:t xml:space="preserve"> mientras no se defina si el código se publicará.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9"/>
          <w:szCs w:val="19"/>
        </w:rPr>
        <w:t xml:space="preserve">Gestionar la cesión de derechos</w:t>
      </w:r>
      <w:r>
        <w:rPr>
          <w:color w:val="334155"/>
          <w:sz w:val="19"/>
          <w:szCs w:val="19"/>
        </w:rPr>
        <w:t xml:space="preserve"> del código de la práctica y la cláusula de titularidad en el contrato a honorarios.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9"/>
          <w:szCs w:val="19"/>
        </w:rPr>
        <w:t xml:space="preserve">Coordinar con TI</w:t>
      </w:r>
      <w:r>
        <w:rPr>
          <w:color w:val="334155"/>
          <w:sz w:val="19"/>
          <w:szCs w:val="19"/>
        </w:rPr>
        <w:t xml:space="preserve"> el servidor, el repositorio y la fecha de recepción.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9"/>
          <w:szCs w:val="19"/>
        </w:rPr>
        <w:t xml:space="preserve">Autorizar</w:t>
      </w:r>
      <w:r>
        <w:rPr>
          <w:color w:val="334155"/>
          <w:sz w:val="19"/>
          <w:szCs w:val="19"/>
        </w:rPr>
        <w:t xml:space="preserve"> la actualización a Angular 21 como tarea posterior al corte (diciembre).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 FINAL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Aprobar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transformación del Validador de Formularios</w:t>
            </w:r>
            <w:r>
              <w:rPr>
                <w:color w:val="334155"/>
                <w:sz w:val="19"/>
                <w:szCs w:val="19"/>
              </w:rPr>
              <w:t xml:space="preserve"> al estándar institucional durante septiembre de 2026, bajo la regla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paridad con el PMV</w:t>
            </w:r>
            <w:r>
              <w:rPr>
                <w:color w:val="334155"/>
                <w:sz w:val="19"/>
                <w:szCs w:val="19"/>
              </w:rPr>
              <w:t xml:space="preserve">, y documentar su construcción y resultados en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Informe 07</w:t>
            </w:r>
            <w:r>
              <w:rPr>
                <w:color w:val="334155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A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anexo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Anexo A · Servicios previstos (API)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Servicios REST que expondrá el servidor. Todos, salvo el ingreso, exigen sesión válida y verifican perfil y alcance.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3400"/>
        <w:gridCol w:w="42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MÉTODO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Iniciar sesión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/api/preguntas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Banco de preguntas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/api/formularios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Formularios y sus versiones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/api/contenedores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Contenedores por mes y SLEP (según alcance)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/api/meses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Crear un mes (Agregar Mes)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/api/consolidado/:mes/:anio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Consolidado de un mes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/api/dashboard/:mes/:anio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Métricas y ranking del dashboard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/api/informe/:mes/:anio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HTML, general o por SLEP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/api/excel/general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Excel del consolidado general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/api/excel/por-slep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Excel por SLEP o libro completo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 · POST · PATCH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/api/usuarios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Listar, crear y editar usuarios (superusuario)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GET · POST · PATCH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/api/perfiles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Listar, crear y editar perfiles (superusuario)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B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Anexo B · Criterios de aceptación de la transformación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4200"/>
        <w:gridCol w:w="464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Los 14 meses históricos se migran completos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504 contenedores en la base, sin errores de carga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dashboard coincide con el PMV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15 métricas y 36 filas de ranking iguales, en más de un mes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validación coincide con el PMV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Mismos campos válidos e inválidos para los mismos archivos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Los permisos se cumplen en el servidor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Solicitudes sin permiso o fuera de alcance son rechazadas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Las contraseñas no se almacenan en texto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Revisión de la tabla de usuarios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y Excel equivalentes a los del PMV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Comparación de archivos descargados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Instalación reproducible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Instalación en una máquina limpia siguiendo el procedimiento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Sin dependencias externas en ejecución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aplicación funciona con internet bloqueado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Documentación completa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07 y procedimiento de corte entregados a TI</w:t>
            </w:r>
          </w:p>
        </w:tc>
      </w:tr>
    </w:tbl>
    <w:p>
      <w:pPr>
        <w:spacing w:after="12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06  ·  FACTIBILIDAD DE LA TRANSFORMACIÓN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06 — Factibilidad de la transformación del Validador de Formularios</dc:title>
  <dc:subject>GDP-SLEP Studio</dc:subject>
  <dc:creator>César Torres</dc:creator>
  <dc:description>Propuesta y factibilidad de la transformación del Validador al estándar institucional</dc:description>
  <cp:lastModifiedBy>Un-named</cp:lastModifiedBy>
  <cp:revision>1</cp:revision>
  <dcterms:created xsi:type="dcterms:W3CDTF">2026-10-02T20:16:11.652Z</dcterms:created>
  <dcterms:modified xsi:type="dcterms:W3CDTF">2026-10-02T20:16:11.652Z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