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  <w:r>
        <w:rPr>
          <w:rFonts w:ascii="Consolas" w:cs="Consolas" w:eastAsia="Consolas" w:hAnsi="Consolas"/>
          <w:color w:val="0D9488"/>
          <w:sz w:val="18"/>
          <w:szCs w:val="18"/>
        </w:rPr>
        <w:t xml:space="preserve">&gt; gdp-slep-studio / licencias / camino-rpa / marco-legal</w:t>
      </w:r>
    </w:p>
    <w:p>
      <w:pPr>
        <w:spacing w:after="240"/>
      </w:pPr>
      <w:r>
        <w:rPr>
          <w:rFonts w:ascii="Consolas" w:cs="Consolas" w:eastAsia="Consolas" w:hAnsi="Consolas"/>
          <w:b/>
          <w:bCs/>
          <w:color w:val="64748B"/>
          <w:spacing w:val="40"/>
          <w:sz w:val="18"/>
          <w:szCs w:val="18"/>
        </w:rPr>
        <w:t xml:space="preserve">INFORME 08.1.1  ·  SERIE DE INFORMES GDP-SLEP STUDIO</w:t>
      </w:r>
    </w:p>
    <w:p>
      <w:pPr>
        <w:spacing w:after="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Camino RPA</w:t>
      </w:r>
    </w:p>
    <w:p>
      <w:pPr>
        <w:spacing w:after="220"/>
      </w:pPr>
      <w:r>
        <w:rPr>
          <w:rFonts w:ascii="Calibri" w:cs="Calibri" w:eastAsia="Calibri" w:hAnsi="Calibri"/>
          <w:b/>
          <w:bCs/>
          <w:color w:val="0F172A"/>
          <w:sz w:val="80"/>
          <w:szCs w:val="80"/>
        </w:rPr>
        <w:t xml:space="preserve">marco legal</w:t>
      </w:r>
    </w:p>
    <w:p>
      <w:pPr>
        <w:pBdr>
          <w:bottom w:val="single" w:color="0D9488" w:sz="24" w:space="1"/>
        </w:pBdr>
        <w:spacing w:after="300"/>
        <w:ind w:right="8340"/>
      </w:pPr>
    </w:p>
    <w:p>
      <w:pPr>
        <w:spacing w:after="120"/>
      </w:pPr>
      <w:r>
        <w:rPr>
          <w:rFonts w:ascii="Calibri" w:cs="Calibri" w:eastAsia="Calibri" w:hAnsi="Calibri"/>
          <w:color w:val="0D9488"/>
          <w:sz w:val="30"/>
          <w:szCs w:val="30"/>
        </w:rPr>
        <w:t xml:space="preserve">Marco legal y verificación previa del camino RPA para la tramitación de licencias médicas</w:t>
      </w:r>
    </w:p>
    <w:p>
      <w:pPr>
        <w:spacing w:after="1000" w:line="29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Qué permite y qué no la ley, marco legal de cada propuesta (costo cero, óptima y avanzada), seguridad y cumplimiento, qué hay que verificar antes de construir y requisitos para avanzar. Cómo funciona el camino está en los Informes 08.1 (general) y 08.1.2 (técnico); los montos, en el 08.1.3.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600"/>
        <w:gridCol w:w="70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ORGANIZACIÓN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Dirección de Educación Pública (DEP)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UNIDAD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Subdepartamento de Gestión y Desarrollo de Personas para los SLEP (GDP-SLEP)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PROYECTO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GDP-SLEP Studio · Aplicación 2: Automatización de licencias médicas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TIPO DE INFORME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Informe de marco legal · Camino RPA (robot de software asistido)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ELABORADO POR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César Torres · Desarrollador (honorarios)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DIRIGIDO 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Claudia Manzano · Jefatura directa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PERÍODO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 de octubre – 27 de noviembre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FECHA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16 de octubre de 2026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VERSIÓN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64748B"/>
                <w:spacing w:val="20"/>
                <w:sz w:val="15"/>
                <w:szCs w:val="15"/>
              </w:rPr>
              <w:t xml:space="preserve">CLASIFICACIÓN</w:t>
            </w:r>
          </w:p>
        </w:tc>
        <w:tc>
          <w:tcPr>
            <w:tcW w:type="dxa" w:w="7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95"/>
              <w:left w:type="dxa" w:w="110"/>
              <w:bottom w:type="dxa" w:w="95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color w:val="0F172A"/>
                <w:sz w:val="19"/>
                <w:szCs w:val="19"/>
              </w:rPr>
              <w:t xml:space="preserve">Uso interno</w:t>
            </w:r>
          </w:p>
        </w:tc>
      </w:tr>
    </w:tbl>
    <w:p>
      <w:pPr>
        <w:spacing w:after="500"/>
      </w:pPr>
    </w:p>
    <w:p>
      <w:r>
        <w:rPr>
          <w:rFonts w:ascii="Calibri" w:cs="Calibri" w:eastAsia="Calibri" w:hAnsi="Calibri"/>
          <w:i/>
          <w:iCs/>
          <w:color w:val="94A3B8"/>
          <w:sz w:val="16"/>
          <w:szCs w:val="16"/>
        </w:rPr>
        <w:t xml:space="preserve">Reúne las reglas legales, la seguridad y el cumplimiento y la verificación previa del camino RPA. Lo acompañan los Informes 08.1 (general), 08.1.2 (técnico) y 08.1.3 (costos).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ficha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Ficha del documento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300"/>
        <w:gridCol w:w="7340"/>
      </w:tblGrid>
      <w:tr>
        <w:trPr>
          <w:tblHeader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CAMPO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Título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08.1.1 — Camino RPA (robot de software asistido): marco legal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Serie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de marco legal del camino RPA. Complementa los Informes 08.1 (general) y 08.1.2 (técnico)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Objeto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Reunir lo que la ley permite y exige al camino, el marco legal de cada propuesta, los controles de seguridad y lo que hay que verificar antes de construir, dentro de los límites de los Informes 00 y 08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Período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1 de octubre – 27 de noviembre de 2026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Elaborado por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César Torres, Desarrollador a honorarios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Dirigido 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Claudia Manzano, Jefatura directa · Subdepartamento GDP-SLEP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Condición previa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Autorización escrita de FONASA para operar asistentes automatizados sobre el PIEE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Informes relacionados</w:t>
            </w:r>
          </w:p>
        </w:tc>
        <w:tc>
          <w:tcPr>
            <w:tcW w:type="dxa" w:w="73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8"/>
                <w:szCs w:val="18"/>
              </w:rPr>
              <w:t xml:space="preserve">Informe 08.1 (general) · Informe 08.1.2 (técnico) · Informe 08.1.3 (costos) · Informe 08 (factibilidad) · Informe 00 (marco legal transversal) · Informe 08.5 (anexos)</w:t>
            </w:r>
          </w:p>
        </w:tc>
      </w:tr>
    </w:tbl>
    <w:p>
      <w:pPr>
        <w:spacing w:after="120" w:before="0" w:line="120"/>
      </w:pP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Lugar de este informe en la serie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30"/>
        <w:gridCol w:w="240"/>
        <w:gridCol w:w="2230"/>
        <w:gridCol w:w="240"/>
        <w:gridCol w:w="2230"/>
        <w:gridCol w:w="240"/>
        <w:gridCol w:w="2230"/>
      </w:tblGrid>
      <w:tr>
        <w:trPr>
          <w:cantSplit/>
        </w:trPr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GENERAL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Para entender el camino sin tecnicismos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0D9488" w:sz="12"/>
              <w:left w:val="single" w:color="0D9488" w:sz="12"/>
              <w:bottom w:val="single" w:color="0D9488" w:sz="12"/>
              <w:right w:val="single" w:color="0D9488" w:sz="12"/>
            </w:tcBorders>
            <w:shd w:fill="F0FDFA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ESTE DOCUMENTO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08.1.1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Marco legal: ley, verificación y riesgos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TÉCNICO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08.1.2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Cómo se construye, en detalle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20"/>
              <w:bottom w:type="dxa" w:w="80"/>
              <w:right w:type="dxa" w:w="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D9488"/>
                <w:sz w:val="26"/>
                <w:szCs w:val="26"/>
              </w:rPr>
              <w:t xml:space="preserve">→</w:t>
            </w:r>
          </w:p>
        </w:tc>
        <w:tc>
          <w:tcPr>
            <w:tcW w:type="dxa" w:w="2230"/>
            <w:tcBorders>
              <w:top w:val="single" w:color="CBD5E1" w:sz="6"/>
              <w:left w:val="single" w:color="CBD5E1" w:sz="6"/>
              <w:bottom w:val="single" w:color="CBD5E1" w:sz="6"/>
              <w:right w:val="single" w:color="CBD5E1" w:sz="6"/>
            </w:tcBorders>
            <w:shd w:fill="F8FAFC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spacing w:after="3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D9488"/>
                <w:sz w:val="13"/>
                <w:szCs w:val="13"/>
              </w:rPr>
              <w:t xml:space="preserve">COSTOS</w:t>
            </w:r>
          </w:p>
          <w:p>
            <w:pPr>
              <w:spacing w:after="20" w:line="240"/>
              <w:jc w:val="left"/>
            </w:pPr>
            <w:r>
              <w:rPr>
                <w:b/>
                <w:bCs/>
                <w:color w:val="0F172A"/>
                <w:sz w:val="17"/>
                <w:szCs w:val="17"/>
              </w:rPr>
              <w:t xml:space="preserve">Informe 08.1.3</w:t>
            </w:r>
          </w:p>
          <w:p>
            <w:pPr>
              <w:spacing w:after="0" w:line="230"/>
              <w:jc w:val="left"/>
            </w:pPr>
            <w:r>
              <w:rPr>
                <w:color w:val="64748B"/>
                <w:sz w:val="14"/>
                <w:szCs w:val="14"/>
              </w:rPr>
              <w:t xml:space="preserve">Cuánto cuesta cada propuesta</w:t>
            </w:r>
          </w:p>
        </w:tc>
      </w:tr>
    </w:tbl>
    <w:p>
      <w:pPr>
        <w:spacing w:after="200" w:before="80"/>
      </w:pPr>
      <w:r>
        <w:rPr>
          <w:rFonts w:ascii="Consolas" w:cs="Consolas" w:eastAsia="Consolas" w:hAnsi="Consolas"/>
          <w:b/>
          <w:bCs/>
          <w:color w:val="0D9488"/>
          <w:sz w:val="15"/>
          <w:szCs w:val="15"/>
        </w:rPr>
        <w:t xml:space="preserve">FIG. 1  </w:t>
      </w:r>
      <w:r>
        <w:rPr>
          <w:rFonts w:ascii="Calibri" w:cs="Calibri" w:eastAsia="Calibri" w:hAnsi="Calibri"/>
          <w:color w:val="64748B"/>
          <w:sz w:val="16"/>
          <w:szCs w:val="16"/>
        </w:rPr>
        <w:t xml:space="preserve">Este es el documento de marco legal del camino RPA.</w:t>
      </w: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DOCUMENTO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índice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Índice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00"/>
        <w:gridCol w:w="8740"/>
      </w:tblGrid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01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permite y qué no la ley</w:t>
            </w:r>
          </w:p>
          <w:p>
            <w:r>
              <w:rPr>
                <w:color w:val="64748B"/>
                <w:sz w:val="17"/>
                <w:szCs w:val="17"/>
              </w:rPr>
              <w:t xml:space="preserve">Las reglas, en lenguaje simple.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02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Marco legal por propuesta</w:t>
            </w:r>
          </w:p>
          <w:p>
            <w:r>
              <w:rPr>
                <w:color w:val="64748B"/>
                <w:sz w:val="17"/>
                <w:szCs w:val="17"/>
              </w:rPr>
              <w:t xml:space="preserve">Qué es factible y qué es riesgoso en cada propuesta, aspecto por aspecto.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03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Seguridad y cumplimiento</w:t>
            </w:r>
          </w:p>
          <w:p>
            <w:r>
              <w:rPr>
                <w:color w:val="64748B"/>
                <w:sz w:val="17"/>
                <w:szCs w:val="17"/>
              </w:rPr>
              <w:t xml:space="preserve">Controles frente a cada norma aplicable.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04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Qué hay que verificar</w:t>
            </w:r>
          </w:p>
          <w:p>
            <w:r>
              <w:rPr>
                <w:color w:val="64748B"/>
                <w:sz w:val="17"/>
                <w:szCs w:val="17"/>
              </w:rPr>
              <w:t xml:space="preserve">Lo que el diagnóstico debe confirmar antes de construir.</w:t>
            </w:r>
          </w:p>
        </w:tc>
      </w:tr>
      <w:tr>
        <w:trPr>
          <w:cantSplit/>
        </w:trPr>
        <w:tc>
          <w:tcPr>
            <w:tcW w:type="dxa" w:w="9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0"/>
              <w:bottom w:type="dxa" w:w="70"/>
              <w:right w:type="dxa" w:w="110"/>
            </w:tcMar>
            <w:vAlign w:val="top"/>
          </w:tcPr>
          <w:p>
            <w:r>
              <w:rPr>
                <w:rFonts w:ascii="Consolas" w:cs="Consolas" w:eastAsia="Consolas" w:hAnsi="Consolas"/>
                <w:b/>
                <w:bCs/>
                <w:color w:val="0D9488"/>
                <w:sz w:val="24"/>
                <w:szCs w:val="24"/>
              </w:rPr>
              <w:t xml:space="preserve">05</w:t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10"/>
            </w:pPr>
            <w:r>
              <w:rPr>
                <w:b/>
                <w:bCs/>
                <w:color w:val="0F172A"/>
                <w:sz w:val="21"/>
                <w:szCs w:val="21"/>
              </w:rPr>
              <w:t xml:space="preserve">Conclusión y requisitos para avanzar</w:t>
            </w:r>
          </w:p>
          <w:p>
            <w:r>
              <w:rPr>
                <w:color w:val="64748B"/>
                <w:sz w:val="17"/>
                <w:szCs w:val="17"/>
              </w:rPr>
              <w:t xml:space="preserve">Por qué el marco legal condiciona el desarrollo en la DEP y los SLEP, y qué falta.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01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reglas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permite y qué no la ley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La tramitación de licencias maneja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datos de salud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y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sueldos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 de personas identificadas, que son de los datos más protegidos por la ley chilena. Además, el portal de FONASA se usa con la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ClaveÚnica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, que tiene reglas propias sobre quién y cómo puede usarla.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El camino RPA fue diseñado para respetar esas reglas desde el principio. La tabla resume cada regla y lo que significa en la práctica para el robot.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700"/>
        <w:gridCol w:w="5940"/>
      </w:tblGrid>
      <w:tr>
        <w:trPr>
          <w:tblHeader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REGLA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SIGNIFICA PARA ESTE CAMINO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La clave del Estado (ClaveÚnica) no se puede automatizar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Siempre entra la persona; el robot nunca guarda ni usa su clave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El empleador no puede ver el diagnóstico médico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robot nunca lee ni guarda esa parte de la licencia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Hay que usar canales autorizados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Se necesita autorización escrita de FONASA antes de operar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Los datos de las personas deben estar protegidos y en Chile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La IA funciona dentro de la DEP; nada se manda a internet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6"/>
                <w:szCs w:val="16"/>
              </w:rPr>
              <w:t xml:space="preserve">Una persona debe decidir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6"/>
                <w:szCs w:val="16"/>
              </w:rPr>
              <w:t xml:space="preserve">El envío siempre lo confirma el encargado, no el robot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La IA en la nube nunca recibe datos personales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Claude solo se usa para normativa, redacción y código; los datos de licencias, de salud y de remuneraciones quedan en la IA local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El plazo de tramitación es legal: 3 días hábiles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 sistema calcula el vencimiento de cada licencia y alerta antes; ninguna debe quedar fuera de plazo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Solo se usan los datos que pide la zona C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Del ERP se toman únicamente los haberes que exige FONASA; nada más se copia ni se guarda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Cada SLEP responde por los datos de su personal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El SLEP es el empleador y decide; la DEP entrega la herramienta y opera solo lo que se le encargue formalmente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Antes de usar datos reales, evaluación de impacto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Con la Ley 21.719 vigente desde el 1 de diciembre de 2026, el piloto con datos reales exige esa evaluación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Todo queda registrado, sin datos clínicos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Cada acción deja constancia de quién, cuándo y qué hizo, para auditoría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Los incidentes se informan en plazo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Una filtración o una caída se reporta según el protocolo de la Ley 21.663 (3 horas, 72 horas y 15 días)</w:t>
            </w:r>
          </w:p>
        </w:tc>
      </w:tr>
      <w:tr>
        <w:trPr>
          <w:cantSplit/>
        </w:trPr>
        <w:tc>
          <w:tcPr>
            <w:tcW w:type="dxa" w:w="3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0F172A"/>
                <w:sz w:val="16"/>
                <w:szCs w:val="16"/>
              </w:rPr>
              <w:t xml:space="preserve">El código es de la institución</w:t>
            </w:r>
          </w:p>
        </w:tc>
        <w:tc>
          <w:tcPr>
            <w:tcW w:type="dxa" w:w="59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6"/>
                <w:szCs w:val="16"/>
              </w:rPr>
              <w:t xml:space="preserve">Se formaliza la cesión de derechos del código para que la DEP pueda usarlo, cambiarlo y mantenerlo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EN UNA FRASE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El camino es legal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si una persona entra, confirma cada envío y nunca se toca el diagnóstico</w:t>
            </w:r>
            <w:r>
              <w:rPr>
                <w:color w:val="334155"/>
                <w:sz w:val="19"/>
                <w:szCs w:val="19"/>
              </w:rPr>
              <w:t xml:space="preserve">. La única condición externa es la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autorización de FONASA</w:t>
            </w:r>
            <w:r>
              <w:rPr>
                <w:color w:val="334155"/>
                <w:sz w:val="19"/>
                <w:szCs w:val="19"/>
              </w:rPr>
              <w:t xml:space="preserve">. El detalle legal de cada propuesta está en la sección 02.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02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legal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Marco legal por propuesta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Las tres propuestas comparten las reglas legales del robot asistido, pero difieren en licencias, ubicación de los datos y forma de compra.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Mostrar, para cada propuesta, qué es factible, qué es riesgoso y por qué.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Tabla aspecto × propuesta con semáforo, a partir del Informe 00 y la sección 03.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0"/>
        <w:gridCol w:w="2510"/>
        <w:gridCol w:w="2510"/>
        <w:gridCol w:w="2520"/>
      </w:tblGrid>
      <w:tr>
        <w:trPr>
          <w:tblHeader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ASPECTO Y NORMA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A1 · COSTO CERO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948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A2 · ÓPTIMA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4530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A3 · AVANZADA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Acceso al PIEE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Res. Ex. 733/2025 §6.5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Solo asistido: el encargado inicia sesión con su ClaveÚnica; el robot no la conoce ni la guarda.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A1. La licencia Premium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no</w:t>
            </w:r>
            <w:r>
              <w:rPr>
                <w:color w:val="334155"/>
                <w:sz w:val="14"/>
                <w:szCs w:val="14"/>
              </w:rPr>
              <w:t xml:space="preserve"> se usa para ejecución desatendida.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A1. Sin robots desatendidos ni credenciales de ClaveÚnica en Orchestrator.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Autorización del portal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Condiciones de uso del PIEE · Ley 21.459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previo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Autorización escrita de FONASA antes de operar con licencias reales.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previo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A1.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Requisito previo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Igual que A1.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Licencia del software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17.336 · términos del fabricante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Apache-2.0: uso, modificación y distribución libres, sin auditorías de licencias.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Licencia comercial por usuario. La versión gratuita de escritorio es para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productividad personal</w:t>
            </w:r>
            <w:r>
              <w:rPr>
                <w:color w:val="334155"/>
                <w:sz w:val="14"/>
                <w:szCs w:val="14"/>
              </w:rPr>
              <w:t xml:space="preserve">: no sirve para distribuir a 36 SLEP.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Licencia comercial.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UiPath Community no aplica</w:t>
            </w:r>
            <w:r>
              <w:rPr>
                <w:color w:val="334155"/>
                <w:sz w:val="14"/>
                <w:szCs w:val="14"/>
              </w:rPr>
              <w:t xml:space="preserve"> a una institución del tamaño de la DEP: usarla en producción sería incumplir sus términos.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Ubicación de los datos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21.719 (transferencia internacional) · Ley 19.628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Todo corre en la estación y en el servidor de TI, en Chile.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El flujo corre en la estación, pero historial y definiciones quedan en el entorno de Power Platform: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confirmar su región</w:t>
            </w:r>
            <w:r>
              <w:rPr>
                <w:color w:val="334155"/>
                <w:sz w:val="14"/>
                <w:szCs w:val="14"/>
              </w:rPr>
              <w:t xml:space="preserve"> y desactivar el registro de entradas y salidas.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Riesgoso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Automation Cloud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no tiene región en Chile</w:t>
            </w:r>
            <w:r>
              <w:rPr>
                <w:color w:val="334155"/>
                <w:sz w:val="14"/>
                <w:szCs w:val="14"/>
              </w:rPr>
              <w:t xml:space="preserve">: colas, registros y activos quedarían en EE. UU. o Europa. Exige colas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sin datos personales</w:t>
            </w:r>
            <w:r>
              <w:rPr>
                <w:color w:val="334155"/>
                <w:sz w:val="14"/>
                <w:szCs w:val="14"/>
              </w:rPr>
              <w:t xml:space="preserve"> o instalar Orchestrator en la DEP.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Compras públicas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19.886 (mod. Ley 21.634) y su reglamento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No hay compra.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Gasto anual sobre 100 UTM: convenio marco o acuerdo de licenciamiento Microsoft del Estado; no cabe compra ágil.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Riesgoso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Licencias y partner superan holgadamente 100 UTM al año: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licitación pública</w:t>
            </w:r>
            <w:r>
              <w:rPr>
                <w:color w:val="334155"/>
                <w:sz w:val="14"/>
                <w:szCs w:val="14"/>
              </w:rPr>
              <w:t xml:space="preserve">, con plazos de meses; no alcanza para el piloto de noviembre.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Datos clínicos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19.628 · Circular SUSESO 3779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Selectores limitados a la zona C; trazas y capturas de Playwright desactivadas.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Mismos selectores;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desactivar capturas automáticas</w:t>
            </w:r>
            <w:r>
              <w:rPr>
                <w:color w:val="334155"/>
                <w:sz w:val="14"/>
                <w:szCs w:val="14"/>
              </w:rPr>
              <w:t xml:space="preserve"> en errores.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Mismos selectores;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desactivar capturas</w:t>
            </w:r>
            <w:r>
              <w:rPr>
                <w:color w:val="334155"/>
                <w:sz w:val="14"/>
                <w:szCs w:val="14"/>
              </w:rPr>
              <w:t xml:space="preserve"> y registros detallados.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Propiedad del código y continuidad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17.336 · contrato a honorarios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El código es de la DEP solo si el contrato incluye la </w:t>
            </w:r>
            <w:r>
              <w:rPr>
                <w:b/>
                <w:bCs/>
                <w:color w:val="0F172A"/>
                <w:sz w:val="14"/>
                <w:szCs w:val="14"/>
              </w:rPr>
              <w:t xml:space="preserve">cesión de derechos</w:t>
            </w:r>
            <w:r>
              <w:rPr>
                <w:color w:val="334155"/>
                <w:sz w:val="14"/>
                <w:szCs w:val="14"/>
              </w:rPr>
              <w:t xml:space="preserve"> y el repositorio es institucional. Alta dependencia de una persona.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Flujos en el entorno de la DEP; los puede mantener cualquier funcionario capacitado.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Paquetes en Orchestrator; soporte del partner.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Seguridad de la información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DS 7/2023 · Ley 21.663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La seguridad depende del diseño propio: ejecutable firmado, actualización controlada, revisión de dependencias.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Políticas de prevención de pérdida de datos y Entra ID.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Roles, auditoría y gobierno de Orchestrator.</w:t>
            </w:r>
          </w:p>
        </w:tc>
      </w:tr>
      <w:tr>
        <w:trPr>
          <w:cantSplit/>
        </w:trPr>
        <w:tc>
          <w:tcPr>
            <w:tcW w:type="dxa" w:w="2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30" w:line="236"/>
            </w:pPr>
            <w:r>
              <w:rPr>
                <w:b/>
                <w:bCs/>
                <w:color w:val="0F172A"/>
                <w:sz w:val="14"/>
                <w:szCs w:val="14"/>
              </w:rPr>
              <w:t xml:space="preserve">IA en la nube (Claude)</w:t>
            </w:r>
          </w:p>
          <w:p>
            <w:pPr>
              <w:spacing w:after="30" w:line="236"/>
            </w:pPr>
            <w:r>
              <w:rPr>
                <w:color w:val="334155"/>
                <w:sz w:val="14"/>
                <w:szCs w:val="14"/>
              </w:rPr>
              <w:t xml:space="preserve">Ley 19.628 · Ley 21.719 (transferencia internacional)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4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15803D"/>
                <w:sz w:val="15"/>
                <w:szCs w:val="15"/>
              </w:rPr>
              <w:t xml:space="preserve">● Viable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No se usa: toda la IA corre dentro de la DEP.</w:t>
            </w:r>
          </w:p>
        </w:tc>
        <w:tc>
          <w:tcPr>
            <w:tcW w:type="dxa" w:w="251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0FDFA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Solo tareas sin datos personales, con un plan que no entrena modelos con los datos de la institución.</w:t>
            </w:r>
          </w:p>
        </w:tc>
        <w:tc>
          <w:tcPr>
            <w:tcW w:type="dxa" w:w="252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shd w:val="clear" w:color="auto" w:fill="FFFBEB"/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20" w:line="240"/>
            </w:pPr>
            <w:r>
              <w:rPr>
                <w:rFonts w:ascii="Calibri" w:cs="Calibri" w:eastAsia="Calibri" w:hAnsi="Calibri"/>
                <w:color w:val="B45309"/>
                <w:sz w:val="15"/>
                <w:szCs w:val="15"/>
              </w:rPr>
              <w:t xml:space="preserve">● Con condiciones</w:t>
            </w:r>
          </w:p>
          <w:p>
            <w:pPr>
              <w:spacing w:after="20" w:line="236"/>
            </w:pPr>
            <w:r>
              <w:rPr>
                <w:color w:val="334155"/>
                <w:sz w:val="14"/>
                <w:szCs w:val="14"/>
              </w:rPr>
              <w:t xml:space="preserve">Además, la API pasa por una pasarela que bloquea datos personales y registra lo enviado.</w:t>
            </w:r>
          </w:p>
        </w:tc>
      </w:tr>
    </w:tbl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03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cumplimiento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Seguridad y cumplimiento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RPA es el más expuesto legalmente de los cuatro: actúa sobre un portal de terceros.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Mostrar cómo cada control del diseño responde a una norma concreta.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Matriz norma → riesgo → control, a partir de los Informes 00 y 08.</w:t>
            </w:r>
          </w:p>
        </w:tc>
      </w:tr>
    </w:tbl>
    <w:p>
      <w:pPr>
        <w:spacing w:after="14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700"/>
        <w:gridCol w:w="3100"/>
        <w:gridCol w:w="3840"/>
      </w:tblGrid>
      <w:tr>
        <w:trPr>
          <w:tblHeader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NORMA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EXIGENCIA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CONTROL EN EL ROBOT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Res. Ex. 733/2025 §6.5 (ClaveÚnica)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almacenar credenciales ni automatizar el acceso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Inicio de sesión siempre manual; el robot no conoce la clave ni la guarda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Condiciones de uso del PIEE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Uso solo para fines laborales y autorizados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Autorización escrita de FONASA antes de operar; uso limitado a la zona 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21.459 (delitos informáticos)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No acceder a sistemas sin autorización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interfaz pública del PIEE dentro de una sesión legítima; sin servicios internos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19.628 · Circular SUSESO 3779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Diagnóstico vedado al empleador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Sin lectura de zona A; sin capturas; selectores limitados a la zona C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Ley 21.719 (desde 1-dic-2026)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Minimización, seguridad, evaluación de impacto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Solo haberes de la zona C; planilla cifrada; registro sin montos; evaluación previa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7/2023 · Ley 21.663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Control de acceso, gestión de incidentes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Token de servicio por estación, guardado en el almacén seguro de Windows; alertas al servidor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DS 3/1984 art. 13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Zona C en 3 días hábiles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Calendario hábil, cola por urgencia y alertas de vencimiento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Seguridad de la estación del encargado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Medidas mínimas del equipo y de la sesión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Equipo institucional con disco cifrado (BitLocker), sesión de Windows personal y bloqueo automático. · Perfil de navegador dedicado al robot, sin extensiones ajenas y sin guardar contraseñas. · Planilla de remuneraciones en carpeta protegida; se elimina al cierre del mes. · El robot no funciona si la estación no tiene el token vigente de GDP-SLEP Studio.</w:t>
            </w:r>
          </w:p>
        </w:tc>
      </w:tr>
      <w:tr>
        <w:trPr>
          <w:cantSplit/>
        </w:trPr>
        <w:tc>
          <w:tcPr>
            <w:tcW w:type="dxa" w:w="27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15"/>
                <w:szCs w:val="15"/>
              </w:rPr>
              <w:t xml:space="preserve">IA en la nube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Ningún dato personal sale de la DEP</w:t>
            </w:r>
          </w:p>
        </w:tc>
        <w:tc>
          <w:tcPr>
            <w:tcW w:type="dxa" w:w="38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Uso limitado a tareas sin datos personales; en la propuesta avanzada, pasarela que filtra RUT, nombres y datos de salud y deja registro de lo enviado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200"/>
        <w:gridCol w:w="7440"/>
      </w:tblGrid>
      <w:tr>
        <w:trPr>
          <w:tblHeader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RESULTADO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FUNDAMENTO</w:t>
            </w:r>
          </w:p>
        </w:tc>
      </w:tr>
      <w:tr>
        <w:trPr>
          <w:cantSplit/>
        </w:trPr>
        <w:tc>
          <w:tcPr>
            <w:tcW w:type="dxa" w:w="2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● Cumple con condiciones</w:t>
            </w:r>
          </w:p>
        </w:tc>
        <w:tc>
          <w:tcPr>
            <w:tcW w:type="dxa" w:w="74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El diseño respeta las prohibiciones de la Res. Ex. 733/2025 y la reserva del diagnóstico. Queda sujeto a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autorización escrita de FONASA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y a la </w:t>
            </w:r>
            <w:r>
              <w:rPr>
                <w:rFonts w:ascii="Calibri" w:cs="Calibri" w:eastAsia="Calibri" w:hAnsi="Calibri"/>
                <w:b/>
                <w:bCs/>
                <w:color w:val="0F172A"/>
                <w:sz w:val="18"/>
                <w:szCs w:val="18"/>
              </w:rPr>
              <w:t xml:space="preserve">evaluación de impacto</w:t>
            </w: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8"/>
                <w:szCs w:val="18"/>
              </w:rPr>
              <w:t xml:space="preserve"> antes de usar datos reales.</w:t>
            </w:r>
          </w:p>
        </w:tc>
      </w:tr>
    </w:tbl>
    <w:p>
      <w:pPr>
        <w:spacing w:after="12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04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por confirmar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Qué hay que verificar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El camino RPA tiene supuestos técnicos que deben confirmarse antes de construir; el diagnóstico existe para eso.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Dejar la lista técnica de comprobaciones, su método y su consecuencia.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Cada punto se resuelve en las dos primeras semanas (sección 09 del Informe 08.1.2) y es requisito de salida del diagnóstico.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19"/>
          <w:szCs w:val="19"/>
        </w:rPr>
        <w:t xml:space="preserve">Todo proyecto parte de </w:t>
      </w:r>
      <w:r>
        <w:rPr>
          <w:rFonts w:ascii="Calibri" w:cs="Calibri" w:eastAsia="Calibri" w:hAnsi="Calibri"/>
          <w:b/>
          <w:bCs/>
          <w:color w:val="0F172A"/>
          <w:sz w:val="19"/>
          <w:szCs w:val="19"/>
        </w:rPr>
        <w:t xml:space="preserve">supuestos</w:t>
      </w:r>
      <w:r>
        <w:rPr>
          <w:rFonts w:ascii="Calibri" w:cs="Calibri" w:eastAsia="Calibri" w:hAnsi="Calibri"/>
          <w:color w:val="334155"/>
          <w:sz w:val="19"/>
          <w:szCs w:val="19"/>
        </w:rPr>
        <w:t xml:space="preserve">: cosas que creemos ciertas pero que aún no están comprobadas. En este camino hay varios, y algunos son decisivos: si uno de ellos resulta falso, puede cambiar la propuesta elegida o incluso hacer conveniente otro camino.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3100"/>
        <w:gridCol w:w="3200"/>
        <w:gridCol w:w="27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QUÉ VERIFICAR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CÓMO (MÉTODO)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SI FALLA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Autorización escrita de FONASA para asistentes automatizados sobre el PIEE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Oficio y respuesta formal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camino no pasa a datos reales; se evalúan 08.2/08.3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V2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Estabilidad de las pantallas del PIEE (portal nuevo desde el 1-oct)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Observación y registro de cambios durante el diagnóstico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Más mantención; preferir selectores por etiqueta accesible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V3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Controles anti-automatización del portal (captcha, "no soy un robot", límites de velocidad)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Inspección con las herramientas de desarrollo del navegador (F12)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hay captcha, el camino RPA se descarta y se evalúa 08.2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V4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Cómo mantiene la sesión el portal (cookie o token) y cuánto dura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F12 → pestaña Red (Network) y Aplicación (Application), en una sesión real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las ventanas de trabajo del robot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V5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hay token anti-CSRF u otros valores de un solo uso en el formulario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F12 → inspección de la petición al guardar un paso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El robot debe leerlo y respetarlo; más trabajo de desarrollo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V6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Estructura del contenido de la página (DOM) de la bandeja y del formulario de zona C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Inspección del DOM con F12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los selectores del robot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V7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Versión de Windows de las estaciones de los encargados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Levantamiento a los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Condiciona qué herramienta de robot se puede usar (sección 02 del Informe 08.1.2)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V8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Origen y formato de las remuneraciones de cada SLEP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Levantamiento a los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Sin esto el robot no puede llenar C.2 y C.3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V9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Capacidad de integración del ERP del SLEP (Proexsi en el piloto): API, servicio web, archivo o solo pantalla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Consulta al proveedor + prueba en el SLEP piloto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solo hay pantalla, el conector del ERP se hace con robot asistido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V10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Formato de los haberes que entrega el ERP y su correspondencia con los campos de la zona C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Levantamiento con Remuneraciones del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Ajusta el mapeo; sin esto no se prellena la zona C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4"/>
                <w:szCs w:val="14"/>
              </w:rPr>
              <w:t xml:space="preserve">V11</w:t>
            </w:r>
          </w:p>
        </w:tc>
        <w:tc>
          <w:tcPr>
            <w:tcW w:type="dxa" w:w="31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Si el ERP acepta escritura masiva/por lote de la licencia y con qué credenciales de servicio</w:t>
            </w:r>
          </w:p>
        </w:tc>
        <w:tc>
          <w:tcPr>
            <w:tcW w:type="dxa" w:w="32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Consulta al proveedor y a TI del SLEP</w:t>
            </w:r>
          </w:p>
        </w:tc>
        <w:tc>
          <w:tcPr>
            <w:tcW w:type="dxa" w:w="27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4"/>
                <w:szCs w:val="14"/>
              </w:rPr>
              <w:t xml:space="preserve">Define si el ahorro es por lote; nunca se usan claves de personas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B45309" w:sz="24"/>
              <w:bottom w:val="none" w:color="FFFFFF" w:sz="0"/>
              <w:right w:val="none" w:color="FFFFFF" w:sz="0"/>
            </w:tcBorders>
            <w:shd w:fill="FFFBEB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B45309"/>
                <w:spacing w:val="20"/>
                <w:sz w:val="15"/>
                <w:szCs w:val="15"/>
              </w:rPr>
              <w:t xml:space="preserve">REGLA DE SALIDA DEL DIAGNÓSTICO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La construcción (sección 09 del Informe 08.1.2, semanas S6–S8)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no empieza</w:t>
            </w:r>
            <w:r>
              <w:rPr>
                <w:color w:val="334155"/>
                <w:sz w:val="19"/>
                <w:szCs w:val="19"/>
              </w:rPr>
              <w:t xml:space="preserve"> hasta que V1 a V11 están respondidas. Verificar sobre el portal se hace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siempre dentro de una sesión iniciada por una persona</w:t>
            </w:r>
            <w:r>
              <w:rPr>
                <w:color w:val="334155"/>
                <w:sz w:val="19"/>
                <w:szCs w:val="19"/>
              </w:rPr>
              <w:t xml:space="preserve"> y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sin esquivar</w:t>
            </w:r>
            <w:r>
              <w:rPr>
                <w:color w:val="334155"/>
                <w:sz w:val="19"/>
                <w:szCs w:val="19"/>
              </w:rPr>
              <w:t xml:space="preserve"> ningún control de seguridad: si aparece un captcha o un bloqueo, es una señal de que este camino no corresponde, no un obstáculo a sortear.</w:t>
            </w:r>
          </w:p>
        </w:tc>
      </w:tr>
    </w:tbl>
    <w:p>
      <w:pPr>
        <w:spacing w:after="140" w:before="0" w:line="120"/>
      </w:pPr>
    </w:p>
    <w:p>
      <w:pPr>
        <w:keepNext/>
        <w:pageBreakBefore/>
        <w:spacing w:after="60"/>
      </w:pPr>
      <w:r>
        <w:rPr>
          <w:rFonts w:ascii="Consolas" w:cs="Consolas" w:eastAsia="Consolas" w:hAnsi="Consolas"/>
          <w:b/>
          <w:bCs/>
          <w:color w:val="0D9488"/>
          <w:spacing w:val="30"/>
          <w:sz w:val="16"/>
          <w:szCs w:val="16"/>
        </w:rPr>
        <w:t xml:space="preserve">SECCIÓN 05</w:t>
      </w:r>
      <w:r>
        <w:rPr>
          <w:rFonts w:ascii="Consolas" w:cs="Consolas" w:eastAsia="Consolas" w:hAnsi="Consolas"/>
          <w:color w:val="94A3B8"/>
          <w:sz w:val="16"/>
          <w:szCs w:val="16"/>
        </w:rPr>
        <w:t xml:space="preserve">  /  cierre</w:t>
      </w:r>
    </w:p>
    <w:p>
      <w:pPr>
        <w:pStyle w:val="Heading1"/>
        <w:keepNext/>
        <w:pBdr>
          <w:bottom w:val="single" w:color="E2E8F0" w:sz="6" w:space="6"/>
        </w:pBdr>
        <w:spacing w:after="160"/>
      </w:pPr>
      <w:r>
        <w:rPr>
          <w:rFonts w:ascii="Calibri" w:cs="Calibri" w:eastAsia="Calibri" w:hAnsi="Calibri"/>
          <w:b/>
          <w:bCs/>
          <w:color w:val="0F172A"/>
          <w:sz w:val="34"/>
          <w:szCs w:val="34"/>
        </w:rPr>
        <w:t xml:space="preserve">Conclusión y requisitos para avanzar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213"/>
        <w:gridCol w:w="3213"/>
        <w:gridCol w:w="3214"/>
      </w:tblGrid>
      <w:tr>
        <w:trPr>
          <w:cantSplit/>
        </w:trPr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POR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En el sector público, un desarrollo solo es viable si tiene base legal: el Estado hace únicamente lo que la ley le permite.</w:t>
            </w:r>
          </w:p>
        </w:tc>
        <w:tc>
          <w:tcPr>
            <w:tcW w:type="dxa" w:w="3213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PARA QUÉ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Explicar por qué el marco legal condiciona el camino RPA en la DEP y en los SLEP, y qué falta para avanzar.</w:t>
            </w:r>
          </w:p>
        </w:tc>
        <w:tc>
          <w:tcPr>
            <w:tcW w:type="dxa" w:w="3214"/>
            <w:tcBorders>
              <w:top w:val="single" w:color="0D9488" w:sz="12"/>
              <w:left w:val="single" w:color="CBD5E1" w:sz="4"/>
              <w:bottom w:val="single" w:color="CBD5E1" w:sz="4"/>
              <w:right w:val="single" w:color="CBD5E1" w:sz="4"/>
            </w:tcBorders>
            <w:shd w:fill="F8FAFC" w:color="auto" w:val="clear"/>
            <w:tcMar>
              <w:top w:type="dxa" w:w="100"/>
              <w:left w:type="dxa" w:w="110"/>
              <w:bottom w:type="dxa" w:w="10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CÓMO</w:t>
            </w:r>
          </w:p>
          <w:p>
            <w:pPr>
              <w:spacing w:after="20" w:line="250"/>
            </w:pPr>
            <w:r>
              <w:rPr>
                <w:color w:val="334155"/>
                <w:sz w:val="17"/>
                <w:szCs w:val="17"/>
              </w:rPr>
              <w:t xml:space="preserve">Principios del sector público, relación DEP–SLEP y requisitos con su responsable y estado.</w:t>
            </w:r>
          </w:p>
        </w:tc>
      </w:tr>
    </w:tbl>
    <w:p>
      <w:pPr>
        <w:spacing w:after="140" w:before="0" w:line="120"/>
      </w:pP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En una institución pública, el marco legal no es un trámite posterior al desarrollo: lo define. Por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principio de legalidad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(artículos 6 y 7 de la Constitución), los órganos del Estado solo actúan dentro de su competencia y en la forma que fija la ley. Por eso cada tratamiento de datos, cada uso de un portal de terceros y cada compra deben tener fundamento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antes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construir, no después.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La DEP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coordina y apoya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pero no reemplaza a los SLEP: cada Servicio Local de Educación Pública es un servicio público descentralizado, con personalidad jurídica y patrimonio propios (Ley 21.040), y es el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empleador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su personal. Es cada SLEP —no la DEP— quien tramita las licencias de sus trabajadores, responde por esos datos ante FONASA y decide adoptar la solución. GDP-SLEP Studio entrega la herramienta y las reglas comunes; si los datos pasan por servidores de la DEP, esa relación debe formalizarse con cada SLEP.</w:t>
      </w:r>
    </w:p>
    <w:p>
      <w:pPr>
        <w:spacing w:after="140" w:before="0" w:line="276"/>
        <w:jc w:val="left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El camino RPA es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el más expuesto legalmente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de los cuatro, porque actúa sobre un portal de terceros. Aun así, es defendible en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modo asistido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: la persona inicia sesión y confirma, el robot no guarda credenciales ni lee el diagnóstico y los datos quedan en Chile. Todo depende de la </w:t>
      </w: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autorización escrita de FONASA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, y la construcción no empieza hasta que la verificación de la sección 04 esté respondida.</w:t>
      </w:r>
    </w:p>
    <w:p>
      <w:pPr>
        <w:pStyle w:val="Heading3"/>
        <w:keepNext/>
        <w:spacing w:after="80" w:before="1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Requisitos para iniciar la construcción</w:t>
      </w: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"/>
        <w:gridCol w:w="5000"/>
        <w:gridCol w:w="2000"/>
        <w:gridCol w:w="2040"/>
      </w:tblGrid>
      <w:tr>
        <w:trPr>
          <w:tblHeader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#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REQUISITO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RESPONSABLE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15"/>
                <w:szCs w:val="15"/>
              </w:rPr>
              <w:t xml:space="preserve">ESTADO AL 16-OCT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1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Autorización escrita de FONASA para asistentes automatizados en el PIEE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 / DEP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Oficio enviado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2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Evaluación de impacto en protección de datos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GDP-SLEP con TI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En curso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3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piloto, encargado y planilla de remuneraciones en formato estándar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 · SLEP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Por confirmar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4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Equipo con Windows 11 Pro o Enterprise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SLEP piloto / TI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Por verificar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5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Elección de propuesta y, si es A2 o A3, canal de compra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Jefatura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30 de octubre</w:t>
            </w:r>
          </w:p>
        </w:tc>
      </w:tr>
      <w:tr>
        <w:trPr>
          <w:cantSplit/>
        </w:trPr>
        <w:tc>
          <w:tcPr>
            <w:tcW w:type="dxa" w:w="6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color w:val="334155"/>
                <w:sz w:val="15"/>
                <w:szCs w:val="15"/>
              </w:rPr>
              <w:t xml:space="preserve">6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Cesión de derechos del código (A1) y repositorio institucional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34155"/>
                <w:sz w:val="15"/>
                <w:szCs w:val="15"/>
              </w:rPr>
              <w:t xml:space="preserve">Jurídica · TI</w:t>
            </w:r>
          </w:p>
        </w:tc>
        <w:tc>
          <w:tcPr>
            <w:tcW w:type="dxa" w:w="2040"/>
            <w:tcBorders>
              <w:top w:val="none" w:color="FFFFFF" w:sz="0"/>
              <w:left w:val="none" w:color="FFFFFF" w:sz="0"/>
              <w:bottom w:val="single" w:color="E2E8F0" w:sz="4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top"/>
          </w:tcPr>
          <w:p>
            <w:pPr>
              <w:spacing w:after="4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5"/>
                <w:szCs w:val="15"/>
              </w:rPr>
              <w:t xml:space="preserve">● Por formalizar</w:t>
            </w:r>
          </w:p>
        </w:tc>
      </w:tr>
    </w:tbl>
    <w:p>
      <w:pPr>
        <w:spacing w:after="120" w:before="0" w:line="120"/>
      </w:pPr>
    </w:p>
    <w:tbl>
      <w:tblPr>
        <w:tblW w:type="dxa" w:w="964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0"/>
      </w:tblGrid>
      <w:tr>
        <w:trPr>
          <w:cantSplit/>
        </w:trPr>
        <w:tc>
          <w:tcPr>
            <w:tcW w:type="dxa" w:w="9640"/>
            <w:tcBorders>
              <w:top w:val="none" w:color="FFFFFF" w:sz="0"/>
              <w:left w:val="single" w:color="0D9488" w:sz="24"/>
              <w:bottom w:val="none" w:color="FFFFFF" w:sz="0"/>
              <w:right w:val="none" w:color="FFFFFF" w:sz="0"/>
            </w:tcBorders>
            <w:shd w:fill="F0FDFA" w:color="auto" w:val="clear"/>
            <w:tcMar>
              <w:top w:type="dxa" w:w="110"/>
              <w:left w:type="dxa" w:w="220"/>
              <w:bottom w:type="dxa" w:w="110"/>
              <w:right w:type="dxa" w:w="110"/>
            </w:tcMar>
            <w:vAlign w:val="top"/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b/>
                <w:bCs/>
                <w:color w:val="0D9488"/>
                <w:spacing w:val="20"/>
                <w:sz w:val="15"/>
                <w:szCs w:val="15"/>
              </w:rPr>
              <w:t xml:space="preserve">RECOMENDACIÓN</w:t>
            </w:r>
          </w:p>
          <w:p>
            <w:pPr>
              <w:spacing w:after="50" w:line="260"/>
            </w:pPr>
            <w:r>
              <w:rPr>
                <w:color w:val="334155"/>
                <w:sz w:val="19"/>
                <w:szCs w:val="19"/>
              </w:rPr>
              <w:t xml:space="preserve">Antes de construir: base legal para cada tratamiento, acuerdo de cada SLEP que adopte la solución y, si la DEP aloja datos, la formalización de ese encargo. Enviar el oficio a FONASA, iniciar la evaluación de impacto y formalizar la cesión de derechos del código. Con la autorización en mano y la verificación completa,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A1 (costo cero)</w:t>
            </w:r>
            <w:r>
              <w:rPr>
                <w:color w:val="334155"/>
                <w:sz w:val="19"/>
                <w:szCs w:val="19"/>
              </w:rPr>
              <w:t xml:space="preserve"> es la propuesta con </w:t>
            </w:r>
            <w:r>
              <w:rPr>
                <w:b/>
                <w:bCs/>
                <w:color w:val="0F172A"/>
                <w:sz w:val="19"/>
                <w:szCs w:val="19"/>
              </w:rPr>
              <w:t xml:space="preserve">menor riesgo legal</w:t>
            </w:r>
            <w:r>
              <w:rPr>
                <w:color w:val="334155"/>
                <w:sz w:val="19"/>
                <w:szCs w:val="19"/>
              </w:rPr>
              <w:t xml:space="preserve"> para el piloto.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250" w:right="1300" w:bottom="1150" w:left="130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40"/>
      </w:tabs>
    </w:pPr>
    <w:r>
      <w:rPr>
        <w:rFonts w:ascii="Calibri" w:cs="Calibri" w:eastAsia="Calibri" w:hAnsi="Calibri"/>
        <w:color w:val="94A3B8"/>
        <w:sz w:val="14"/>
        <w:szCs w:val="14"/>
      </w:rPr>
      <w:t xml:space="preserve">DEP · Subdepartamento GDP-SLEP · Uso interno</w:t>
    </w:r>
    <w:r>
      <w:rPr>
        <w:rFonts w:ascii="Consolas" w:cs="Consolas" w:eastAsia="Consolas" w:hAnsi="Consolas"/>
        <w:color w:val="94A3B8"/>
        <w:sz w:val="14"/>
        <w:szCs w:val="14"/>
      </w:rPr>
      <w:t xml:space="preserve">	pág. </w:t>
    </w:r>
    <w:r>
      <w:rPr>
        <w:rFonts w:ascii="Consolas" w:cs="Consolas" w:eastAsia="Consolas" w:hAnsi="Consolas"/>
        <w:b/>
        <w:bCs/>
        <w:color w:val="0F172A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6"/>
      </w:pBdr>
      <w:tabs>
        <w:tab w:val="right" w:pos="9640"/>
      </w:tabs>
    </w:pPr>
    <w:r>
      <w:rPr>
        <w:rFonts w:ascii="Consolas" w:cs="Consolas" w:eastAsia="Consolas" w:hAnsi="Consolas"/>
        <w:b/>
        <w:bCs/>
        <w:color w:val="0D9488"/>
        <w:spacing w:val="20"/>
        <w:sz w:val="14"/>
        <w:szCs w:val="14"/>
      </w:rPr>
      <w:t xml:space="preserve">GDP - SLEP STUDIO</w:t>
    </w:r>
    <w:r>
      <w:rPr>
        <w:rFonts w:ascii="Consolas" w:cs="Consolas" w:eastAsia="Consolas" w:hAnsi="Consolas"/>
        <w:color w:val="94A3B8"/>
        <w:spacing w:val="10"/>
        <w:sz w:val="14"/>
        <w:szCs w:val="14"/>
      </w:rPr>
      <w:t xml:space="preserve">	INFORME 08.1.1  ·  CAMINO RPA · MARCO LEGAL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00" w:hanging="260"/>
      </w:pPr>
      <w:rPr>
        <w:color w:val="0D948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300"/>
      </w:pPr>
      <w:rPr>
        <w:b/>
        <w:bCs/>
        <w:color w:val="0D948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/>
      <w:outlineLvl w:val="0"/>
    </w:pPr>
    <w:rPr>
      <w:rFonts w:ascii="Calibri" w:cs="Calibri" w:eastAsia="Calibri" w:hAnsi="Calibri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0F172A"/>
      <w:sz w:val="25"/>
      <w:szCs w:val="25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Calibri" w:cs="Calibri" w:eastAsia="Calibri" w:hAnsi="Calibri"/>
      <w:b/>
      <w:bCs/>
      <w:color w:val="0F76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08.1.1 — Camino RPA (robot asistido): informe técnico</dc:title>
  <dc:subject>GDP-SLEP Studio</dc:subject>
  <dc:creator>César Torres</dc:creator>
  <dc:description>Diseño técnico, herramientas, pruebas, Gantt y costos detallados del robot asistido para la tramitación de licencias médicas</dc:description>
  <cp:lastModifiedBy>Un-named</cp:lastModifiedBy>
  <cp:revision>1</cp:revision>
  <dcterms:created xsi:type="dcterms:W3CDTF">2026-10-06T00:05:05.767Z</dcterms:created>
  <dcterms:modified xsi:type="dcterms:W3CDTF">2026-10-06T00:05:05.770Z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