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  <w:r>
        <w:rPr>
          <w:rFonts w:ascii="Consolas" w:cs="Consolas" w:eastAsia="Consolas" w:hAnsi="Consolas"/>
          <w:color w:val="0D9488"/>
          <w:sz w:val="18"/>
          <w:szCs w:val="18"/>
        </w:rPr>
        <w:t xml:space="preserve">&gt; gdp-slep-studio / licencias / camino-api / marco-legal</w:t>
      </w:r>
    </w:p>
    <w:p>
      <w:pPr>
        <w:spacing w:after="240"/>
      </w:pPr>
      <w:r>
        <w:rPr>
          <w:rFonts w:ascii="Consolas" w:cs="Consolas" w:eastAsia="Consolas" w:hAnsi="Consolas"/>
          <w:b/>
          <w:bCs/>
          <w:color w:val="64748B"/>
          <w:spacing w:val="40"/>
          <w:sz w:val="18"/>
          <w:szCs w:val="18"/>
        </w:rPr>
        <w:t xml:space="preserve">INFORME 08.2.1  ·  SERIE DE INFORMES GDP-SLEP STUDIO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0F172A"/>
          <w:sz w:val="68"/>
          <w:szCs w:val="68"/>
        </w:rPr>
        <w:t xml:space="preserve">Camino API del PIEE</w:t>
      </w:r>
    </w:p>
    <w:p>
      <w:pPr>
        <w:spacing w:after="220"/>
      </w:pPr>
      <w:r>
        <w:rPr>
          <w:rFonts w:ascii="Calibri" w:cs="Calibri" w:eastAsia="Calibri" w:hAnsi="Calibri"/>
          <w:b/>
          <w:bCs/>
          <w:color w:val="0F172A"/>
          <w:sz w:val="68"/>
          <w:szCs w:val="68"/>
        </w:rPr>
        <w:t xml:space="preserve">marco legal</w:t>
      </w:r>
    </w:p>
    <w:p>
      <w:pPr>
        <w:pBdr>
          <w:bottom w:val="single" w:color="0D9488" w:sz="24" w:space="1"/>
        </w:pBdr>
        <w:spacing w:after="300"/>
        <w:ind w:right="8340"/>
      </w:pPr>
    </w:p>
    <w:p>
      <w:pPr>
        <w:spacing w:after="120"/>
      </w:pPr>
      <w:r>
        <w:rPr>
          <w:rFonts w:ascii="Calibri" w:cs="Calibri" w:eastAsia="Calibri" w:hAnsi="Calibri"/>
          <w:color w:val="0D9488"/>
          <w:sz w:val="28"/>
          <w:szCs w:val="28"/>
        </w:rPr>
        <w:t xml:space="preserve">Marco legal y verificación previa del camino API del PIEE para la tramitación de licencias médicas</w:t>
      </w:r>
    </w:p>
    <w:p>
      <w:pPr>
        <w:spacing w:after="900" w:line="290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Qué permite y qué no la ley, marco legal de cada propuesta (costo cero, óptima y avanzada), seguridad y cumplimiento, qué hay que verificar antes de construir y requisitos para avanzar. Cómo funciona el camino está en los Informes 08.2 (general) y 08.2.2 (técnico); los montos, en el 08.2.3.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70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ORGANIZACIÓN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Dirección de Educación Pública (DEP)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UNIDAD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Subdepartamento de Gestión y Desarrollo de Personas para los SLEP (GDP-SLEP)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PROYECTO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GDP-SLEP Studio · Aplicación 2: Automatización de licencias médicas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TIPO DE INFORME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Informe de marco legal · Camino API del PIEE (sesión asistida)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ELABORADO POR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César Torres · Desarrollador (honorarios)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DIRIGIDO A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Claudia Manzano · Jefatura directa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PERÍODO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1 de octubre – 27 de noviembre de 2026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FECHA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18 de octubre de 2026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VERSIÓN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CLASIFICACIÓN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Uso interno</w:t>
            </w:r>
          </w:p>
        </w:tc>
      </w:tr>
    </w:tbl>
    <w:p>
      <w:pPr>
        <w:spacing w:after="400"/>
      </w:pPr>
    </w:p>
    <w:p>
      <w:pPr>
        <w:spacing w:line="270"/>
      </w:pPr>
      <w:r>
        <w:rPr>
          <w:color w:val="64748B"/>
          <w:sz w:val="16"/>
          <w:szCs w:val="16"/>
        </w:rPr>
        <w:t xml:space="preserve">Reúne las reglas legales, la seguridad y el cumplimiento y la verificación previa del camino API del PIEE. Lo acompañan los Informes 08.2 (general), 08.2.2 (técnico) y 08.2.3 (costos).</w:t>
      </w: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DOCUMENTO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ficha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Ficha del documento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0"/>
        <w:gridCol w:w="7340"/>
      </w:tblGrid>
      <w:tr>
        <w:trPr>
          <w:tblHeader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CAMPO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Título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Informe 08.2.1 — Camino API del PIEE (sesión asistida): marco legal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Serie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Informe de marco legal del camino API del PIEE. Complementa los Informes 08.2 (general) y 08.2.2 (técnico)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Objeto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Reunir lo que la ley permite y exige al camino, el marco legal de cada propuesta, los controles de seguridad y lo que hay que verificar antes de construir, dentro de los límites de los Informes 00 y 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Período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1 de octubre – 27 de noviembre de 2026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Elaborado por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César Torres, Desarrollador a honorarios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Dirigido a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Claudia Manzano, Jefatura directa · Subdepartamento GDP-SLEP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Condición previa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Autorización escrita de FONASA + verificación favorable (sección 03). Sin ambas, el camino no pasa a construcción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Informes relacionados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Informe 08.2 (general) · Informe 08.2.2 (técnico) · Informe 08.2.3 (costos) · Informe 08 (factibilidad) · Informe 00 (marco legal transversal) · Informe 08.5 (anexos)</w:t>
            </w:r>
          </w:p>
        </w:tc>
      </w:tr>
    </w:tbl>
    <w:p>
      <w:pPr>
        <w:spacing w:after="120" w:before="0" w:line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0F766E"/>
          <w:sz w:val="22"/>
          <w:szCs w:val="22"/>
        </w:rPr>
        <w:t xml:space="preserve">Lugar de este informe en la serie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30"/>
        <w:gridCol w:w="240"/>
        <w:gridCol w:w="2230"/>
        <w:gridCol w:w="240"/>
        <w:gridCol w:w="2230"/>
        <w:gridCol w:w="240"/>
        <w:gridCol w:w="2230"/>
      </w:tblGrid>
      <w:tr>
        <w:trPr>
          <w:cantSplit/>
        </w:trPr>
        <w:tc>
          <w:tcPr>
            <w:tcW w:type="dxa" w:w="2230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F8FAF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GENERAL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Informe 08.2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Para entender el camino sin tecnicismos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tcW w:type="dxa" w:w="2230"/>
            <w:tcBorders>
              <w:top w:val="single" w:color="0D9488" w:sz="12"/>
              <w:left w:val="single" w:color="0D9488" w:sz="12"/>
              <w:bottom w:val="single" w:color="0D9488" w:sz="12"/>
              <w:right w:val="single" w:color="0D9488" w:sz="12"/>
            </w:tcBorders>
            <w:shd w:fill="F0FD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ESTE DOCUMENTO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Informe 08.2.1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Marco legal: ley, verificación y riesgos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tcW w:type="dxa" w:w="2230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F8FAF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TÉCNICO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Informe 08.2.2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Cómo se construye, en detalle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tcW w:type="dxa" w:w="2230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F8FAF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COSTOS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Informe 08.2.3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Cuánto cuesta cada propuesta</w:t>
            </w:r>
          </w:p>
        </w:tc>
      </w:tr>
    </w:tbl>
    <w:p>
      <w:pPr>
        <w:spacing w:after="200" w:before="80"/>
      </w:pPr>
      <w:r>
        <w:rPr>
          <w:rFonts w:ascii="Consolas" w:cs="Consolas" w:eastAsia="Consolas" w:hAnsi="Consolas"/>
          <w:b/>
          <w:bCs/>
          <w:color w:val="0D9488"/>
          <w:sz w:val="15"/>
          <w:szCs w:val="15"/>
        </w:rPr>
        <w:t xml:space="preserve">FIG. 1  </w:t>
      </w:r>
      <w:r>
        <w:rPr>
          <w:rFonts w:ascii="Calibri" w:cs="Calibri" w:eastAsia="Calibri" w:hAnsi="Calibri"/>
          <w:color w:val="64748B"/>
          <w:sz w:val="16"/>
          <w:szCs w:val="16"/>
        </w:rPr>
        <w:t xml:space="preserve">Este es el documento de marco legal del camino API del PIEE.</w:t>
      </w: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DOCUMENTO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índice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Índice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0"/>
        <w:gridCol w:w="874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01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Qué permite y qué no la ley</w:t>
            </w:r>
          </w:p>
          <w:p>
            <w:r>
              <w:rPr>
                <w:color w:val="64748B"/>
                <w:sz w:val="17"/>
                <w:szCs w:val="17"/>
              </w:rPr>
              <w:t xml:space="preserve">Las reglas, en lenguaje simple.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02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Marco legal por propuesta</w:t>
            </w:r>
          </w:p>
          <w:p>
            <w:r>
              <w:rPr>
                <w:color w:val="64748B"/>
                <w:sz w:val="17"/>
                <w:szCs w:val="17"/>
              </w:rPr>
              <w:t xml:space="preserve">Qué es factible y qué es riesgoso en cada propuesta, aspecto por aspecto.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03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Seguridad y cumplimiento</w:t>
            </w:r>
          </w:p>
          <w:p>
            <w:r>
              <w:rPr>
                <w:color w:val="64748B"/>
                <w:sz w:val="17"/>
                <w:szCs w:val="17"/>
              </w:rPr>
              <w:t xml:space="preserve">Controles frente a cada norma aplicable.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04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Qué hay que verificar</w:t>
            </w:r>
          </w:p>
          <w:p>
            <w:r>
              <w:rPr>
                <w:color w:val="64748B"/>
                <w:sz w:val="17"/>
                <w:szCs w:val="17"/>
              </w:rPr>
              <w:t xml:space="preserve">Lo decisivo: la verificación con FONASA antes de construir.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05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Conclusión y requisitos para avanzar</w:t>
            </w:r>
          </w:p>
          <w:p>
            <w:r>
              <w:rPr>
                <w:color w:val="64748B"/>
                <w:sz w:val="17"/>
                <w:szCs w:val="17"/>
              </w:rPr>
              <w:t xml:space="preserve">Por qué el marco legal condiciona el desarrollo en la DEP y los SLEP, y qué falta.</w:t>
            </w:r>
          </w:p>
        </w:tc>
      </w:tr>
    </w:tbl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01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reglas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Qué permite y qué no la ley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Las reglas son las mismas del camino RPA —datos de salud, sueldos y ClaveÚnica—, con un énfasis adicional: aquí la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autorización de FONASA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no es solo recomendable, es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indispensable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, porque se usa una vía que el portal no ofrece abiertamente a los empleadores.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00"/>
        <w:gridCol w:w="5940"/>
      </w:tblGrid>
      <w:tr>
        <w:trPr>
          <w:tblHeader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REGLA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QUÉ SIGNIFICA PARA ESTE CAMINO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La clave del Estado (ClaveÚnica) no se puede automatizar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Siempre entra la persona; el sistema nunca guarda ni usa su clave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Solo se usan canales autorizados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Se necesita autorización escrita de FONASA; sin ella, el camino no se construye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No se puede acceder a un sistema sin permiso ni esquivando protecciones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El sistema solo actúa dentro de la sesión de la persona y nunca sortea un candado de seguridad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El empleador no puede ver el diagnóstico médico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El sistema nunca pide ni guarda esa parte de la licencia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Los datos deben estar protegidos y en Chile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La IA funciona dentro de la DEP; nada se manda a internet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Una persona debe decidir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El envío siempre lo confirma el encargado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6"/>
                <w:szCs w:val="16"/>
              </w:rPr>
              <w:t xml:space="preserve">La IA en la nube nunca recibe datos personales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Claude solo se usa para normativa, redacción y código; los datos de licencias, de salud y de remuneraciones quedan en la IA local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6"/>
                <w:szCs w:val="16"/>
              </w:rPr>
              <w:t xml:space="preserve">El plazo de tramitación es legal: 3 días hábiles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El sistema calcula el vencimiento de cada licencia y alerta antes; ninguna debe quedar fuera de plazo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6"/>
                <w:szCs w:val="16"/>
              </w:rPr>
              <w:t xml:space="preserve">Solo se usan los datos que pide la zona C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Del ERP se toman únicamente los haberes que exige FONASA; nada más se copia ni se guarda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6"/>
                <w:szCs w:val="16"/>
              </w:rPr>
              <w:t xml:space="preserve">Cada SLEP responde por los datos de su personal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El SLEP es el empleador y decide; la DEP entrega la herramienta y opera solo lo que se le encargue formalmente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6"/>
                <w:szCs w:val="16"/>
              </w:rPr>
              <w:t xml:space="preserve">Antes de usar datos reales, evaluación de impacto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Con la Ley 21.719 vigente desde el 1 de diciembre de 2026, el piloto con datos reales exige esa evaluación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6"/>
                <w:szCs w:val="16"/>
              </w:rPr>
              <w:t xml:space="preserve">Todo queda registrado, sin datos clínicos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Cada acción deja constancia de quién, cuándo y qué hizo, para auditoría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6"/>
                <w:szCs w:val="16"/>
              </w:rPr>
              <w:t xml:space="preserve">Los incidentes se informan en plazo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Una filtración o una caída se reporta según el protocolo de la Ley 21.663 (3 horas, 72 horas y 15 días)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6"/>
                <w:szCs w:val="16"/>
              </w:rPr>
              <w:t xml:space="preserve">El código es de la institución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Se formaliza la cesión de derechos del código para que la DEP pueda usarlo, cambiarlo y mantenerlo</w:t>
            </w:r>
          </w:p>
        </w:tc>
      </w:tr>
    </w:tbl>
    <w:p>
      <w:pPr>
        <w:spacing w:after="12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B45309"/>
                <w:spacing w:val="20"/>
                <w:sz w:val="15"/>
                <w:szCs w:val="15"/>
              </w:rPr>
              <w:t xml:space="preserve">EN UNA FRASE</w:t>
            </w:r>
          </w:p>
          <w:p>
            <w:pPr>
              <w:spacing w:after="50" w:line="260"/>
            </w:pPr>
            <w:r>
              <w:rPr>
                <w:color w:val="334155"/>
                <w:sz w:val="19"/>
                <w:szCs w:val="19"/>
              </w:rPr>
              <w:t xml:space="preserve">El camino es legal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si FONASA lo autoriza, una persona abre la sesión y confirma cada envío, y nunca se esquiva una protección</w:t>
            </w:r>
            <w:r>
              <w:rPr>
                <w:color w:val="334155"/>
                <w:sz w:val="19"/>
                <w:szCs w:val="19"/>
              </w:rPr>
              <w:t xml:space="preserve">. Sin la autorización de FONASA, no se construye. El detalle legal de cada propuesta está en la sección 02.</w:t>
            </w:r>
          </w:p>
        </w:tc>
      </w:tr>
    </w:tbl>
    <w:p>
      <w:pPr>
        <w:spacing w:after="140" w:before="0" w:line="120"/>
      </w:pP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02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legal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Marco legal por propuesta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Las tres propuestas comparten la condición central del camino —autorización de FONASA— y difieren en compras y ubicación de respaldos.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Mostrar, para cada propuesta, qué es factible, qué es riesgoso y por qué.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Tabla aspecto × propuesta con semáforo, a partir del Informe 00 y la sección 03.</w:t>
            </w:r>
          </w:p>
        </w:tc>
      </w:tr>
    </w:tbl>
    <w:p>
      <w:pPr>
        <w:spacing w:after="14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100"/>
        <w:gridCol w:w="2510"/>
        <w:gridCol w:w="2510"/>
        <w:gridCol w:w="2520"/>
      </w:tblGrid>
      <w:tr>
        <w:trPr>
          <w:tblHeader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ASPECTO Y NORMA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803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API1 · COSTO CERO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948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API2 · ÓPTIMA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4530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API3 · AVANZADA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 w:line="236"/>
            </w:pPr>
            <w:r>
              <w:rPr>
                <w:b/>
                <w:bCs/>
                <w:color w:val="0F172A"/>
                <w:sz w:val="14"/>
                <w:szCs w:val="14"/>
              </w:rPr>
              <w:t xml:space="preserve">Autorización de FONASA</w:t>
            </w:r>
          </w:p>
          <w:p>
            <w:pPr>
              <w:spacing w:after="30" w:line="236"/>
            </w:pPr>
            <w:r>
              <w:rPr>
                <w:color w:val="334155"/>
                <w:sz w:val="14"/>
                <w:szCs w:val="14"/>
              </w:rPr>
              <w:t xml:space="preserve">Condiciones de uso · Ley 21.459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Requisito previo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Sin autorización escrita, el camino no se construye en ninguna propuesta.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A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Requisito previo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Igual que API1.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FFBEB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Requisito previo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Igual que API1.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 w:line="236"/>
            </w:pPr>
            <w:r>
              <w:rPr>
                <w:b/>
                <w:bCs/>
                <w:color w:val="0F172A"/>
                <w:sz w:val="14"/>
                <w:szCs w:val="14"/>
              </w:rPr>
              <w:t xml:space="preserve">Acceso autorizado</w:t>
            </w:r>
          </w:p>
          <w:p>
            <w:pPr>
              <w:spacing w:after="30" w:line="236"/>
            </w:pPr>
            <w:r>
              <w:rPr>
                <w:color w:val="334155"/>
                <w:sz w:val="14"/>
                <w:szCs w:val="14"/>
              </w:rPr>
              <w:t xml:space="preserve">Ley 21.459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Con condiciones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Solo la interfaz permitida, dentro de la sesión de la persona; nunca se esquiva un control.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A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Con condiciones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Igual que API1.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FFBEB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Con condiciones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Igual que API1.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 w:line="236"/>
            </w:pPr>
            <w:r>
              <w:rPr>
                <w:b/>
                <w:bCs/>
                <w:color w:val="0F172A"/>
                <w:sz w:val="14"/>
                <w:szCs w:val="14"/>
              </w:rPr>
              <w:t xml:space="preserve">ClaveÚnica</w:t>
            </w:r>
          </w:p>
          <w:p>
            <w:pPr>
              <w:spacing w:after="30" w:line="236"/>
            </w:pPr>
            <w:r>
              <w:rPr>
                <w:color w:val="334155"/>
                <w:sz w:val="14"/>
                <w:szCs w:val="14"/>
              </w:rPr>
              <w:t xml:space="preserve">Res. Ex. 733/2025 §6.5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La persona inicia sesión; el conector usa el identificador, no la clave.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A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Igual que API1.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FFBEB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Igual que API1.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 w:line="236"/>
            </w:pPr>
            <w:r>
              <w:rPr>
                <w:b/>
                <w:bCs/>
                <w:color w:val="0F172A"/>
                <w:sz w:val="14"/>
                <w:szCs w:val="14"/>
              </w:rPr>
              <w:t xml:space="preserve">Datos clínicos</w:t>
            </w:r>
          </w:p>
          <w:p>
            <w:pPr>
              <w:spacing w:after="30" w:line="236"/>
            </w:pPr>
            <w:r>
              <w:rPr>
                <w:color w:val="334155"/>
                <w:sz w:val="14"/>
                <w:szCs w:val="14"/>
              </w:rPr>
              <w:t xml:space="preserve">Ley 19.628 · SUSESO 3779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Lista blanca de campos; nunca se consulta la zona A.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A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Igual que API1.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FFBEB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Igual que API1.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 w:line="236"/>
            </w:pPr>
            <w:r>
              <w:rPr>
                <w:b/>
                <w:bCs/>
                <w:color w:val="0F172A"/>
                <w:sz w:val="14"/>
                <w:szCs w:val="14"/>
              </w:rPr>
              <w:t xml:space="preserve">IA sobre datos</w:t>
            </w:r>
          </w:p>
          <w:p>
            <w:pPr>
              <w:spacing w:after="30" w:line="236"/>
            </w:pPr>
            <w:r>
              <w:rPr>
                <w:color w:val="334155"/>
                <w:sz w:val="14"/>
                <w:szCs w:val="14"/>
              </w:rPr>
              <w:t xml:space="preserve">Ley 21.719 · CPLT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Modelo local; datos seudonimizados; la IA propone, la persona decide.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A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Igual que API1.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FFBEB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Igual que API1; la IA avanzada sigue siendo local.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 w:line="236"/>
            </w:pPr>
            <w:r>
              <w:rPr>
                <w:b/>
                <w:bCs/>
                <w:color w:val="0F172A"/>
                <w:sz w:val="14"/>
                <w:szCs w:val="14"/>
              </w:rPr>
              <w:t xml:space="preserve">Ubicación de los datos</w:t>
            </w:r>
          </w:p>
          <w:p>
            <w:pPr>
              <w:spacing w:after="30" w:line="236"/>
            </w:pPr>
            <w:r>
              <w:rPr>
                <w:color w:val="334155"/>
                <w:sz w:val="14"/>
                <w:szCs w:val="14"/>
              </w:rPr>
              <w:t xml:space="preserve">Ley 21.719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Todo en el servidor de TI, en Chile.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A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Servidor y estación en la DEP.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FFBEB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Con condiciones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Respaldo en </w:t>
            </w:r>
            <w:r>
              <w:rPr>
                <w:b/>
                <w:bCs/>
                <w:color w:val="0F172A"/>
                <w:sz w:val="14"/>
                <w:szCs w:val="14"/>
              </w:rPr>
              <w:t xml:space="preserve">Azure Chile Central</w:t>
            </w:r>
            <w:r>
              <w:rPr>
                <w:color w:val="334155"/>
                <w:sz w:val="14"/>
                <w:szCs w:val="14"/>
              </w:rPr>
              <w:t xml:space="preserve">: en Chile, pero proveedor externo; contrato de tratamiento y cifrado.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 w:line="236"/>
            </w:pPr>
            <w:r>
              <w:rPr>
                <w:b/>
                <w:bCs/>
                <w:color w:val="0F172A"/>
                <w:sz w:val="14"/>
                <w:szCs w:val="14"/>
              </w:rPr>
              <w:t xml:space="preserve">Compras públicas</w:t>
            </w:r>
          </w:p>
          <w:p>
            <w:pPr>
              <w:spacing w:after="30" w:line="236"/>
            </w:pPr>
            <w:r>
              <w:rPr>
                <w:color w:val="334155"/>
                <w:sz w:val="14"/>
                <w:szCs w:val="14"/>
              </w:rPr>
              <w:t xml:space="preserve">Ley 19.886 (mod. 21.634)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Sin compras.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A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Con condiciones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La estación básica cabe en </w:t>
            </w:r>
            <w:r>
              <w:rPr>
                <w:b/>
                <w:bCs/>
                <w:color w:val="0F172A"/>
                <w:sz w:val="14"/>
                <w:szCs w:val="14"/>
              </w:rPr>
              <w:t xml:space="preserve">compra ágil</w:t>
            </w:r>
            <w:r>
              <w:rPr>
                <w:color w:val="334155"/>
                <w:sz w:val="14"/>
                <w:szCs w:val="14"/>
              </w:rPr>
              <w:t xml:space="preserve"> (bajo 100 UTM).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FFBEB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Riesgoso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Estación avanzada sobre 100 UTM: </w:t>
            </w:r>
            <w:r>
              <w:rPr>
                <w:b/>
                <w:bCs/>
                <w:color w:val="0F172A"/>
                <w:sz w:val="14"/>
                <w:szCs w:val="14"/>
              </w:rPr>
              <w:t xml:space="preserve">convenio marco o licitación</w:t>
            </w:r>
            <w:r>
              <w:rPr>
                <w:color w:val="334155"/>
                <w:sz w:val="14"/>
                <w:szCs w:val="14"/>
              </w:rPr>
              <w:t xml:space="preserve">; más el servicio de Azure.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 w:line="236"/>
            </w:pPr>
            <w:r>
              <w:rPr>
                <w:b/>
                <w:bCs/>
                <w:color w:val="0F172A"/>
                <w:sz w:val="14"/>
                <w:szCs w:val="14"/>
              </w:rPr>
              <w:t xml:space="preserve">Seguridad de la información</w:t>
            </w:r>
          </w:p>
          <w:p>
            <w:pPr>
              <w:spacing w:after="30" w:line="236"/>
            </w:pPr>
            <w:r>
              <w:rPr>
                <w:color w:val="334155"/>
                <w:sz w:val="14"/>
                <w:szCs w:val="14"/>
              </w:rPr>
              <w:t xml:space="preserve">DS 7/2023 · Ley 21.663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Con condiciones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Secretos cifrados; sin alta disponibilidad: el respaldo es el proceso manual.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A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Almacén de secretos y monitoreo.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FFBEB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Alta disponibilidad, eventos de seguridad y prueba de penetración.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 w:line="236"/>
            </w:pPr>
            <w:r>
              <w:rPr>
                <w:b/>
                <w:bCs/>
                <w:color w:val="0F172A"/>
                <w:sz w:val="14"/>
                <w:szCs w:val="14"/>
              </w:rPr>
              <w:t xml:space="preserve">IA en la nube (Claude)</w:t>
            </w:r>
          </w:p>
          <w:p>
            <w:pPr>
              <w:spacing w:after="30" w:line="236"/>
            </w:pPr>
            <w:r>
              <w:rPr>
                <w:color w:val="334155"/>
                <w:sz w:val="14"/>
                <w:szCs w:val="14"/>
              </w:rPr>
              <w:t xml:space="preserve">Ley 19.628 · Ley 21.719 (transferencia internacional)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No se usa: toda la IA corre dentro de la DEP.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A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color w:val="B45309"/>
                <w:sz w:val="15"/>
                <w:szCs w:val="15"/>
              </w:rPr>
              <w:t xml:space="preserve">● Con condiciones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Solo tareas sin datos personales, con un plan que no entrena modelos con los datos de la institución.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FFBEB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color w:val="B45309"/>
                <w:sz w:val="15"/>
                <w:szCs w:val="15"/>
              </w:rPr>
              <w:t xml:space="preserve">● Con condiciones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Además, la API pasa por una pasarela que bloquea datos personales y registra lo enviado.</w:t>
            </w:r>
          </w:p>
        </w:tc>
      </w:tr>
    </w:tbl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03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cumplimiento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Seguridad y cumplimiento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El camino API integra con un sistema de terceros: cada control del diseño debe responder a una norma concreta.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Mostrar cómo cada control responde a una exigencia legal.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Matriz norma → exigencia → control, a partir de los Informes 00 y 08.</w:t>
            </w:r>
          </w:p>
        </w:tc>
      </w:tr>
    </w:tbl>
    <w:p>
      <w:pPr>
        <w:spacing w:after="14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700"/>
        <w:gridCol w:w="3000"/>
        <w:gridCol w:w="3940"/>
      </w:tblGrid>
      <w:tr>
        <w:trPr>
          <w:tblHeader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NORMA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EXIGENCIA</w:t>
            </w:r>
          </w:p>
        </w:tc>
        <w:tc>
          <w:tcPr>
            <w:tcW w:type="dxa" w:w="39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CONTROL EN EL CONECTOR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Res. Ex. 733/2025 §6.5 (ClaveÚnica)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No almacenar credenciales ni automatizar el acceso</w:t>
            </w:r>
          </w:p>
        </w:tc>
        <w:tc>
          <w:tcPr>
            <w:tcW w:type="dxa" w:w="3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Inicio de sesión siempre manual; el conector usa el identificador de sesión, nunca la clave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Ley 21.459 (delitos informáticos)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No acceder sin autorización ni excediendo la autorización</w:t>
            </w:r>
          </w:p>
        </w:tc>
        <w:tc>
          <w:tcPr>
            <w:tcW w:type="dxa" w:w="3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Autorización escrita de FONASA; solo la interfaz permitida; jamás se esquiva un control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Condiciones de uso del PIEE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Uso autorizado de la plataforma</w:t>
            </w:r>
          </w:p>
        </w:tc>
        <w:tc>
          <w:tcPr>
            <w:tcW w:type="dxa" w:w="3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Operación dentro de la sesión del encargado; uso limitado a la zona C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Ley 19.628 · Circular SUSESO 3779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Diagnóstico vedado al empleador</w:t>
            </w:r>
          </w:p>
        </w:tc>
        <w:tc>
          <w:tcPr>
            <w:tcW w:type="dxa" w:w="3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El conector no consulta ni guarda la zona A; lista blanca de campos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Ley 21.719 (desde 1-dic-2026)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Minimización, seguridad, evaluación de impacto</w:t>
            </w:r>
          </w:p>
        </w:tc>
        <w:tc>
          <w:tcPr>
            <w:tcW w:type="dxa" w:w="3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Solo datos de la zona C; seudonimización para la IA; datos en Chile; evaluación previa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DS 7/2023 · Ley 21.663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Control de acceso, secretos, incidentes</w:t>
            </w:r>
          </w:p>
        </w:tc>
        <w:tc>
          <w:tcPr>
            <w:tcW w:type="dxa" w:w="3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Almacén de secretos para tokens de servicio; registro de cada petición; protocolo de incidentes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Supervisión humana de IA (CPLT)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Transparencia y decisión humana</w:t>
            </w:r>
          </w:p>
        </w:tc>
        <w:tc>
          <w:tcPr>
            <w:tcW w:type="dxa" w:w="3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La IA propone; el envío lo aprueba una persona; se registra modelo y versión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IA en la nube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Ningún dato personal sale de la DEP</w:t>
            </w:r>
          </w:p>
        </w:tc>
        <w:tc>
          <w:tcPr>
            <w:tcW w:type="dxa" w:w="3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Uso limitado a tareas sin datos personales; en la propuesta avanzada, pasarela que filtra RUT, nombres y datos de salud y deja registro de lo enviado</w:t>
            </w:r>
          </w:p>
        </w:tc>
      </w:tr>
    </w:tbl>
    <w:p>
      <w:pPr>
        <w:spacing w:after="12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744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RESULTADO</w:t>
            </w:r>
          </w:p>
        </w:tc>
        <w:tc>
          <w:tcPr>
            <w:tcW w:type="dxa" w:w="7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FUNDAMENTO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8"/>
                <w:szCs w:val="18"/>
              </w:rPr>
              <w:t xml:space="preserve">● Cumple con condiciones</w:t>
            </w:r>
          </w:p>
        </w:tc>
        <w:tc>
          <w:tcPr>
            <w:tcW w:type="dxa" w:w="74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El diseño respeta la ClaveÚnica, la reserva del diagnóstico y los controles del portal. Queda sujeto a la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autorización escrita de FONASA</w:t>
            </w: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, a la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verificación</w:t>
            </w: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 (sección 04) y a la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evaluación de impacto</w:t>
            </w: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. Si la verificación obliga a esquivar un control, el camino se descarta.</w:t>
            </w:r>
          </w:p>
        </w:tc>
      </w:tr>
    </w:tbl>
    <w:p>
      <w:pPr>
        <w:spacing w:after="120" w:before="0" w:line="120"/>
      </w:pP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04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por confirmar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Qué hay que verificar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En este camino, la verificación no es un paso más: decide si el camino existe o se descarta.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Dejar la lista técnica de comprobaciones, su método y su consecuencia.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Todo se verifica dentro de una sesión iniciada por una persona y sin esquivar ningún control; es requisito de salida del diagnóstico (sección 09 del Informe 08.2.2).</w:t>
            </w:r>
          </w:p>
        </w:tc>
      </w:tr>
    </w:tbl>
    <w:p>
      <w:pPr>
        <w:spacing w:after="140" w:before="0" w:line="120"/>
      </w:pP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En este camino, verificar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no es un detalle: es la condición para que exista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. A diferencia del robot, que siempre se puede construir, el camino API solo es viable si FONASA lo autoriza y si la conversación con su sistema resulta ser accesible de forma permitida. Por eso estas comprobaciones se hacen en las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dos primeras semanas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y deciden si el camino sigue o se descarta.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100"/>
        <w:gridCol w:w="3200"/>
        <w:gridCol w:w="2740"/>
      </w:tblGrid>
      <w:tr>
        <w:trPr>
          <w:tblHeader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QUÉ VERIFICAR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CÓMO (MÉTODO)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SI FALLA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V1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Autorización escrita de FONASA para que los SLEP usen su interfaz de datos desde sus sistemas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Oficio y respuesta formal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El camino se descarta; se usa RPA o servicios web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V2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Que exista una vía permitida de integración para empleadores (o que FONASA abra una)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Consulta formal a FONASA + revisión de documentación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Si no hay vía permitida, el camino se descarta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V3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Cómo se identifica la sesión que abre la persona y cuánto dura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Inspección con las herramientas del navegador (F12 → Red y Aplicación), en una sesión real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Ajusta las ventanas de trabajo y el manejo de caducidad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V4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Si hay token anti-CSRF u otros controles que se deban respetar en cada envío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F12 → inspección de la petición al guardar un paso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El conector debe leerlos y reenviarlos; más trabajo de desarrollo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V5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Si hay controles que impiden el uso automatizado (captcha, límites de velocidad, detección)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Observación durante la verificación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Si los hay y no se pueden respetar sin esquivarlos, el camino se descarta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V6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Nombres y formato de las peticiones de lectura y envío, y de sus campos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Inspección de la conversación en una sesión real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Ajusta el conector; si no se puede leer, se descarta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V7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Estabilidad de la interfaz (el portal es nuevo desde el 1-oct)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Observación y registro de cambios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Plan de mantención; modo seguro ante cambios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V8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Origen y formato de las remuneraciones de cada SLEP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Levantamiento a los SLEP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Sin esto no se prepara la zona C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V9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Capacidad de integración del ERP del SLEP (Proexsi en el piloto): API, servicio web, archivo o solo pantalla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Consulta al proveedor + prueba en el SLEP piloto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Si solo hay pantalla, el conector del ERP se hace con robot asistido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V10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Formato de los haberes que entrega el ERP y su correspondencia con los campos de la zona C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Levantamiento con Remuneraciones del SLEP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Ajusta el mapeo; sin esto no se prellena la zona C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V11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Si el ERP acepta escritura masiva/por lote de la licencia y con qué credenciales de servicio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Consulta al proveedor y a TI del SLEP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Define si el ahorro es por lote; nunca se usan claves de personas</w:t>
            </w:r>
          </w:p>
        </w:tc>
      </w:tr>
    </w:tbl>
    <w:p>
      <w:pPr>
        <w:spacing w:after="12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B91C1C" w:sz="24"/>
              <w:bottom w:val="none" w:color="FFFFFF" w:sz="0"/>
              <w:right w:val="none" w:color="FFFFFF" w:sz="0"/>
            </w:tcBorders>
            <w:shd w:fill="FEF2F2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B91C1C"/>
                <w:spacing w:val="20"/>
                <w:sz w:val="15"/>
                <w:szCs w:val="15"/>
              </w:rPr>
              <w:t xml:space="preserve">REGLA DE SALIDA DEL DIAGNÓSTICO</w:t>
            </w:r>
          </w:p>
          <w:p>
            <w:pPr>
              <w:spacing w:after="50" w:line="260"/>
            </w:pPr>
            <w:r>
              <w:rPr>
                <w:color w:val="334155"/>
                <w:sz w:val="19"/>
                <w:szCs w:val="19"/>
              </w:rPr>
              <w:t xml:space="preserve">La construcción (sección 09 del Informe 08.2.2, semanas S6–S8)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no empieza</w:t>
            </w:r>
            <w:r>
              <w:rPr>
                <w:color w:val="334155"/>
                <w:sz w:val="19"/>
                <w:szCs w:val="19"/>
              </w:rPr>
              <w:t xml:space="preserve"> hasta que V1 y V2 sean afirmativas y V3 a V6 estén resueltas. Toda verificación se hace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dentro de una sesión iniciada por una persona</w:t>
            </w:r>
            <w:r>
              <w:rPr>
                <w:color w:val="334155"/>
                <w:sz w:val="19"/>
                <w:szCs w:val="19"/>
              </w:rPr>
              <w:t xml:space="preserve"> y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sin esquivar</w:t>
            </w:r>
            <w:r>
              <w:rPr>
                <w:color w:val="334155"/>
                <w:sz w:val="19"/>
                <w:szCs w:val="19"/>
              </w:rPr>
              <w:t xml:space="preserve"> ningún control: si para avanzar hubiera que sortear un captcha, un límite o cualquier protección, eso es la señal de que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este camino no corresponde</w:t>
            </w:r>
            <w:r>
              <w:rPr>
                <w:color w:val="334155"/>
                <w:sz w:val="19"/>
                <w:szCs w:val="19"/>
              </w:rPr>
              <w:t xml:space="preserve">, y se elige otro. No es un obstáculo a vencer, es un criterio de descarte.</w:t>
            </w:r>
          </w:p>
        </w:tc>
      </w:tr>
    </w:tbl>
    <w:p>
      <w:pPr>
        <w:spacing w:after="140" w:before="0" w:line="120"/>
      </w:pP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05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cierre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Conclusión y requisitos para avanzar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En el sector público, un desarrollo solo es viable si tiene base legal: el Estado hace únicamente lo que la ley le permite.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Explicar por qué el marco legal condiciona el camino API del PIEE en la DEP y en los SLEP, y qué falta para avanzar.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Principios del sector público, relación DEP–SLEP y requisitos con su responsable y estado.</w:t>
            </w:r>
          </w:p>
        </w:tc>
      </w:tr>
    </w:tbl>
    <w:p>
      <w:pPr>
        <w:spacing w:after="140" w:before="0" w:line="120"/>
      </w:pP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En una institución pública, el marco legal no es un trámite posterior al desarrollo: lo define. Por el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principio de legalidad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 (artículos 6 y 7 de la Constitución), los órganos del Estado solo actúan dentro de su competencia y en la forma que fija la ley. Por eso cada tratamiento de datos, cada uso de un portal de terceros y cada compra deben tener fundamento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antes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 de construir, no después.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La DEP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coordina y apoya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, pero no reemplaza a los SLEP: cada Servicio Local de Educación Pública es un servicio público descentralizado, con personalidad jurídica y patrimonio propios (Ley 21.040), y es el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empleador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 de su personal. Es cada SLEP —no la DEP— quien tramita las licencias de sus trabajadores, responde por esos datos ante FONASA y decide adoptar la solución. GDP-SLEP Studio entrega la herramienta y las reglas comunes; si los datos pasan por servidores de la DEP, esa relación debe formalizarse con cada SLEP.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La viabilidad del camino API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no es técnica sino institucional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: depende de que FONASA autorice la conexión y de que la verificación confirme una vía permitida que no obligue a esquivar ningún control. Si alguna de las dos falla, el camino se cierra sin construir y el trabajo de diagnóstico se aprovecha en los caminos RPA y mixto.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0F766E"/>
          <w:sz w:val="22"/>
          <w:szCs w:val="22"/>
        </w:rPr>
        <w:t xml:space="preserve">Requisitos para iniciar la construcción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5000"/>
        <w:gridCol w:w="2000"/>
        <w:gridCol w:w="2040"/>
      </w:tblGrid>
      <w:tr>
        <w:trPr>
          <w:tblHeader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REQUISITO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RESPONSABLE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ESTADO AL 18-OCT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1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Autorización escrita de FONASA para la interfaz de datos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Jefatura / DEP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Oficio enviado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2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Verificación favorable V1–V6 (sección 03)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Desarrollador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En curso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3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Evaluación de impacto en protección de datos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GDP-SLEP con TI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En curso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4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Máquina virtual en el servidor de TI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TI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Por solicitar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5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SLEP piloto, encargado y planilla estándar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Jefatura · SLEP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Por confirmar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6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Elección de propuesta y, si es API2/API3, canal de compra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Jefatura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30 de octubre</w:t>
            </w:r>
          </w:p>
        </w:tc>
      </w:tr>
    </w:tbl>
    <w:p>
      <w:pPr>
        <w:spacing w:after="12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0D9488" w:sz="24"/>
              <w:bottom w:val="none" w:color="FFFFFF" w:sz="0"/>
              <w:right w:val="none" w:color="FFFFFF" w:sz="0"/>
            </w:tcBorders>
            <w:shd w:fill="F0FDFA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RECOMENDACIÓN</w:t>
            </w:r>
          </w:p>
          <w:p>
            <w:pPr>
              <w:spacing w:after="50" w:line="260"/>
            </w:pPr>
            <w:r>
              <w:rPr>
                <w:color w:val="334155"/>
                <w:sz w:val="19"/>
                <w:szCs w:val="19"/>
              </w:rPr>
              <w:t xml:space="preserve">Antes de construir: base legal para cada tratamiento, acuerdo de cada SLEP que adopte la solución y, si la DEP aloja datos, la formalización de ese encargo. Priorizar el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oficio a FONASA</w:t>
            </w:r>
            <w:r>
              <w:rPr>
                <w:color w:val="334155"/>
                <w:sz w:val="19"/>
                <w:szCs w:val="19"/>
              </w:rPr>
              <w:t xml:space="preserve"> y la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verificación V1 a V6</w:t>
            </w:r>
            <w:r>
              <w:rPr>
                <w:color w:val="334155"/>
                <w:sz w:val="19"/>
                <w:szCs w:val="19"/>
              </w:rPr>
              <w:t xml:space="preserve">. Si ambas resultan favorables, las tres propuestas son factibles; la diferencia legal entre ellas está solo en el canal de compra y en el contrato con el proveedor de nube de API3.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250" w:right="1300" w:bottom="1150" w:left="1300" w:header="60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40"/>
      </w:tabs>
    </w:pPr>
    <w:r>
      <w:rPr>
        <w:rFonts w:ascii="Calibri" w:cs="Calibri" w:eastAsia="Calibri" w:hAnsi="Calibri"/>
        <w:color w:val="94A3B8"/>
        <w:sz w:val="14"/>
        <w:szCs w:val="14"/>
      </w:rPr>
      <w:t xml:space="preserve">DEP · Subdepartamento GDP-SLEP · Uso interno</w:t>
    </w:r>
    <w:r>
      <w:rPr>
        <w:rFonts w:ascii="Consolas" w:cs="Consolas" w:eastAsia="Consolas" w:hAnsi="Consolas"/>
        <w:color w:val="94A3B8"/>
        <w:sz w:val="14"/>
        <w:szCs w:val="14"/>
      </w:rPr>
      <w:t xml:space="preserve">	pág. </w:t>
    </w:r>
    <w:r>
      <w:rPr>
        <w:rFonts w:ascii="Consolas" w:cs="Consolas" w:eastAsia="Consolas" w:hAnsi="Consolas"/>
        <w:b/>
        <w:bCs/>
        <w:color w:val="0F172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6"/>
      </w:pBdr>
      <w:tabs>
        <w:tab w:val="right" w:pos="9640"/>
      </w:tabs>
    </w:pPr>
    <w:r>
      <w:rPr>
        <w:rFonts w:ascii="Consolas" w:cs="Consolas" w:eastAsia="Consolas" w:hAnsi="Consolas"/>
        <w:b/>
        <w:bCs/>
        <w:color w:val="0D9488"/>
        <w:spacing w:val="20"/>
        <w:sz w:val="14"/>
        <w:szCs w:val="14"/>
      </w:rPr>
      <w:t xml:space="preserve">GDP - SLEP STUDIO</w:t>
    </w:r>
    <w:r>
      <w:rPr>
        <w:rFonts w:ascii="Consolas" w:cs="Consolas" w:eastAsia="Consolas" w:hAnsi="Consolas"/>
        <w:color w:val="94A3B8"/>
        <w:spacing w:val="10"/>
        <w:sz w:val="14"/>
        <w:szCs w:val="14"/>
      </w:rPr>
      <w:t xml:space="preserve">	INFORME 08.2.1  ·  CAMINO API DEL PIEE · MARCO LEGAL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D948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0D9488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/>
      <w:outlineLvl w:val="0"/>
    </w:pPr>
    <w:rPr>
      <w:rFonts w:ascii="Calibri" w:cs="Calibri" w:eastAsia="Calibri" w:hAnsi="Calibri"/>
      <w:b/>
      <w:bCs/>
      <w:color w:val="0F172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0F172A"/>
      <w:sz w:val="25"/>
      <w:szCs w:val="25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0F766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08.2.1 — Camino API del PIEE (sesión asistida): informe técnico</dc:title>
  <dc:subject>GDP-SLEP Studio</dc:subject>
  <dc:creator>César Torres</dc:creator>
  <cp:lastModifiedBy>Un-named</cp:lastModifiedBy>
  <cp:revision>1</cp:revision>
  <dcterms:created xsi:type="dcterms:W3CDTF">2026-10-06T00:05:06.376Z</dcterms:created>
  <dcterms:modified xsi:type="dcterms:W3CDTF">2026-10-06T00:05:06.376Z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