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  <w:r>
        <w:rPr>
          <w:rFonts w:ascii="Consolas" w:cs="Consolas" w:eastAsia="Consolas" w:hAnsi="Consolas"/>
          <w:color w:val="0D9488"/>
          <w:sz w:val="18"/>
          <w:szCs w:val="18"/>
        </w:rPr>
        <w:t xml:space="preserve">&gt; gdp-slep-studio / licencias / camino-servicios-web / marco-legal</w:t>
      </w:r>
    </w:p>
    <w:p>
      <w:pPr>
        <w:spacing w:after="240"/>
      </w:pPr>
      <w:r>
        <w:rPr>
          <w:rFonts w:ascii="Consolas" w:cs="Consolas" w:eastAsia="Consolas" w:hAnsi="Consolas"/>
          <w:b/>
          <w:bCs/>
          <w:color w:val="64748B"/>
          <w:spacing w:val="40"/>
          <w:sz w:val="18"/>
          <w:szCs w:val="18"/>
        </w:rPr>
        <w:t xml:space="preserve">INFORME 08.3.1  ·  SERIE DE INFORMES GDP-SLEP STUDIO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0F172A"/>
          <w:sz w:val="60"/>
          <w:szCs w:val="60"/>
        </w:rPr>
        <w:t xml:space="preserve">Camino servicios web</w:t>
      </w:r>
    </w:p>
    <w:p>
      <w:pPr>
        <w:spacing w:after="220"/>
      </w:pPr>
      <w:r>
        <w:rPr>
          <w:rFonts w:ascii="Calibri" w:cs="Calibri" w:eastAsia="Calibri" w:hAnsi="Calibri"/>
          <w:b/>
          <w:bCs/>
          <w:color w:val="0F172A"/>
          <w:sz w:val="60"/>
          <w:szCs w:val="60"/>
        </w:rPr>
        <w:t xml:space="preserve">marco legal</w:t>
      </w:r>
    </w:p>
    <w:p>
      <w:pPr>
        <w:pBdr>
          <w:bottom w:val="single" w:color="0D9488" w:sz="24" w:space="1"/>
        </w:pBdr>
        <w:spacing w:after="300"/>
        <w:ind w:right="8340"/>
      </w:pPr>
    </w:p>
    <w:p>
      <w:pPr>
        <w:spacing w:after="120"/>
      </w:pPr>
      <w:r>
        <w:rPr>
          <w:rFonts w:ascii="Calibri" w:cs="Calibri" w:eastAsia="Calibri" w:hAnsi="Calibri"/>
          <w:color w:val="0D9488"/>
          <w:sz w:val="28"/>
          <w:szCs w:val="28"/>
        </w:rPr>
        <w:t xml:space="preserve">Marco legal y verificación previa del camino servicios web para la tramitación de licencias médicas</w:t>
      </w:r>
    </w:p>
    <w:p>
      <w:pPr>
        <w:spacing w:after="900" w:line="290"/>
      </w:pPr>
      <w:r>
        <w:rPr>
          <w:rFonts w:ascii="Calibri" w:cs="Calibri" w:eastAsia="Calibri" w:hAnsi="Calibri"/>
          <w:color w:val="64748B"/>
          <w:sz w:val="20"/>
          <w:szCs w:val="20"/>
        </w:rPr>
        <w:t xml:space="preserve">Qué permite y qué no la ley, marco legal de cada propuesta (costo cero, óptima y avanzada), seguridad y cumplimiento, qué hay que verificar antes de construir y requisitos para avanzar. Cómo funciona el camino está en los Informes 08.3 (general) y 08.3.2 (técnico); los montos, en el 08.3.3.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70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ORGANIZACIÓN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Dirección de Educación Pública (DEP)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UNIDAD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Subdepartamento de Gestión y Desarrollo de Personas para los SLEP (GDP-SLEP)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PROYECTO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GDP-SLEP Studio · Aplicación 2: Automatización de licencias médicas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TIPO DE INFORME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Informe de marco legal · Camino servicios web (canal oficial de FONASA)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ELABORADO POR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César Torres · Desarrollador (honorarios)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DIRIGIDO A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Claudia Manzano · Jefatura directa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PERÍODO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1 de octubre – 27 de noviembre de 2026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FECHA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23 de octubre de 2026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VERSIÓN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CLASIFICACIÓN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Uso interno</w:t>
            </w:r>
          </w:p>
        </w:tc>
      </w:tr>
    </w:tbl>
    <w:p>
      <w:pPr>
        <w:spacing w:after="400"/>
      </w:pPr>
    </w:p>
    <w:p>
      <w:pPr>
        <w:spacing w:line="270"/>
      </w:pPr>
      <w:r>
        <w:rPr>
          <w:color w:val="64748B"/>
          <w:sz w:val="16"/>
          <w:szCs w:val="16"/>
        </w:rPr>
        <w:t xml:space="preserve">Reúne las reglas legales, la seguridad y el cumplimiento y la verificación previa del camino servicios web. Lo acompañan los Informes 08.3 (general), 08.3.2 (técnico) y 08.3.3 (costos).</w:t>
      </w: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DOCUMENTO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ficha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Ficha del documento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0"/>
        <w:gridCol w:w="7340"/>
      </w:tblGrid>
      <w:tr>
        <w:trPr>
          <w:tblHeader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CAMPO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Título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Informe 08.3.1 — Camino servicios web (canal oficial de FONASA): marco legal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Serie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Informe de marco legal del camino servicios web. Complementa los Informes 08.3 (general) y 08.3.2 (técnico)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Objeto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Reunir lo que la ley permite y exige al camino, el marco legal de cada propuesta, los controles de seguridad y lo que hay que verificar antes de construir, dentro de los límites de los Informes 00 y 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Período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1 de octubre – 27 de noviembre de 2026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Elaborado por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César Torres, Desarrollador a honorarios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Dirigido a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Claudia Manzano, Jefatura directa · Subdepartamento GDP-SLEP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Condición previa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FONASA otorga el servicio por la Red de Interoperabilidad (DS 12/2023) + acuerdo formal. Plazo de referencia: 15 días hábiles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Informes relacionados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Informe 08.3 (general) · Informe 08.3.2 (técnico) · Informe 08.3.3 (costos) · Informe 08 (factibilidad) · Informe 00 (marco legal transversal) · Informe 08.5 (anexos)</w:t>
            </w:r>
          </w:p>
        </w:tc>
      </w:tr>
    </w:tbl>
    <w:p>
      <w:pPr>
        <w:spacing w:after="120" w:before="0" w:line="120"/>
      </w:pP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0F766E"/>
          <w:sz w:val="22"/>
          <w:szCs w:val="22"/>
        </w:rPr>
        <w:t xml:space="preserve">Lugar de este informe en la serie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30"/>
        <w:gridCol w:w="240"/>
        <w:gridCol w:w="2230"/>
        <w:gridCol w:w="240"/>
        <w:gridCol w:w="2230"/>
        <w:gridCol w:w="240"/>
        <w:gridCol w:w="2230"/>
      </w:tblGrid>
      <w:tr>
        <w:trPr>
          <w:cantSplit/>
        </w:trPr>
        <w:tc>
          <w:tcPr>
            <w:tcW w:type="dxa" w:w="2230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fill="F8FAFC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3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3"/>
                <w:szCs w:val="13"/>
              </w:rPr>
              <w:t xml:space="preserve">GENERAL</w:t>
            </w:r>
          </w:p>
          <w:p>
            <w:pPr>
              <w:spacing w:after="20" w:line="240"/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Informe 08.3</w:t>
            </w:r>
          </w:p>
          <w:p>
            <w:pPr>
              <w:spacing w:after="0" w:line="230"/>
              <w:jc w:val="left"/>
            </w:pPr>
            <w:r>
              <w:rPr>
                <w:color w:val="64748B"/>
                <w:sz w:val="14"/>
                <w:szCs w:val="14"/>
              </w:rPr>
              <w:t xml:space="preserve">Para entender el camino sin tecnicismos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"/>
              <w:bottom w:type="dxa" w:w="80"/>
              <w:right w:type="dxa" w:w="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26"/>
                <w:szCs w:val="26"/>
              </w:rPr>
              <w:t xml:space="preserve">→</w:t>
            </w:r>
          </w:p>
        </w:tc>
        <w:tc>
          <w:tcPr>
            <w:tcW w:type="dxa" w:w="2230"/>
            <w:tcBorders>
              <w:top w:val="single" w:color="0D9488" w:sz="12"/>
              <w:left w:val="single" w:color="0D9488" w:sz="12"/>
              <w:bottom w:val="single" w:color="0D9488" w:sz="12"/>
              <w:right w:val="single" w:color="0D9488" w:sz="12"/>
            </w:tcBorders>
            <w:shd w:fill="F0FD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3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3"/>
                <w:szCs w:val="13"/>
              </w:rPr>
              <w:t xml:space="preserve">ESTE DOCUMENTO</w:t>
            </w:r>
          </w:p>
          <w:p>
            <w:pPr>
              <w:spacing w:after="20" w:line="240"/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Informe 08.3.1</w:t>
            </w:r>
          </w:p>
          <w:p>
            <w:pPr>
              <w:spacing w:after="0" w:line="230"/>
              <w:jc w:val="left"/>
            </w:pPr>
            <w:r>
              <w:rPr>
                <w:color w:val="64748B"/>
                <w:sz w:val="14"/>
                <w:szCs w:val="14"/>
              </w:rPr>
              <w:t xml:space="preserve">Marco legal: ley, verificación y riesgos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"/>
              <w:bottom w:type="dxa" w:w="80"/>
              <w:right w:type="dxa" w:w="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26"/>
                <w:szCs w:val="26"/>
              </w:rPr>
              <w:t xml:space="preserve">→</w:t>
            </w:r>
          </w:p>
        </w:tc>
        <w:tc>
          <w:tcPr>
            <w:tcW w:type="dxa" w:w="2230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fill="F8FAFC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3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3"/>
                <w:szCs w:val="13"/>
              </w:rPr>
              <w:t xml:space="preserve">TÉCNICO</w:t>
            </w:r>
          </w:p>
          <w:p>
            <w:pPr>
              <w:spacing w:after="20" w:line="240"/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Informe 08.3.2</w:t>
            </w:r>
          </w:p>
          <w:p>
            <w:pPr>
              <w:spacing w:after="0" w:line="230"/>
              <w:jc w:val="left"/>
            </w:pPr>
            <w:r>
              <w:rPr>
                <w:color w:val="64748B"/>
                <w:sz w:val="14"/>
                <w:szCs w:val="14"/>
              </w:rPr>
              <w:t xml:space="preserve">Cómo se construye, en detalle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"/>
              <w:bottom w:type="dxa" w:w="80"/>
              <w:right w:type="dxa" w:w="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26"/>
                <w:szCs w:val="26"/>
              </w:rPr>
              <w:t xml:space="preserve">→</w:t>
            </w:r>
          </w:p>
        </w:tc>
        <w:tc>
          <w:tcPr>
            <w:tcW w:type="dxa" w:w="2230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fill="F8FAFC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3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3"/>
                <w:szCs w:val="13"/>
              </w:rPr>
              <w:t xml:space="preserve">COSTOS</w:t>
            </w:r>
          </w:p>
          <w:p>
            <w:pPr>
              <w:spacing w:after="20" w:line="240"/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Informe 08.3.3</w:t>
            </w:r>
          </w:p>
          <w:p>
            <w:pPr>
              <w:spacing w:after="0" w:line="230"/>
              <w:jc w:val="left"/>
            </w:pPr>
            <w:r>
              <w:rPr>
                <w:color w:val="64748B"/>
                <w:sz w:val="14"/>
                <w:szCs w:val="14"/>
              </w:rPr>
              <w:t xml:space="preserve">Cuánto cuesta cada propuesta</w:t>
            </w:r>
          </w:p>
        </w:tc>
      </w:tr>
    </w:tbl>
    <w:p>
      <w:pPr>
        <w:spacing w:after="200" w:before="80"/>
      </w:pPr>
      <w:r>
        <w:rPr>
          <w:rFonts w:ascii="Consolas" w:cs="Consolas" w:eastAsia="Consolas" w:hAnsi="Consolas"/>
          <w:b/>
          <w:bCs/>
          <w:color w:val="0D9488"/>
          <w:sz w:val="15"/>
          <w:szCs w:val="15"/>
        </w:rPr>
        <w:t xml:space="preserve">FIG. 1  </w:t>
      </w:r>
      <w:r>
        <w:rPr>
          <w:rFonts w:ascii="Calibri" w:cs="Calibri" w:eastAsia="Calibri" w:hAnsi="Calibri"/>
          <w:color w:val="64748B"/>
          <w:sz w:val="16"/>
          <w:szCs w:val="16"/>
        </w:rPr>
        <w:t xml:space="preserve">Este es el documento de marco legal del camino servicios web.</w:t>
      </w: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DOCUMENTO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índice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Índice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00"/>
        <w:gridCol w:w="874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01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Qué permite y qué no la ley</w:t>
            </w:r>
          </w:p>
          <w:p>
            <w:r>
              <w:rPr>
                <w:color w:val="64748B"/>
                <w:sz w:val="17"/>
                <w:szCs w:val="17"/>
              </w:rPr>
              <w:t xml:space="preserve">Las reglas, en lenguaje simple.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02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Marco legal por propuesta</w:t>
            </w:r>
          </w:p>
          <w:p>
            <w:r>
              <w:rPr>
                <w:color w:val="64748B"/>
                <w:sz w:val="17"/>
                <w:szCs w:val="17"/>
              </w:rPr>
              <w:t xml:space="preserve">Qué es factible y qué es riesgoso en cada propuesta, aspecto por aspecto.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03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Seguridad y cumplimiento</w:t>
            </w:r>
          </w:p>
          <w:p>
            <w:r>
              <w:rPr>
                <w:color w:val="64748B"/>
                <w:sz w:val="17"/>
                <w:szCs w:val="17"/>
              </w:rPr>
              <w:t xml:space="preserve">Controles frente a cada norma aplicable.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04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Qué hay que verificar</w:t>
            </w:r>
          </w:p>
          <w:p>
            <w:r>
              <w:rPr>
                <w:color w:val="64748B"/>
                <w:sz w:val="17"/>
                <w:szCs w:val="17"/>
              </w:rPr>
              <w:t xml:space="preserve">Lo que FONASA debe otorgar y confirmar antes de construir.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05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Conclusión y requisitos para avanzar</w:t>
            </w:r>
          </w:p>
          <w:p>
            <w:r>
              <w:rPr>
                <w:color w:val="64748B"/>
                <w:sz w:val="17"/>
                <w:szCs w:val="17"/>
              </w:rPr>
              <w:t xml:space="preserve">Por qué el marco legal condiciona el desarrollo en la DEP y los SLEP, y qué falta.</w:t>
            </w:r>
          </w:p>
        </w:tc>
      </w:tr>
    </w:tbl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01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reglas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Qué permite y qué no la ley</w:t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Este es el camino más cómodo frente a la ley, porque usa un canal que el propio Estado creó para que sus organismos se pasen datos. Aun así, aplican las mismas reglas de fondo sobre datos de salud y sueldos.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700"/>
        <w:gridCol w:w="5940"/>
      </w:tblGrid>
      <w:tr>
        <w:trPr>
          <w:tblHeader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REGLA</w:t>
            </w:r>
          </w:p>
        </w:tc>
        <w:tc>
          <w:tcPr>
            <w:tcW w:type="dxa" w:w="59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QUÉ SIGNIFICA PARA ESTE CAMINO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Hay que usar canales autorizados</w:t>
            </w:r>
          </w:p>
        </w:tc>
        <w:tc>
          <w:tcPr>
            <w:tcW w:type="dxa" w:w="5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6"/>
                <w:szCs w:val="16"/>
              </w:rPr>
              <w:t xml:space="preserve">El canal oficial de FONASA es, por definición, el más autorizado de todos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El empleador no puede ver el diagnóstico médico</w:t>
            </w:r>
          </w:p>
        </w:tc>
        <w:tc>
          <w:tcPr>
            <w:tcW w:type="dxa" w:w="5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6"/>
                <w:szCs w:val="16"/>
              </w:rPr>
              <w:t xml:space="preserve">El sistema nunca pide ni guarda esa parte de la licencia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El intercambio entre organismos tiene reglas propias</w:t>
            </w:r>
          </w:p>
        </w:tc>
        <w:tc>
          <w:tcPr>
            <w:tcW w:type="dxa" w:w="5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6"/>
                <w:szCs w:val="16"/>
              </w:rPr>
              <w:t xml:space="preserve">Se usa el acuerdo formal que exige la Red de Interoperabilidad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Los datos deben estar protegidos y en Chile</w:t>
            </w:r>
          </w:p>
        </w:tc>
        <w:tc>
          <w:tcPr>
            <w:tcW w:type="dxa" w:w="5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6"/>
                <w:szCs w:val="16"/>
              </w:rPr>
              <w:t xml:space="preserve">La IA funciona dentro de la DEP; nada se manda a internet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Una persona debe decidir</w:t>
            </w:r>
          </w:p>
        </w:tc>
        <w:tc>
          <w:tcPr>
            <w:tcW w:type="dxa" w:w="5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6"/>
                <w:szCs w:val="16"/>
              </w:rPr>
              <w:t xml:space="preserve">El envío siempre lo aprueba el encargado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6"/>
                <w:szCs w:val="16"/>
              </w:rPr>
              <w:t xml:space="preserve">La IA en la nube nunca recibe datos personales</w:t>
            </w:r>
          </w:p>
        </w:tc>
        <w:tc>
          <w:tcPr>
            <w:tcW w:type="dxa" w:w="5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Claude solo se usa para normativa, redacción y código; los datos de licencias, de salud y de remuneraciones quedan en la IA local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6"/>
                <w:szCs w:val="16"/>
              </w:rPr>
              <w:t xml:space="preserve">El plazo de tramitación es legal: 3 días hábiles</w:t>
            </w:r>
          </w:p>
        </w:tc>
        <w:tc>
          <w:tcPr>
            <w:tcW w:type="dxa" w:w="5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El sistema calcula el vencimiento de cada licencia y alerta antes; ninguna debe quedar fuera de plazo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6"/>
                <w:szCs w:val="16"/>
              </w:rPr>
              <w:t xml:space="preserve">Solo se usan los datos que pide la zona C</w:t>
            </w:r>
          </w:p>
        </w:tc>
        <w:tc>
          <w:tcPr>
            <w:tcW w:type="dxa" w:w="5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Del ERP se toman únicamente los haberes que exige FONASA; nada más se copia ni se guarda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6"/>
                <w:szCs w:val="16"/>
              </w:rPr>
              <w:t xml:space="preserve">Cada SLEP responde por los datos de su personal</w:t>
            </w:r>
          </w:p>
        </w:tc>
        <w:tc>
          <w:tcPr>
            <w:tcW w:type="dxa" w:w="5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El SLEP es el empleador y decide; la DEP entrega la herramienta y opera solo lo que se le encargue formalmente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6"/>
                <w:szCs w:val="16"/>
              </w:rPr>
              <w:t xml:space="preserve">Antes de usar datos reales, evaluación de impacto</w:t>
            </w:r>
          </w:p>
        </w:tc>
        <w:tc>
          <w:tcPr>
            <w:tcW w:type="dxa" w:w="5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Con la Ley 21.719 vigente desde el 1 de diciembre de 2026, el piloto con datos reales exige esa evaluación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6"/>
                <w:szCs w:val="16"/>
              </w:rPr>
              <w:t xml:space="preserve">Todo queda registrado, sin datos clínicos</w:t>
            </w:r>
          </w:p>
        </w:tc>
        <w:tc>
          <w:tcPr>
            <w:tcW w:type="dxa" w:w="5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Cada acción deja constancia de quién, cuándo y qué hizo, para auditoría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6"/>
                <w:szCs w:val="16"/>
              </w:rPr>
              <w:t xml:space="preserve">Los incidentes se informan en plazo</w:t>
            </w:r>
          </w:p>
        </w:tc>
        <w:tc>
          <w:tcPr>
            <w:tcW w:type="dxa" w:w="5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Una filtración o una caída se reporta según el protocolo de la Ley 21.663 (3 horas, 72 horas y 15 días)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6"/>
                <w:szCs w:val="16"/>
              </w:rPr>
              <w:t xml:space="preserve">El código es de la institución</w:t>
            </w:r>
          </w:p>
        </w:tc>
        <w:tc>
          <w:tcPr>
            <w:tcW w:type="dxa" w:w="5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Se formaliza la cesión de derechos del código para que la DEP pueda usarlo, cambiarlo y mantenerlo</w:t>
            </w:r>
          </w:p>
        </w:tc>
      </w:tr>
    </w:tbl>
    <w:p>
      <w:pPr>
        <w:spacing w:after="120" w:before="0" w:line="120"/>
      </w:pP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40"/>
      </w:tblGrid>
      <w:tr>
        <w:trPr>
          <w:cantSplit/>
        </w:trPr>
        <w:tc>
          <w:tcPr>
            <w:tcW w:type="dxa" w:w="9640"/>
            <w:tcBorders>
              <w:top w:val="none" w:color="FFFFFF" w:sz="0"/>
              <w:left w:val="single" w:color="0D9488" w:sz="24"/>
              <w:bottom w:val="none" w:color="FFFFFF" w:sz="0"/>
              <w:right w:val="none" w:color="FFFFFF" w:sz="0"/>
            </w:tcBorders>
            <w:shd w:fill="F0FDFA" w:color="auto" w:val="clear"/>
            <w:tcMar>
              <w:top w:type="dxa" w:w="110"/>
              <w:left w:type="dxa" w:w="220"/>
              <w:bottom w:type="dxa" w:w="11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EN UNA FRASE</w:t>
            </w:r>
          </w:p>
          <w:p>
            <w:pPr>
              <w:spacing w:after="50" w:line="260"/>
            </w:pPr>
            <w:r>
              <w:rPr>
                <w:color w:val="334155"/>
                <w:sz w:val="19"/>
                <w:szCs w:val="19"/>
              </w:rPr>
              <w:t xml:space="preserve">Es el camino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más fácil de defender legalmente</w:t>
            </w:r>
            <w:r>
              <w:rPr>
                <w:color w:val="334155"/>
                <w:sz w:val="19"/>
                <w:szCs w:val="19"/>
              </w:rPr>
              <w:t xml:space="preserve">: usa el canal oficial del Estado, con acuerdo formal, sin tocar el diagnóstico y con una persona que aprueba. El detalle legal de cada propuesta está en la sección 02.</w:t>
            </w:r>
          </w:p>
        </w:tc>
      </w:tr>
    </w:tbl>
    <w:p>
      <w:pPr>
        <w:spacing w:after="140" w:before="0" w:line="120"/>
      </w:pP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02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legal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Marco legal por propuesta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3"/>
        <w:gridCol w:w="3213"/>
        <w:gridCol w:w="3214"/>
      </w:tblGrid>
      <w:tr>
        <w:trPr>
          <w:cantSplit/>
        </w:trPr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POR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Las tres propuestas comparten el canal oficial; difieren solo en compras y ubicación de respaldos.</w:t>
            </w:r>
          </w:p>
        </w:tc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PARA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Mostrar, para cada propuesta, qué es factible, qué es riesgoso y por qué.</w:t>
            </w:r>
          </w:p>
        </w:tc>
        <w:tc>
          <w:tcPr>
            <w:tcW w:type="dxa" w:w="3214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CÓMO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Tabla aspecto × propuesta con semáforo, a partir del Informe 00 y la sección 03.</w:t>
            </w:r>
          </w:p>
        </w:tc>
      </w:tr>
    </w:tbl>
    <w:p>
      <w:pPr>
        <w:spacing w:after="140" w:before="0" w:line="120"/>
      </w:pP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100"/>
        <w:gridCol w:w="2510"/>
        <w:gridCol w:w="2510"/>
        <w:gridCol w:w="2520"/>
      </w:tblGrid>
      <w:tr>
        <w:trPr>
          <w:tblHeader/>
        </w:trPr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ASPECTO Y NORMA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803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WS1 · COSTO CERO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948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WS2 · ÓPTIMA</w:t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4530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WS3 · AVANZADA</w:t>
            </w:r>
          </w:p>
        </w:tc>
      </w:tr>
      <w:tr>
        <w:trPr>
          <w:cantSplit/>
        </w:trP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 w:line="236"/>
            </w:pPr>
            <w:r>
              <w:rPr>
                <w:b/>
                <w:bCs/>
                <w:color w:val="0F172A"/>
                <w:sz w:val="14"/>
                <w:szCs w:val="14"/>
              </w:rPr>
              <w:t xml:space="preserve">Canal y autorización</w:t>
            </w:r>
          </w:p>
          <w:p>
            <w:pPr>
              <w:spacing w:after="30" w:line="236"/>
            </w:pPr>
            <w:r>
              <w:rPr>
                <w:color w:val="334155"/>
                <w:sz w:val="14"/>
                <w:szCs w:val="14"/>
              </w:rPr>
              <w:t xml:space="preserve">DS 12/2023 · Ley 21.459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0FDF4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Viable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Canal oficial otorgado por FONASA: acceso autorizado por definición.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0FDFA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Viable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Igual que WS1.</w:t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FFBEB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Viable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Igual que WS1.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 w:line="236"/>
            </w:pPr>
            <w:r>
              <w:rPr>
                <w:b/>
                <w:bCs/>
                <w:color w:val="0F172A"/>
                <w:sz w:val="14"/>
                <w:szCs w:val="14"/>
              </w:rPr>
              <w:t xml:space="preserve">Otorgamiento del servicio</w:t>
            </w:r>
          </w:p>
          <w:p>
            <w:pPr>
              <w:spacing w:after="30" w:line="236"/>
            </w:pPr>
            <w:r>
              <w:rPr>
                <w:color w:val="334155"/>
                <w:sz w:val="14"/>
                <w:szCs w:val="14"/>
              </w:rPr>
              <w:t xml:space="preserve">Red de Interoperabilidad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0FDF4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Requisito de plazo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Depende de que FONASA lo otorgue (≈ 15 días hábiles); no es un riesgo de viabilidad sino de tiempo.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0FDFA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Requisito de plazo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Igual que WS1.</w:t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FFBEB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Requisito de plazo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Igual que WS1.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 w:line="236"/>
            </w:pPr>
            <w:r>
              <w:rPr>
                <w:b/>
                <w:bCs/>
                <w:color w:val="0F172A"/>
                <w:sz w:val="14"/>
                <w:szCs w:val="14"/>
              </w:rPr>
              <w:t xml:space="preserve">ClaveÚnica</w:t>
            </w:r>
          </w:p>
          <w:p>
            <w:pPr>
              <w:spacing w:after="30" w:line="236"/>
            </w:pPr>
            <w:r>
              <w:rPr>
                <w:color w:val="334155"/>
                <w:sz w:val="14"/>
                <w:szCs w:val="14"/>
              </w:rPr>
              <w:t xml:space="preserve">Res. Ex. 733/2025 §6.5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0FDF4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Viable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Se usan credenciales de servicio, no la ClaveÚnica de personas.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0FDFA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Viable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Igual que WS1.</w:t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FFBEB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Viable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Igual que WS1.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 w:line="236"/>
            </w:pPr>
            <w:r>
              <w:rPr>
                <w:b/>
                <w:bCs/>
                <w:color w:val="0F172A"/>
                <w:sz w:val="14"/>
                <w:szCs w:val="14"/>
              </w:rPr>
              <w:t xml:space="preserve">Datos clínicos</w:t>
            </w:r>
          </w:p>
          <w:p>
            <w:pPr>
              <w:spacing w:after="30" w:line="236"/>
            </w:pPr>
            <w:r>
              <w:rPr>
                <w:color w:val="334155"/>
                <w:sz w:val="14"/>
                <w:szCs w:val="14"/>
              </w:rPr>
              <w:t xml:space="preserve">Ley 19.628 · SUSESO 3779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0FDF4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Viable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Lista blanca de campos; nunca se consulta la zona A.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0FDFA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Viable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Igual que WS1.</w:t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FFBEB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Viable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Igual que WS1.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 w:line="236"/>
            </w:pPr>
            <w:r>
              <w:rPr>
                <w:b/>
                <w:bCs/>
                <w:color w:val="0F172A"/>
                <w:sz w:val="14"/>
                <w:szCs w:val="14"/>
              </w:rPr>
              <w:t xml:space="preserve">IA sobre datos</w:t>
            </w:r>
          </w:p>
          <w:p>
            <w:pPr>
              <w:spacing w:after="30" w:line="236"/>
            </w:pPr>
            <w:r>
              <w:rPr>
                <w:color w:val="334155"/>
                <w:sz w:val="14"/>
                <w:szCs w:val="14"/>
              </w:rPr>
              <w:t xml:space="preserve">Ley 21.719 · CPLT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0FDF4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Viable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Modelo local; datos seudonimizados; la IA propone, la persona decide.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0FDFA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Viable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Igual que WS1.</w:t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FFBEB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Viable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Igual que WS1; la IA avanzada sigue siendo local.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 w:line="236"/>
            </w:pPr>
            <w:r>
              <w:rPr>
                <w:b/>
                <w:bCs/>
                <w:color w:val="0F172A"/>
                <w:sz w:val="14"/>
                <w:szCs w:val="14"/>
              </w:rPr>
              <w:t xml:space="preserve">Ubicación de los datos</w:t>
            </w:r>
          </w:p>
          <w:p>
            <w:pPr>
              <w:spacing w:after="30" w:line="236"/>
            </w:pPr>
            <w:r>
              <w:rPr>
                <w:color w:val="334155"/>
                <w:sz w:val="14"/>
                <w:szCs w:val="14"/>
              </w:rPr>
              <w:t xml:space="preserve">Ley 21.719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0FDF4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Viable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Todo en el servidor de TI, en Chile.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0FDFA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Viable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Servidor y estación en la DEP.</w:t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FFBEB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Con condiciones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Respaldo en </w:t>
            </w:r>
            <w:r>
              <w:rPr>
                <w:b/>
                <w:bCs/>
                <w:color w:val="0F172A"/>
                <w:sz w:val="14"/>
                <w:szCs w:val="14"/>
              </w:rPr>
              <w:t xml:space="preserve">Azure Chile Central</w:t>
            </w:r>
            <w:r>
              <w:rPr>
                <w:color w:val="334155"/>
                <w:sz w:val="14"/>
                <w:szCs w:val="14"/>
              </w:rPr>
              <w:t xml:space="preserve">: en Chile, pero proveedor externo; contrato de tratamiento y cifrado.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 w:line="236"/>
            </w:pPr>
            <w:r>
              <w:rPr>
                <w:b/>
                <w:bCs/>
                <w:color w:val="0F172A"/>
                <w:sz w:val="14"/>
                <w:szCs w:val="14"/>
              </w:rPr>
              <w:t xml:space="preserve">Compras públicas</w:t>
            </w:r>
          </w:p>
          <w:p>
            <w:pPr>
              <w:spacing w:after="30" w:line="236"/>
            </w:pPr>
            <w:r>
              <w:rPr>
                <w:color w:val="334155"/>
                <w:sz w:val="14"/>
                <w:szCs w:val="14"/>
              </w:rPr>
              <w:t xml:space="preserve">Ley 19.886 (mod. 21.634)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0FDF4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Viable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Sin compras.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0FDFA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Con condiciones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La estación básica cabe en </w:t>
            </w:r>
            <w:r>
              <w:rPr>
                <w:b/>
                <w:bCs/>
                <w:color w:val="0F172A"/>
                <w:sz w:val="14"/>
                <w:szCs w:val="14"/>
              </w:rPr>
              <w:t xml:space="preserve">compra ágil</w:t>
            </w:r>
            <w:r>
              <w:rPr>
                <w:color w:val="334155"/>
                <w:sz w:val="14"/>
                <w:szCs w:val="14"/>
              </w:rPr>
              <w:t xml:space="preserve"> (bajo 100 UTM).</w:t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FFBEB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Riesgoso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Estación avanzada sobre 100 UTM: </w:t>
            </w:r>
            <w:r>
              <w:rPr>
                <w:b/>
                <w:bCs/>
                <w:color w:val="0F172A"/>
                <w:sz w:val="14"/>
                <w:szCs w:val="14"/>
              </w:rPr>
              <w:t xml:space="preserve">convenio marco o licitación</w:t>
            </w:r>
            <w:r>
              <w:rPr>
                <w:color w:val="334155"/>
                <w:sz w:val="14"/>
                <w:szCs w:val="14"/>
              </w:rPr>
              <w:t xml:space="preserve">; más el servicio de Azure.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 w:line="236"/>
            </w:pPr>
            <w:r>
              <w:rPr>
                <w:b/>
                <w:bCs/>
                <w:color w:val="0F172A"/>
                <w:sz w:val="14"/>
                <w:szCs w:val="14"/>
              </w:rPr>
              <w:t xml:space="preserve">Seguridad de la información</w:t>
            </w:r>
          </w:p>
          <w:p>
            <w:pPr>
              <w:spacing w:after="30" w:line="236"/>
            </w:pPr>
            <w:r>
              <w:rPr>
                <w:color w:val="334155"/>
                <w:sz w:val="14"/>
                <w:szCs w:val="14"/>
              </w:rPr>
              <w:t xml:space="preserve">DS 7/2023 · Ley 21.663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0FDF4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Con condiciones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Secretos cifrados; sin alta disponibilidad: el respaldo es el proceso manual.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0FDFA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Viable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Almacén de secretos y monitoreo.</w:t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FFBEB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Viable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Alta disponibilidad, eventos de seguridad y prueba de penetración.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 w:line="236"/>
            </w:pPr>
            <w:r>
              <w:rPr>
                <w:b/>
                <w:bCs/>
                <w:color w:val="0F172A"/>
                <w:sz w:val="14"/>
                <w:szCs w:val="14"/>
              </w:rPr>
              <w:t xml:space="preserve">IA en la nube (Claude)</w:t>
            </w:r>
          </w:p>
          <w:p>
            <w:pPr>
              <w:spacing w:after="30" w:line="236"/>
            </w:pPr>
            <w:r>
              <w:rPr>
                <w:color w:val="334155"/>
                <w:sz w:val="14"/>
                <w:szCs w:val="14"/>
              </w:rPr>
              <w:t xml:space="preserve">Ley 19.628 · Ley 21.719 (transferencia internacional)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0FDF4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color w:val="15803D"/>
                <w:sz w:val="15"/>
                <w:szCs w:val="15"/>
              </w:rPr>
              <w:t xml:space="preserve">● Viable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No se usa: toda la IA corre dentro de la DEP.</w:t>
            </w:r>
          </w:p>
        </w:tc>
        <w:tc>
          <w:tcPr>
            <w:tcW w:type="dxa" w:w="251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0FDFA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color w:val="B45309"/>
                <w:sz w:val="15"/>
                <w:szCs w:val="15"/>
              </w:rPr>
              <w:t xml:space="preserve">● Con condiciones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Solo tareas sin datos personales, con un plan que no entrena modelos con los datos de la institución.</w:t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val="clear" w:color="auto" w:fill="FFFBEB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color w:val="B45309"/>
                <w:sz w:val="15"/>
                <w:szCs w:val="15"/>
              </w:rPr>
              <w:t xml:space="preserve">● Con condiciones</w:t>
            </w:r>
          </w:p>
          <w:p>
            <w:pPr>
              <w:spacing w:after="20" w:line="236"/>
            </w:pPr>
            <w:r>
              <w:rPr>
                <w:color w:val="334155"/>
                <w:sz w:val="14"/>
                <w:szCs w:val="14"/>
              </w:rPr>
              <w:t xml:space="preserve">Además, la API pasa por una pasarela que bloquea datos personales y registra lo enviado.</w:t>
            </w:r>
          </w:p>
        </w:tc>
      </w:tr>
    </w:tbl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03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cumplimiento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Seguridad y cumplimiento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3"/>
        <w:gridCol w:w="3213"/>
        <w:gridCol w:w="3214"/>
      </w:tblGrid>
      <w:tr>
        <w:trPr>
          <w:cantSplit/>
        </w:trPr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POR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El camino usa un canal oficial: cada control del diseño responde a una norma, y el canal mismo es una garantía.</w:t>
            </w:r>
          </w:p>
        </w:tc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PARA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Mostrar cómo cada control responde a una exigencia legal.</w:t>
            </w:r>
          </w:p>
        </w:tc>
        <w:tc>
          <w:tcPr>
            <w:tcW w:type="dxa" w:w="3214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CÓMO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Matriz norma → exigencia → control, a partir de los Informes 00 y 08.</w:t>
            </w:r>
          </w:p>
        </w:tc>
      </w:tr>
    </w:tbl>
    <w:p>
      <w:pPr>
        <w:spacing w:after="140" w:before="0" w:line="120"/>
      </w:pP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700"/>
        <w:gridCol w:w="3000"/>
        <w:gridCol w:w="3940"/>
      </w:tblGrid>
      <w:tr>
        <w:trPr>
          <w:tblHeader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NORMA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EXIGENCIA</w:t>
            </w:r>
          </w:p>
        </w:tc>
        <w:tc>
          <w:tcPr>
            <w:tcW w:type="dxa" w:w="39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CONTROL EN EL CONECTOR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DS 12/2023 (Red de Interoperabilidad)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Intercambio entre organismos por el canal oficial, con acuerdo</w:t>
            </w:r>
          </w:p>
        </w:tc>
        <w:tc>
          <w:tcPr>
            <w:tcW w:type="dxa" w:w="3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Solicitud formal del servicio y acuerdo entre instituciones; credenciales de servicio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Res. Ex. 733/2025 §6.5 (ClaveÚnica)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No automatizar ni almacenar la ClaveÚnica</w:t>
            </w:r>
          </w:p>
        </w:tc>
        <w:tc>
          <w:tcPr>
            <w:tcW w:type="dxa" w:w="3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Se usan credenciales de servicio institucionales, no la ClaveÚnica de personas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Ley 21.459 (delitos informáticos)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Acceso autorizado</w:t>
            </w:r>
          </w:p>
        </w:tc>
        <w:tc>
          <w:tcPr>
            <w:tcW w:type="dxa" w:w="3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Canal oficial, otorgado por FONASA: acceso autorizado por definición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Ley 19.628 · Circular SUSESO 3779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Diagnóstico vedado al empleador</w:t>
            </w:r>
          </w:p>
        </w:tc>
        <w:tc>
          <w:tcPr>
            <w:tcW w:type="dxa" w:w="3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El conector no consulta ni guarda la zona A; lista blanca de campos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Ley 21.719 (desde 1-dic-2026)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Minimización, seguridad, evaluación de impacto</w:t>
            </w:r>
          </w:p>
        </w:tc>
        <w:tc>
          <w:tcPr>
            <w:tcW w:type="dxa" w:w="3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Solo datos de la zona C; seudonimización para la IA; datos en Chile; evaluación previa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DS 7/2023 · Ley 21.663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Control de acceso, secretos, incidentes</w:t>
            </w:r>
          </w:p>
        </w:tc>
        <w:tc>
          <w:tcPr>
            <w:tcW w:type="dxa" w:w="3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Almacén de secretos; registro de cada invocación; protocolo de incidentes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Supervisión humana de IA (CPLT)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Transparencia y decisión humana</w:t>
            </w:r>
          </w:p>
        </w:tc>
        <w:tc>
          <w:tcPr>
            <w:tcW w:type="dxa" w:w="3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La IA propone; el envío lo aprueba una persona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IA en la nube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Ningún dato personal sale de la DEP</w:t>
            </w:r>
          </w:p>
        </w:tc>
        <w:tc>
          <w:tcPr>
            <w:tcW w:type="dxa" w:w="39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Uso limitado a tareas sin datos personales; en la propuesta avanzada, pasarela que filtra RUT, nombres y datos de salud y deja registro de lo enviado</w:t>
            </w:r>
          </w:p>
        </w:tc>
      </w:tr>
    </w:tbl>
    <w:p>
      <w:pPr>
        <w:spacing w:after="120" w:before="0" w:line="120"/>
      </w:pP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00"/>
        <w:gridCol w:w="7640"/>
      </w:tblGrid>
      <w:tr>
        <w:trPr>
          <w:tblHeader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RESULTADO</w:t>
            </w:r>
          </w:p>
        </w:tc>
        <w:tc>
          <w:tcPr>
            <w:tcW w:type="dxa" w:w="7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FUNDAMENTO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● Cumple</w:t>
            </w:r>
          </w:p>
        </w:tc>
        <w:tc>
          <w:tcPr>
            <w:tcW w:type="dxa" w:w="76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Es el camino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más alineado con la norma</w:t>
            </w: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: usa el canal que el propio Estado creó para el intercambio entre organismos, con acuerdo formal, sin ClaveÚnica de personas y sin tocar el diagnóstico. Queda sujeto solo al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otorgamiento del servicio</w:t>
            </w: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 y a la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evaluación de impacto</w:t>
            </w: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.</w:t>
            </w:r>
          </w:p>
        </w:tc>
      </w:tr>
    </w:tbl>
    <w:p>
      <w:pPr>
        <w:spacing w:after="120" w:before="0" w:line="120"/>
      </w:pP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04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por confirmar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Qué hay que verificar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3"/>
        <w:gridCol w:w="3213"/>
        <w:gridCol w:w="3214"/>
      </w:tblGrid>
      <w:tr>
        <w:trPr>
          <w:cantSplit/>
        </w:trPr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POR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En este camino la verificación es de gestión y de contrato: qué otorga FONASA y en qué condiciones.</w:t>
            </w:r>
          </w:p>
        </w:tc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PARA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Dejar la lista de comprobaciones, su método y su consecuencia.</w:t>
            </w:r>
          </w:p>
        </w:tc>
        <w:tc>
          <w:tcPr>
            <w:tcW w:type="dxa" w:w="3214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CÓMO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Es requisito de salida del diagnóstico (sección 09 del Informe 08.3.2); la solicitud se ingresa el primer día.</w:t>
            </w:r>
          </w:p>
        </w:tc>
      </w:tr>
    </w:tbl>
    <w:p>
      <w:pPr>
        <w:spacing w:after="140" w:before="0" w:line="120"/>
      </w:pP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Este camino no tiene grandes dudas técnicas ni legales: el canal existe, es oficial y es gratuito entre organismos del Estado. Lo que hay que verificar es sobre todo de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gestión y plazo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: que FONASA efectivamente otorgue el servicio y en qué condiciones.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100"/>
        <w:gridCol w:w="3200"/>
        <w:gridCol w:w="2740"/>
      </w:tblGrid>
      <w:tr>
        <w:trPr>
          <w:tblHeader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#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QUÉ VERIFICAR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CÓMO (MÉTODO)</w:t>
            </w:r>
          </w:p>
        </w:tc>
        <w:tc>
          <w:tcPr>
            <w:tcW w:type="dxa" w:w="27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SI FALLA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4"/>
                <w:szCs w:val="14"/>
              </w:rPr>
              <w:t xml:space="preserve">V1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Que FONASA otorgue el servicio de licencias por la Red de Interoperabilidad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Solicitud formal (Gestor de Solicitudes, DS 12/2023)</w:t>
            </w:r>
          </w:p>
        </w:tc>
        <w:tc>
          <w:tcPr>
            <w:tcW w:type="dxa" w:w="2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El piloto parte por otro camino; este se incorpora al otorgarse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4"/>
                <w:szCs w:val="14"/>
              </w:rPr>
              <w:t xml:space="preserve">V2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Plazo real del otorgamiento (referencia: 15 días hábiles)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Seguimiento de la solicitud</w:t>
            </w:r>
          </w:p>
        </w:tc>
        <w:tc>
          <w:tcPr>
            <w:tcW w:type="dxa" w:w="2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Ajusta el calendario; puede exceder el piloto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4"/>
                <w:szCs w:val="14"/>
              </w:rPr>
              <w:t xml:space="preserve">V3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Operaciones que ofrece el servicio y sus campos (consulta, envío, acuse)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Documentación técnica que entrega FONASA al otorgar</w:t>
            </w:r>
          </w:p>
        </w:tc>
        <w:tc>
          <w:tcPr>
            <w:tcW w:type="dxa" w:w="2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Ajusta el conector; si solo permite consultar, el envío se combina con otro camino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4"/>
                <w:szCs w:val="14"/>
              </w:rPr>
              <w:t xml:space="preserve">V4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Si el servicio cubre el envío de la zona C o solo la consulta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Documentación técnica de FONASA</w:t>
            </w:r>
          </w:p>
        </w:tc>
        <w:tc>
          <w:tcPr>
            <w:tcW w:type="dxa" w:w="2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Si solo consulta, se usa el camino mixto para el envío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4"/>
                <w:szCs w:val="14"/>
              </w:rPr>
              <w:t xml:space="preserve">V5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Formato de las credenciales de servicio y su renovación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Documentación técnica de FONASA</w:t>
            </w:r>
          </w:p>
        </w:tc>
        <w:tc>
          <w:tcPr>
            <w:tcW w:type="dxa" w:w="2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Ajusta el almacén de secretos y la operación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4"/>
                <w:szCs w:val="14"/>
              </w:rPr>
              <w:t xml:space="preserve">V6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Acuerdo o convenio formal requerido y quién lo firma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Jurídica DEP + FONASA</w:t>
            </w:r>
          </w:p>
        </w:tc>
        <w:tc>
          <w:tcPr>
            <w:tcW w:type="dxa" w:w="2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Sin acuerdo no se habilita el servicio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4"/>
                <w:szCs w:val="14"/>
              </w:rPr>
              <w:t xml:space="preserve">V7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Origen y formato de las remuneraciones de cada SLEP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Levantamiento a los SLEP</w:t>
            </w:r>
          </w:p>
        </w:tc>
        <w:tc>
          <w:tcPr>
            <w:tcW w:type="dxa" w:w="2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Sin esto no se prepara la zona C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4"/>
                <w:szCs w:val="14"/>
              </w:rPr>
              <w:t xml:space="preserve">V9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Capacidad de integración del ERP del SLEP (Proexsi en el piloto): API, servicio web, archivo o solo pantalla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Consulta al proveedor + prueba en el SLEP piloto</w:t>
            </w:r>
          </w:p>
        </w:tc>
        <w:tc>
          <w:tcPr>
            <w:tcW w:type="dxa" w:w="2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Si solo hay pantalla, el conector del ERP se hace con robot asistido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4"/>
                <w:szCs w:val="14"/>
              </w:rPr>
              <w:t xml:space="preserve">V10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Formato de los haberes que entrega el ERP y su correspondencia con los campos de la zona C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Levantamiento con Remuneraciones del SLEP</w:t>
            </w:r>
          </w:p>
        </w:tc>
        <w:tc>
          <w:tcPr>
            <w:tcW w:type="dxa" w:w="2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Ajusta el mapeo; sin esto no se prellena la zona C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4"/>
                <w:szCs w:val="14"/>
              </w:rPr>
              <w:t xml:space="preserve">V11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Si el ERP acepta escritura masiva/por lote de la licencia y con qué credenciales de servicio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Consulta al proveedor y a TI del SLEP</w:t>
            </w:r>
          </w:p>
        </w:tc>
        <w:tc>
          <w:tcPr>
            <w:tcW w:type="dxa" w:w="2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Define si el ahorro es por lote; nunca se usan claves de personas</w:t>
            </w:r>
          </w:p>
        </w:tc>
      </w:tr>
    </w:tbl>
    <w:p>
      <w:pPr>
        <w:spacing w:after="120" w:before="0" w:line="120"/>
      </w:pP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40"/>
      </w:tblGrid>
      <w:tr>
        <w:trPr>
          <w:cantSplit/>
        </w:trPr>
        <w:tc>
          <w:tcPr>
            <w:tcW w:type="dxa" w:w="9640"/>
            <w:tcBorders>
              <w:top w:val="none" w:color="FFFFFF" w:sz="0"/>
              <w:left w:val="single" w:color="B45309" w:sz="24"/>
              <w:bottom w:val="none" w:color="FFFFFF" w:sz="0"/>
              <w:right w:val="none" w:color="FFFFFF" w:sz="0"/>
            </w:tcBorders>
            <w:shd w:fill="FFFBEB" w:color="auto" w:val="clear"/>
            <w:tcMar>
              <w:top w:type="dxa" w:w="110"/>
              <w:left w:type="dxa" w:w="220"/>
              <w:bottom w:type="dxa" w:w="11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B45309"/>
                <w:spacing w:val="20"/>
                <w:sz w:val="15"/>
                <w:szCs w:val="15"/>
              </w:rPr>
              <w:t xml:space="preserve">REGLA DE SALIDA DEL DIAGNÓSTICO</w:t>
            </w:r>
          </w:p>
          <w:p>
            <w:pPr>
              <w:spacing w:after="50" w:line="260"/>
            </w:pPr>
            <w:r>
              <w:rPr>
                <w:color w:val="334155"/>
                <w:sz w:val="19"/>
                <w:szCs w:val="19"/>
              </w:rPr>
              <w:t xml:space="preserve">La solicitud a FONASA (V1) se ingresa el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primer día</w:t>
            </w:r>
            <w:r>
              <w:rPr>
                <w:color w:val="334155"/>
                <w:sz w:val="19"/>
                <w:szCs w:val="19"/>
              </w:rPr>
              <w:t xml:space="preserve">, porque su plazo marca el calendario. La construcción empieza cuando el servicio está otorgado (V1) y su contrato confirmado (V3–V5). Si al cierre del período el servicio no llega, el camino queda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listo para incorporarse</w:t>
            </w:r>
            <w:r>
              <w:rPr>
                <w:color w:val="334155"/>
                <w:sz w:val="19"/>
                <w:szCs w:val="19"/>
              </w:rPr>
              <w:t xml:space="preserve"> apenas FONASA lo otorgue, y el piloto avanza por otra vía.</w:t>
            </w:r>
          </w:p>
        </w:tc>
      </w:tr>
    </w:tbl>
    <w:p>
      <w:pPr>
        <w:spacing w:after="140" w:before="0" w:line="120"/>
      </w:pP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05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cierre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Conclusión y requisitos para avanzar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3"/>
        <w:gridCol w:w="3213"/>
        <w:gridCol w:w="3214"/>
      </w:tblGrid>
      <w:tr>
        <w:trPr>
          <w:cantSplit/>
        </w:trPr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POR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En el sector público, un desarrollo solo es viable si tiene base legal: el Estado hace únicamente lo que la ley le permite.</w:t>
            </w:r>
          </w:p>
        </w:tc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PARA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Explicar por qué el marco legal condiciona el camino servicios web en la DEP y en los SLEP, y qué falta para avanzar.</w:t>
            </w:r>
          </w:p>
        </w:tc>
        <w:tc>
          <w:tcPr>
            <w:tcW w:type="dxa" w:w="3214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CÓMO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Principios del sector público, relación DEP–SLEP y requisitos con su responsable y estado.</w:t>
            </w:r>
          </w:p>
        </w:tc>
      </w:tr>
    </w:tbl>
    <w:p>
      <w:pPr>
        <w:spacing w:after="140" w:before="0" w:line="120"/>
      </w:pP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En una institución pública, el marco legal no es un trámite posterior al desarrollo: lo define. Por el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principio de legalidad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 (artículos 6 y 7 de la Constitución), los órganos del Estado solo actúan dentro de su competencia y en la forma que fija la ley. Por eso cada tratamiento de datos, cada uso de un portal de terceros y cada compra deben tener fundamento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antes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 de construir, no después.</w:t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La DEP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coordina y apoya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, pero no reemplaza a los SLEP: cada Servicio Local de Educación Pública es un servicio público descentralizado, con personalidad jurídica y patrimonio propios (Ley 21.040), y es el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empleador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 de su personal. Es cada SLEP —no la DEP— quien tramita las licencias de sus trabajadores, responde por esos datos ante FONASA y decide adoptar la solución. GDP-SLEP Studio entrega la herramienta y las reglas comunes; si los datos pasan por servidores de la DEP, esa relación debe formalizarse con cada SLEP.</w:t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El camino de servicios web es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el más limpio legalmente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 de la Fase 2. Lo que falta para construir no es una autorización discutible, sino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trámites con plazo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: el otorgamiento del servicio, el acuerdo formal con sus credenciales y la evaluación de impacto.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0F766E"/>
          <w:sz w:val="22"/>
          <w:szCs w:val="22"/>
        </w:rPr>
        <w:t xml:space="preserve">Requisitos para iniciar la construcción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5000"/>
        <w:gridCol w:w="2000"/>
        <w:gridCol w:w="2040"/>
      </w:tblGrid>
      <w:tr>
        <w:trPr>
          <w:tblHeader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#</w:t>
            </w:r>
          </w:p>
        </w:tc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REQUISITO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RESPONSABLE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ESTADO AL 23-OCT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1</w:t>
            </w:r>
          </w:p>
        </w:tc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Solicitud del servicio por la Red de Interoperabilidad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Jefatura / DEP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Ingresada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2</w:t>
            </w:r>
          </w:p>
        </w:tc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Otorgamiento del servicio por FONASA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FONASA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En plazo (15 días hábiles)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3</w:t>
            </w:r>
          </w:p>
        </w:tc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Acuerdo formal y credenciales de servicio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Jurídica DEP · FONASA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En gestión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4</w:t>
            </w:r>
          </w:p>
        </w:tc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Evaluación de impacto en protección de datos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GDP-SLEP con TI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En curso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5</w:t>
            </w:r>
          </w:p>
        </w:tc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Máquina virtual en el servidor de TI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TI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Por solicitar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6</w:t>
            </w:r>
          </w:p>
        </w:tc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SLEP piloto, encargado y planilla estándar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Jefatura · SLEP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Por confirmar</w:t>
            </w:r>
          </w:p>
        </w:tc>
      </w:tr>
    </w:tbl>
    <w:p>
      <w:pPr>
        <w:spacing w:after="120" w:before="0" w:line="120"/>
      </w:pP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40"/>
      </w:tblGrid>
      <w:tr>
        <w:trPr>
          <w:cantSplit/>
        </w:trPr>
        <w:tc>
          <w:tcPr>
            <w:tcW w:type="dxa" w:w="9640"/>
            <w:tcBorders>
              <w:top w:val="none" w:color="FFFFFF" w:sz="0"/>
              <w:left w:val="single" w:color="0D9488" w:sz="24"/>
              <w:bottom w:val="none" w:color="FFFFFF" w:sz="0"/>
              <w:right w:val="none" w:color="FFFFFF" w:sz="0"/>
            </w:tcBorders>
            <w:shd w:fill="F0FDFA" w:color="auto" w:val="clear"/>
            <w:tcMar>
              <w:top w:type="dxa" w:w="110"/>
              <w:left w:type="dxa" w:w="220"/>
              <w:bottom w:type="dxa" w:w="11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RECOMENDACIÓN</w:t>
            </w:r>
          </w:p>
          <w:p>
            <w:pPr>
              <w:spacing w:after="50" w:line="260"/>
            </w:pPr>
            <w:r>
              <w:rPr>
                <w:color w:val="334155"/>
                <w:sz w:val="19"/>
                <w:szCs w:val="19"/>
              </w:rPr>
              <w:t xml:space="preserve">Antes de construir: base legal para cada tratamiento, acuerdo de cada SLEP que adopte la solución y, si la DEP aloja datos, la formalización de ese encargo. Ingresar la solicitud por la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Red de Interoperabilidad</w:t>
            </w:r>
            <w:r>
              <w:rPr>
                <w:color w:val="334155"/>
                <w:sz w:val="19"/>
                <w:szCs w:val="19"/>
              </w:rPr>
              <w:t xml:space="preserve"> el primer día y avanzar en paralelo con el acuerdo formal y la evaluación de impacto. Con el servicio otorgado,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WS1 (costo cero)</w:t>
            </w:r>
            <w:r>
              <w:rPr>
                <w:color w:val="334155"/>
                <w:sz w:val="19"/>
                <w:szCs w:val="19"/>
              </w:rPr>
              <w:t xml:space="preserve"> no tiene otra condición legal.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250" w:right="1300" w:bottom="1150" w:left="1300" w:header="600" w:footer="56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40"/>
      </w:tabs>
    </w:pPr>
    <w:r>
      <w:rPr>
        <w:rFonts w:ascii="Calibri" w:cs="Calibri" w:eastAsia="Calibri" w:hAnsi="Calibri"/>
        <w:color w:val="94A3B8"/>
        <w:sz w:val="14"/>
        <w:szCs w:val="14"/>
      </w:rPr>
      <w:t xml:space="preserve">DEP · Subdepartamento GDP-SLEP · Uso interno</w:t>
    </w:r>
    <w:r>
      <w:rPr>
        <w:rFonts w:ascii="Consolas" w:cs="Consolas" w:eastAsia="Consolas" w:hAnsi="Consolas"/>
        <w:color w:val="94A3B8"/>
        <w:sz w:val="14"/>
        <w:szCs w:val="14"/>
      </w:rPr>
      <w:t xml:space="preserve">	pág. </w:t>
    </w:r>
    <w:r>
      <w:rPr>
        <w:rFonts w:ascii="Consolas" w:cs="Consolas" w:eastAsia="Consolas" w:hAnsi="Consolas"/>
        <w:b/>
        <w:bCs/>
        <w:color w:val="0F172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4" w:space="6"/>
      </w:pBdr>
      <w:tabs>
        <w:tab w:val="right" w:pos="9640"/>
      </w:tabs>
    </w:pPr>
    <w:r>
      <w:rPr>
        <w:rFonts w:ascii="Consolas" w:cs="Consolas" w:eastAsia="Consolas" w:hAnsi="Consolas"/>
        <w:b/>
        <w:bCs/>
        <w:color w:val="0D9488"/>
        <w:spacing w:val="20"/>
        <w:sz w:val="14"/>
        <w:szCs w:val="14"/>
      </w:rPr>
      <w:t xml:space="preserve">GDP - SLEP STUDIO</w:t>
    </w:r>
    <w:r>
      <w:rPr>
        <w:rFonts w:ascii="Consolas" w:cs="Consolas" w:eastAsia="Consolas" w:hAnsi="Consolas"/>
        <w:color w:val="94A3B8"/>
        <w:spacing w:val="10"/>
        <w:sz w:val="14"/>
        <w:szCs w:val="14"/>
      </w:rPr>
      <w:t xml:space="preserve">	INFORME 08.3.1  ·  CAMINO SERVICIOS WEB · MARCO LEGAL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D948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  <w:rPr>
        <w:b/>
        <w:bCs/>
        <w:color w:val="0D9488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4155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/>
      <w:outlineLvl w:val="0"/>
    </w:pPr>
    <w:rPr>
      <w:rFonts w:ascii="Calibri" w:cs="Calibri" w:eastAsia="Calibri" w:hAnsi="Calibri"/>
      <w:b/>
      <w:bCs/>
      <w:color w:val="0F172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0F172A"/>
      <w:sz w:val="25"/>
      <w:szCs w:val="25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0F766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08.3.1 — Camino servicios web (FONASA): informe técnico</dc:title>
  <dc:subject>GDP-SLEP Studio</dc:subject>
  <dc:creator>César Torres</dc:creator>
  <cp:lastModifiedBy>Un-named</cp:lastModifiedBy>
  <cp:revision>1</cp:revision>
  <dcterms:created xsi:type="dcterms:W3CDTF">2026-10-06T00:05:06.933Z</dcterms:created>
  <dcterms:modified xsi:type="dcterms:W3CDTF">2026-10-06T00:05:06.933Z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