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onsolas" w:cs="Consolas" w:eastAsia="Consolas" w:hAnsi="Consolas"/>
          <w:color w:val="0D9488"/>
          <w:sz w:val="18"/>
          <w:szCs w:val="18"/>
        </w:rPr>
        <w:t xml:space="preserve">&gt; gdp-slep-studio / licencias / factibilidad</w:t>
      </w:r>
    </w:p>
    <w:p>
      <w:pPr>
        <w:spacing w:after="240"/>
      </w:pPr>
      <w:r>
        <w:rPr>
          <w:rFonts w:ascii="Consolas" w:cs="Consolas" w:eastAsia="Consolas" w:hAnsi="Consolas"/>
          <w:b/>
          <w:bCs/>
          <w:color w:val="64748B"/>
          <w:spacing w:val="40"/>
          <w:sz w:val="18"/>
          <w:szCs w:val="18"/>
        </w:rPr>
        <w:t xml:space="preserve">INFORME 08  ·  SERIE DE INFORMES GDP-SLEP STUDIO</w:t>
      </w:r>
    </w:p>
    <w:p>
      <w:pPr>
        <w:spacing w:after="0"/>
      </w:pPr>
      <w:r>
        <w:rPr>
          <w:rFonts w:ascii="Calibri" w:cs="Calibri" w:eastAsia="Calibri" w:hAnsi="Calibri"/>
          <w:b/>
          <w:bCs/>
          <w:color w:val="0F172A"/>
          <w:sz w:val="80"/>
          <w:szCs w:val="80"/>
        </w:rPr>
        <w:t xml:space="preserve">Automatización de</w:t>
      </w:r>
    </w:p>
    <w:p>
      <w:pPr>
        <w:spacing w:after="220"/>
      </w:pPr>
      <w:r>
        <w:rPr>
          <w:rFonts w:ascii="Calibri" w:cs="Calibri" w:eastAsia="Calibri" w:hAnsi="Calibri"/>
          <w:b/>
          <w:bCs/>
          <w:color w:val="0F172A"/>
          <w:sz w:val="80"/>
          <w:szCs w:val="80"/>
        </w:rPr>
        <w:t xml:space="preserve">licencias médicas</w:t>
      </w:r>
    </w:p>
    <w:p>
      <w:pPr>
        <w:pBdr>
          <w:bottom w:val="single" w:color="0D9488" w:sz="24" w:space="1"/>
        </w:pBdr>
        <w:spacing w:after="300"/>
        <w:ind w:right="8340"/>
      </w:pPr>
    </w:p>
    <w:p>
      <w:pPr>
        <w:spacing w:after="120"/>
      </w:pPr>
      <w:r>
        <w:rPr>
          <w:rFonts w:ascii="Calibri" w:cs="Calibri" w:eastAsia="Calibri" w:hAnsi="Calibri"/>
          <w:color w:val="0D9488"/>
          <w:sz w:val="30"/>
          <w:szCs w:val="30"/>
        </w:rPr>
        <w:t xml:space="preserve">Factibilidad de automatizar la tramitación de licencias en los SLEP</w:t>
      </w:r>
    </w:p>
    <w:p>
      <w:pPr>
        <w:spacing w:after="1000" w:line="290"/>
      </w:pPr>
      <w:r>
        <w:rPr>
          <w:rFonts w:ascii="Calibri" w:cs="Calibri" w:eastAsia="Calibri" w:hAnsi="Calibri"/>
          <w:color w:val="64748B"/>
          <w:sz w:val="20"/>
          <w:szCs w:val="20"/>
        </w:rPr>
        <w:t xml:space="preserve">Proceso actual, objetivo y alcance del piloto, cuatro caminos posibles —robot de software (RPA), API del PIEE, servicios web de FONASA y mixto—, cada uno con tres propuestas (costo cero, óptima y avanzada), explicación de los informes de marco legal, técnico y costos de cada camino, y carta Gantt general al 27 de noviembre.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040"/>
      </w:tblGrid>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ORGANIZACIÓN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Dirección de Educación Pública (DEP)</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UNIDAD</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Subdepartamento de Gestión y Desarrollo de Personas para los SLEP (GDP-SLEP)</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PROYECTO</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GDP-SLEP Studio · Aplicación 2: Automatización de licencias médicas</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TIPO DE INFORME</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Propuesta y factibilidad</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ELABORADO POR</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César Torres · Desarrollador (honorarios)</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DIRIGIDO A</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Claudia Manzano · Jefatura directa</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PERÍODO</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 de octubre – 27 de noviembre de 2026</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FECHA</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 de octubre de 2026</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VERSIÓN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1.0</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CLASIFICACIÓN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Uso interno</w:t>
            </w:r>
          </w:p>
        </w:tc>
      </w:tr>
    </w:tbl>
    <w:p>
      <w:pPr>
        <w:spacing w:after="500"/>
      </w:pPr>
    </w:p>
    <w:p>
      <w:r>
        <w:rPr>
          <w:rFonts w:ascii="Calibri" w:cs="Calibri" w:eastAsia="Calibri" w:hAnsi="Calibri"/>
          <w:i/>
          <w:iCs/>
          <w:color w:val="94A3B8"/>
          <w:sz w:val="16"/>
          <w:szCs w:val="16"/>
        </w:rPr>
        <w:t xml:space="preserve">Primer informe de la Fase 2 de GDP-SLEP Studio. Cada camino tiene cuatro informes: general (08.1 a 08.4), marco legal (08.x.1), técnico (08.x.2) y costos (08.x.3). Un informe operativo por camino se sumará más adelante. El Informe 08.5 reúne los anexos de la serie.</w:t>
      </w:r>
    </w:p>
    <w:p>
      <w:pPr>
        <w:keepNext/>
        <w:pageBreakBefore/>
        <w:spacing w:after="60"/>
      </w:pPr>
      <w:r>
        <w:rPr>
          <w:rFonts w:ascii="Consolas" w:cs="Consolas" w:eastAsia="Consolas" w:hAnsi="Consolas"/>
          <w:b/>
          <w:bCs/>
          <w:color w:val="0D9488"/>
          <w:spacing w:val="30"/>
          <w:sz w:val="16"/>
          <w:szCs w:val="16"/>
        </w:rPr>
        <w:t xml:space="preserve">DOCUMENTO</w:t>
      </w:r>
      <w:r>
        <w:rPr>
          <w:rFonts w:ascii="Consolas" w:cs="Consolas" w:eastAsia="Consolas" w:hAnsi="Consolas"/>
          <w:color w:val="94A3B8"/>
          <w:sz w:val="16"/>
          <w:szCs w:val="16"/>
        </w:rPr>
        <w:t xml:space="preserve">  /  ficha</w:t>
      </w:r>
    </w:p>
    <w:p>
      <w:pPr>
        <w:pStyle w:val="Heading1"/>
        <w:keepNext/>
        <w:pBdr>
          <w:bottom w:val="single" w:color="E2E8F0" w:sz="6" w:space="6"/>
        </w:pBdr>
        <w:spacing w:after="160"/>
      </w:pPr>
      <w:r>
        <w:rPr>
          <w:rFonts w:ascii="Calibri" w:cs="Calibri" w:eastAsia="Calibri" w:hAnsi="Calibri"/>
          <w:b/>
          <w:bCs/>
          <w:color w:val="0F172A"/>
          <w:sz w:val="34"/>
          <w:szCs w:val="34"/>
        </w:rPr>
        <w:t xml:space="preserve">Ficha del documento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340"/>
      </w:tblGrid>
      <w:tr>
        <w:trPr>
          <w:tblHeader/>
        </w:trPr>
        <w:tc>
          <w:tcPr>
            <w:tcW w:type="dxa" w:w="2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CAMPO</w:t>
            </w:r>
          </w:p>
        </w:tc>
        <w:tc>
          <w:tcPr>
            <w:tcW w:type="dxa" w:w="7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DETALLE</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Título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Informe 08 — Factibilidad de la automatización de la tramitación de licencias médicas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Serie</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Octavo informe. Abre la Fase 2 de GDP-SLEP Studio, tras la entrega del Validador a TI (Informe 07)</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Objeto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Determinar si es factible automatizar la tramitación de licencias médicas que cada SLEP realiza como empleador, por qué caminos y con qué condiciones, y planificar un piloto al 27 de noviembre</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Informes por camino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Marco legal (08.x.1) · Técnico (08.x.2) · Costos (08.x.3) · Operativo (próximamente)</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Período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1 de octubre – 27 de noviembre de 2026 (41 días hábiles)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Elaborado por</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César Torres, Desarrollador a honorarios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Dirigido a</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Claudia Manzano, Jefatura directa · Subdepartamento GDP-SLEP</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Conclusión</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La automatización es factible por vías autorizadas. El robot o el acceso que usa la ClaveÚnica de un funcionario de forma automática no es viable. Hay cuatro caminos, cada uno en tres propuestas —costo cero, óptima y avanzada—: su detalle está en los Informes 08.1 a 08.4 (general, marco legal, técnico y costos)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Informes relacionados</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Informe 00 (Marco legal, secciones 05, 14 y 15) · Informe 01 (Diagnóstico, proceso 5.2) · Informe 02 (Fase 2) · Caminos 08.1 (RPA), 08.2 (API del PIEE), 08.3 (servicios web) y 08.4 (mixto) · Informe 08.5 (anexos)</w:t>
            </w:r>
          </w:p>
        </w:tc>
      </w:tr>
    </w:tbl>
    <w:p>
      <w:pPr>
        <w:spacing w:after="120" w:before="0" w:line="120"/>
      </w:pPr>
    </w:p>
    <w:p>
      <w:pPr>
        <w:pStyle w:val="Heading3"/>
        <w:keepNext/>
        <w:spacing w:after="80" w:before="180"/>
      </w:pPr>
      <w:r>
        <w:rPr>
          <w:rFonts w:ascii="Calibri" w:cs="Calibri" w:eastAsia="Calibri" w:hAnsi="Calibri"/>
          <w:b/>
          <w:bCs/>
          <w:color w:val="0F766E"/>
          <w:sz w:val="22"/>
          <w:szCs w:val="22"/>
        </w:rPr>
        <w:t xml:space="preserve">Lugar de este informe en la serie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50"/>
        <w:gridCol w:w="380"/>
        <w:gridCol w:w="7210"/>
      </w:tblGrid>
      <w:tr>
        <w:trPr>
          <w:cantSplit/>
        </w:trPr>
        <w:tc>
          <w:tcPr>
            <w:tcW w:type="dxa" w:w="2050"/>
            <w:vMerge w:val="restart"/>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ESTE INFORME</w:t>
            </w:r>
          </w:p>
          <w:p>
            <w:pPr>
              <w:spacing w:after="20" w:line="240"/>
              <w:jc w:val="left"/>
            </w:pPr>
            <w:r>
              <w:rPr>
                <w:b/>
                <w:bCs/>
                <w:color w:val="0F172A"/>
                <w:sz w:val="17"/>
                <w:szCs w:val="17"/>
              </w:rPr>
              <w:t xml:space="preserve">Informe 08</w:t>
            </w:r>
          </w:p>
          <w:p>
            <w:pPr>
              <w:spacing w:after="0" w:line="230"/>
              <w:jc w:val="left"/>
            </w:pPr>
            <w:r>
              <w:rPr>
                <w:color w:val="64748B"/>
                <w:sz w:val="14"/>
                <w:szCs w:val="14"/>
              </w:rPr>
              <w:t xml:space="preserve">Factibilidad general de la automatización</w:t>
            </w:r>
          </w:p>
        </w:tc>
        <w:tc>
          <w:tcPr>
            <w:tcW w:type="dxa" w:w="38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721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Camino 08.1 · RPA (robot asistido)</w:t>
            </w:r>
          </w:p>
          <w:p>
            <w:pPr>
              <w:spacing w:after="0" w:line="230"/>
              <w:jc w:val="left"/>
            </w:pPr>
            <w:r>
              <w:rPr>
                <w:color w:val="64748B"/>
                <w:sz w:val="14"/>
                <w:szCs w:val="14"/>
              </w:rPr>
              <w:t xml:space="preserve">General + marco legal + técnico + costos</w:t>
            </w:r>
          </w:p>
        </w:tc>
      </w:tr>
      <w:tr>
        <w:trPr>
          <w:cantSplit/>
        </w:trPr>
        <w:tc>
          <w:tcPr>
            <w:vMerge w:val="continue"/>
            <w:tcBorders>
              <w:top w:val="single" w:color="0D9488" w:sz="12"/>
              <w:left w:val="single" w:color="0D9488" w:sz="12"/>
              <w:bottom w:val="single" w:color="0D9488" w:sz="12"/>
              <w:right w:val="single" w:color="0D9488" w:sz="12"/>
            </w:tcBorders>
          </w:tcPr>
          <w:p/>
        </w:tc>
        <w:tc>
          <w:tcPr>
            <w:tcW w:type="dxa" w:w="38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721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Camino 08.2 · API del PIEE (sesión asistida)</w:t>
            </w:r>
          </w:p>
          <w:p>
            <w:pPr>
              <w:spacing w:after="0" w:line="230"/>
              <w:jc w:val="left"/>
            </w:pPr>
            <w:r>
              <w:rPr>
                <w:color w:val="64748B"/>
                <w:sz w:val="14"/>
                <w:szCs w:val="14"/>
              </w:rPr>
              <w:t xml:space="preserve">General + marco legal + técnico + costos</w:t>
            </w:r>
          </w:p>
        </w:tc>
      </w:tr>
      <w:tr>
        <w:trPr>
          <w:cantSplit/>
        </w:trPr>
        <w:tc>
          <w:tcPr>
            <w:vMerge w:val="continue"/>
            <w:tcBorders>
              <w:top w:val="single" w:color="0D9488" w:sz="12"/>
              <w:left w:val="single" w:color="0D9488" w:sz="12"/>
              <w:bottom w:val="single" w:color="0D9488" w:sz="12"/>
              <w:right w:val="single" w:color="0D9488" w:sz="12"/>
            </w:tcBorders>
          </w:tcPr>
          <w:p/>
        </w:tc>
        <w:tc>
          <w:tcPr>
            <w:tcW w:type="dxa" w:w="38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721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Camino 08.3 · servicios web de FONASA</w:t>
            </w:r>
          </w:p>
          <w:p>
            <w:pPr>
              <w:spacing w:after="0" w:line="230"/>
              <w:jc w:val="left"/>
            </w:pPr>
            <w:r>
              <w:rPr>
                <w:color w:val="64748B"/>
                <w:sz w:val="14"/>
                <w:szCs w:val="14"/>
              </w:rPr>
              <w:t xml:space="preserve">General + marco legal + técnico + costos</w:t>
            </w:r>
          </w:p>
        </w:tc>
      </w:tr>
      <w:tr>
        <w:trPr>
          <w:cantSplit/>
        </w:trPr>
        <w:tc>
          <w:tcPr>
            <w:vMerge w:val="continue"/>
            <w:tcBorders>
              <w:top w:val="single" w:color="0D9488" w:sz="12"/>
              <w:left w:val="single" w:color="0D9488" w:sz="12"/>
              <w:bottom w:val="single" w:color="0D9488" w:sz="12"/>
              <w:right w:val="single" w:color="0D9488" w:sz="12"/>
            </w:tcBorders>
          </w:tcPr>
          <w:p/>
        </w:tc>
        <w:tc>
          <w:tcPr>
            <w:tcW w:type="dxa" w:w="38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721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Camino 08.4 · mixto (orquestado por el portal)</w:t>
            </w:r>
          </w:p>
          <w:p>
            <w:pPr>
              <w:spacing w:after="0" w:line="230"/>
              <w:jc w:val="left"/>
            </w:pPr>
            <w:r>
              <w:rPr>
                <w:color w:val="64748B"/>
                <w:sz w:val="14"/>
                <w:szCs w:val="14"/>
              </w:rPr>
              <w:t xml:space="preserve">General + marco legal + técnico + costos</w:t>
            </w:r>
          </w:p>
        </w:tc>
      </w:tr>
    </w:tbl>
    <w:p>
      <w:pPr>
        <w:spacing w:after="200" w:before="80"/>
      </w:pPr>
      <w:r>
        <w:rPr>
          <w:rFonts w:ascii="Consolas" w:cs="Consolas" w:eastAsia="Consolas" w:hAnsi="Consolas"/>
          <w:b/>
          <w:bCs/>
          <w:color w:val="0D9488"/>
          <w:sz w:val="15"/>
          <w:szCs w:val="15"/>
        </w:rPr>
        <w:t xml:space="preserve">FIG. 1  </w:t>
      </w:r>
      <w:r>
        <w:rPr>
          <w:rFonts w:ascii="Calibri" w:cs="Calibri" w:eastAsia="Calibri" w:hAnsi="Calibri"/>
          <w:color w:val="64748B"/>
          <w:sz w:val="16"/>
          <w:szCs w:val="16"/>
        </w:rPr>
        <w:t xml:space="preserve">El Informe 08 evalúa la automatización en general; cada camino tiene su informe general, de marco legal, técnico y de costos.</w:t>
      </w:r>
    </w:p>
    <w:p>
      <w:pPr>
        <w:pStyle w:val="Heading3"/>
        <w:keepNext/>
        <w:spacing w:after="80" w:before="180"/>
      </w:pPr>
      <w:r>
        <w:rPr>
          <w:rFonts w:ascii="Calibri" w:cs="Calibri" w:eastAsia="Calibri" w:hAnsi="Calibri"/>
          <w:b/>
          <w:bCs/>
          <w:color w:val="0F766E"/>
          <w:sz w:val="22"/>
          <w:szCs w:val="22"/>
        </w:rPr>
        <w:t xml:space="preserve">Cómo leer este informe</w:t>
      </w:r>
    </w:p>
    <w:p>
      <w:pPr>
        <w:spacing w:after="140" w:before="0" w:line="276"/>
        <w:jc w:val="left"/>
      </w:pPr>
      <w:r>
        <w:rPr>
          <w:rFonts w:ascii="Calibri" w:cs="Calibri" w:eastAsia="Calibri" w:hAnsi="Calibri"/>
          <w:color w:val="334155"/>
          <w:sz w:val="20"/>
          <w:szCs w:val="20"/>
        </w:rPr>
        <w:t xml:space="preserve">Las secciones 02 a 04 describen el proceso actual, qué se quiere automatizar y los cuatro caminos, con sus tres propuestas y su relación con el ERP del SLEP. Las secciones </w:t>
      </w:r>
      <w:r>
        <w:rPr>
          <w:rFonts w:ascii="Calibri" w:cs="Calibri" w:eastAsia="Calibri" w:hAnsi="Calibri"/>
          <w:b/>
          <w:bCs/>
          <w:color w:val="0F172A"/>
          <w:sz w:val="20"/>
          <w:szCs w:val="20"/>
        </w:rPr>
        <w:t xml:space="preserve">05 a 07</w:t>
      </w:r>
      <w:r>
        <w:rPr>
          <w:rFonts w:ascii="Calibri" w:cs="Calibri" w:eastAsia="Calibri" w:hAnsi="Calibri"/>
          <w:color w:val="334155"/>
          <w:sz w:val="20"/>
          <w:szCs w:val="20"/>
        </w:rPr>
        <w:t xml:space="preserve"> explican, en el orden de la serie, para qué existe cada informe por camino —</w:t>
      </w:r>
      <w:r>
        <w:rPr>
          <w:rFonts w:ascii="Calibri" w:cs="Calibri" w:eastAsia="Calibri" w:hAnsi="Calibri"/>
          <w:b/>
          <w:bCs/>
          <w:color w:val="0F172A"/>
          <w:sz w:val="20"/>
          <w:szCs w:val="20"/>
        </w:rPr>
        <w:t xml:space="preserve">marco legal, técnico y costos</w:t>
      </w:r>
      <w:r>
        <w:rPr>
          <w:rFonts w:ascii="Calibri" w:cs="Calibri" w:eastAsia="Calibri" w:hAnsi="Calibri"/>
          <w:color w:val="334155"/>
          <w:sz w:val="20"/>
          <w:szCs w:val="20"/>
        </w:rPr>
        <w:t xml:space="preserve">— y qué responde; un informe operativo se sumará más adelante. La 08 presenta la carta Gantt general del 1 de octubre al 27 de noviembre y la 09 las conclusiones. Los supuestos, el levantamiento a los 36 SLEP y los riesgos están en el Informe 08.5 (anexos).</w:t>
      </w:r>
    </w:p>
    <w:p>
      <w:pPr>
        <w:keepNext/>
        <w:pageBreakBefore/>
        <w:spacing w:after="60"/>
      </w:pPr>
      <w:r>
        <w:rPr>
          <w:rFonts w:ascii="Consolas" w:cs="Consolas" w:eastAsia="Consolas" w:hAnsi="Consolas"/>
          <w:b/>
          <w:bCs/>
          <w:color w:val="0D9488"/>
          <w:spacing w:val="30"/>
          <w:sz w:val="16"/>
          <w:szCs w:val="16"/>
        </w:rPr>
        <w:t xml:space="preserve">DOCUMENTO</w:t>
      </w:r>
      <w:r>
        <w:rPr>
          <w:rFonts w:ascii="Consolas" w:cs="Consolas" w:eastAsia="Consolas" w:hAnsi="Consolas"/>
          <w:color w:val="94A3B8"/>
          <w:sz w:val="16"/>
          <w:szCs w:val="16"/>
        </w:rPr>
        <w:t xml:space="preserve">  /  índice</w:t>
      </w:r>
    </w:p>
    <w:p>
      <w:pPr>
        <w:pStyle w:val="Heading1"/>
        <w:keepNext/>
        <w:pBdr>
          <w:bottom w:val="single" w:color="E2E8F0" w:sz="6" w:space="6"/>
        </w:pBdr>
        <w:spacing w:after="160"/>
      </w:pPr>
      <w:r>
        <w:rPr>
          <w:rFonts w:ascii="Calibri" w:cs="Calibri" w:eastAsia="Calibri" w:hAnsi="Calibri"/>
          <w:b/>
          <w:bCs/>
          <w:color w:val="0F172A"/>
          <w:sz w:val="34"/>
          <w:szCs w:val="34"/>
        </w:rPr>
        <w:t xml:space="preserve">Índice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740"/>
      </w:tblGrid>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01</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Resumen ejecutivo</w:t>
            </w:r>
          </w:p>
          <w:p>
            <w:r>
              <w:rPr>
                <w:color w:val="64748B"/>
                <w:sz w:val="17"/>
                <w:szCs w:val="17"/>
              </w:rPr>
              <w:t xml:space="preserve">La automatización y su factibilidad en dos páginas.</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02</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El proceso actual</w:t>
            </w:r>
          </w:p>
          <w:p>
            <w:r>
              <w:rPr>
                <w:color w:val="64748B"/>
                <w:sz w:val="17"/>
                <w:szCs w:val="17"/>
              </w:rPr>
              <w:t xml:space="preserve">Cómo se tramita hoy, paso a paso, entre FONASA y el ERP.</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03</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Objetivo y alcance</w:t>
            </w:r>
          </w:p>
          <w:p>
            <w:r>
              <w:rPr>
                <w:color w:val="64748B"/>
                <w:sz w:val="17"/>
                <w:szCs w:val="17"/>
              </w:rPr>
              <w:t xml:space="preserve">Qué se automatiza, qué no y a dónde se quiere llegar.</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04</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Cuatro caminos</w:t>
            </w:r>
          </w:p>
          <w:p>
            <w:r>
              <w:rPr>
                <w:color w:val="64748B"/>
                <w:sz w:val="17"/>
                <w:szCs w:val="17"/>
              </w:rPr>
              <w:t xml:space="preserve">RPA, API del PIEE, servicios web y mixto; propuestas, ERP e IA (local y Claude).</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05</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El informe de marco legal (08.x.1)</w:t>
            </w:r>
          </w:p>
          <w:p>
            <w:r>
              <w:rPr>
                <w:color w:val="64748B"/>
                <w:sz w:val="17"/>
                <w:szCs w:val="17"/>
              </w:rPr>
              <w:t xml:space="preserve">Para qué existe, qué contiene, semáforo por camino y requisitos comunes.</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06</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El informe técnico (08.x.2)</w:t>
            </w:r>
          </w:p>
          <w:p>
            <w:r>
              <w:rPr>
                <w:color w:val="64748B"/>
                <w:sz w:val="17"/>
                <w:szCs w:val="17"/>
              </w:rPr>
              <w:t xml:space="preserve">Para qué existe, qué contiene, vías con FONASA y componentes comunes.</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07</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El informe de costos (08.x.3)</w:t>
            </w:r>
          </w:p>
          <w:p>
            <w:r>
              <w:rPr>
                <w:color w:val="64748B"/>
                <w:sz w:val="17"/>
                <w:szCs w:val="17"/>
              </w:rPr>
              <w:t xml:space="preserve">Para qué existe, qué contiene y tres niveles de propuesta.</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08</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Planificación: carta Gantt general</w:t>
            </w:r>
          </w:p>
          <w:p>
            <w:r>
              <w:rPr>
                <w:color w:val="64748B"/>
                <w:sz w:val="17"/>
                <w:szCs w:val="17"/>
              </w:rPr>
              <w:t xml:space="preserve">1 de octubre – 27 de noviembre de 2026.</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09</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Conclusiones</w:t>
            </w:r>
          </w:p>
          <w:p>
            <w:r>
              <w:rPr>
                <w:color w:val="64748B"/>
                <w:sz w:val="17"/>
                <w:szCs w:val="17"/>
              </w:rPr>
              <w:t xml:space="preserve">Lo que este informe deja resuelto y lo que resuelven los informes que siguen.</w:t>
            </w:r>
          </w:p>
        </w:tc>
      </w:tr>
    </w:tbl>
    <w:p>
      <w:pPr>
        <w:keepNext/>
        <w:pageBreakBefore/>
        <w:spacing w:after="60"/>
      </w:pPr>
      <w:r>
        <w:rPr>
          <w:rFonts w:ascii="Consolas" w:cs="Consolas" w:eastAsia="Consolas" w:hAnsi="Consolas"/>
          <w:b/>
          <w:bCs/>
          <w:color w:val="0D9488"/>
          <w:spacing w:val="30"/>
          <w:sz w:val="16"/>
          <w:szCs w:val="16"/>
        </w:rPr>
        <w:t xml:space="preserve">SECCIÓN 01</w:t>
      </w:r>
      <w:r>
        <w:rPr>
          <w:rFonts w:ascii="Consolas" w:cs="Consolas" w:eastAsia="Consolas" w:hAnsi="Consolas"/>
          <w:color w:val="94A3B8"/>
          <w:sz w:val="16"/>
          <w:szCs w:val="16"/>
        </w:rPr>
        <w:t xml:space="preserve">  /  resumen</w:t>
      </w:r>
    </w:p>
    <w:p>
      <w:pPr>
        <w:pStyle w:val="Heading1"/>
        <w:keepNext/>
        <w:pBdr>
          <w:bottom w:val="single" w:color="E2E8F0" w:sz="6" w:space="6"/>
        </w:pBdr>
        <w:spacing w:after="160"/>
      </w:pPr>
      <w:r>
        <w:rPr>
          <w:rFonts w:ascii="Calibri" w:cs="Calibri" w:eastAsia="Calibri" w:hAnsi="Calibri"/>
          <w:b/>
          <w:bCs/>
          <w:color w:val="0F172A"/>
          <w:sz w:val="34"/>
          <w:szCs w:val="34"/>
        </w:rPr>
        <w:t xml:space="preserve">Resumen ejecutivo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Cada SLEP debe tramitar la zona C de cada licencia en 3 días hábiles; si no lo hace, pierde la recuperación del subsidio. Hoy es trabajo manual y de alto volumen.</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Decidir si conviene automatizarlo, por qué caminos y con qué condiciones, y planificar un piloto.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Análisis del proceso, del marco legal del Informe 00 y de cuatro caminos técnicos con tres propuestas cada uno, y carta Gantt general.</w:t>
            </w:r>
          </w:p>
        </w:tc>
      </w:tr>
    </w:tbl>
    <w:p>
      <w:pPr>
        <w:spacing w:after="140" w:before="0" w:line="120"/>
      </w:pPr>
    </w:p>
    <w:p>
      <w:pPr>
        <w:spacing w:after="140" w:before="0" w:line="276"/>
        <w:jc w:val="left"/>
      </w:pPr>
      <w:r>
        <w:rPr>
          <w:rFonts w:ascii="Calibri" w:cs="Calibri" w:eastAsia="Calibri" w:hAnsi="Calibri"/>
          <w:color w:val="334155"/>
          <w:sz w:val="20"/>
          <w:szCs w:val="20"/>
        </w:rPr>
        <w:t xml:space="preserve">Se evalúa la </w:t>
      </w:r>
      <w:r>
        <w:rPr>
          <w:rFonts w:ascii="Calibri" w:cs="Calibri" w:eastAsia="Calibri" w:hAnsi="Calibri"/>
          <w:b/>
          <w:bCs/>
          <w:color w:val="0F172A"/>
          <w:sz w:val="20"/>
          <w:szCs w:val="20"/>
        </w:rPr>
        <w:t xml:space="preserve">segunda aplicación de GDP-SLEP Studio</w:t>
      </w:r>
      <w:r>
        <w:rPr>
          <w:rFonts w:ascii="Calibri" w:cs="Calibri" w:eastAsia="Calibri" w:hAnsi="Calibri"/>
          <w:color w:val="334155"/>
          <w:sz w:val="20"/>
          <w:szCs w:val="20"/>
        </w:rPr>
        <w:t xml:space="preserve">: automatizar lo que cada SLEP hace como </w:t>
      </w:r>
      <w:r>
        <w:rPr>
          <w:rFonts w:ascii="Calibri" w:cs="Calibri" w:eastAsia="Calibri" w:hAnsi="Calibri"/>
          <w:b/>
          <w:bCs/>
          <w:color w:val="0F172A"/>
          <w:sz w:val="20"/>
          <w:szCs w:val="20"/>
        </w:rPr>
        <w:t xml:space="preserve">empleador</w:t>
      </w:r>
      <w:r>
        <w:rPr>
          <w:rFonts w:ascii="Calibri" w:cs="Calibri" w:eastAsia="Calibri" w:hAnsi="Calibri"/>
          <w:color w:val="334155"/>
          <w:sz w:val="20"/>
          <w:szCs w:val="20"/>
        </w:rPr>
        <w:t xml:space="preserve"> ante una licencia —completar la </w:t>
      </w:r>
      <w:r>
        <w:rPr>
          <w:rFonts w:ascii="Calibri" w:cs="Calibri" w:eastAsia="Calibri" w:hAnsi="Calibri"/>
          <w:b/>
          <w:bCs/>
          <w:color w:val="0F172A"/>
          <w:sz w:val="20"/>
          <w:szCs w:val="20"/>
        </w:rPr>
        <w:t xml:space="preserve">zona C</w:t>
      </w:r>
      <w:r>
        <w:rPr>
          <w:rFonts w:ascii="Calibri" w:cs="Calibri" w:eastAsia="Calibri" w:hAnsi="Calibri"/>
          <w:color w:val="334155"/>
          <w:sz w:val="20"/>
          <w:szCs w:val="20"/>
        </w:rPr>
        <w:t xml:space="preserve"> y enviarla en </w:t>
      </w:r>
      <w:r>
        <w:rPr>
          <w:rFonts w:ascii="Calibri" w:cs="Calibri" w:eastAsia="Calibri" w:hAnsi="Calibri"/>
          <w:b/>
          <w:bCs/>
          <w:color w:val="0F172A"/>
          <w:sz w:val="20"/>
          <w:szCs w:val="20"/>
        </w:rPr>
        <w:t xml:space="preserve">3 días hábiles</w:t>
      </w:r>
      <w:r>
        <w:rPr>
          <w:rFonts w:ascii="Calibri" w:cs="Calibri" w:eastAsia="Calibri" w:hAnsi="Calibri"/>
          <w:color w:val="334155"/>
          <w:sz w:val="20"/>
          <w:szCs w:val="20"/>
        </w:rPr>
        <w:t xml:space="preserve">— y el </w:t>
      </w:r>
      <w:r>
        <w:rPr>
          <w:rFonts w:ascii="Calibri" w:cs="Calibri" w:eastAsia="Calibri" w:hAnsi="Calibri"/>
          <w:b/>
          <w:bCs/>
          <w:color w:val="0F172A"/>
          <w:sz w:val="20"/>
          <w:szCs w:val="20"/>
        </w:rPr>
        <w:t xml:space="preserve">seguimiento de plazos y resoluciones</w:t>
      </w:r>
      <w:r>
        <w:rPr>
          <w:rFonts w:ascii="Calibri" w:cs="Calibri" w:eastAsia="Calibri" w:hAnsi="Calibri"/>
          <w:color w:val="334155"/>
          <w:sz w:val="20"/>
          <w:szCs w:val="20"/>
        </w:rPr>
        <w:t xml:space="preserve">. Desde hoy, </w:t>
      </w:r>
      <w:r>
        <w:rPr>
          <w:rFonts w:ascii="Calibri" w:cs="Calibri" w:eastAsia="Calibri" w:hAnsi="Calibri"/>
          <w:b/>
          <w:bCs/>
          <w:color w:val="0F172A"/>
          <w:sz w:val="20"/>
          <w:szCs w:val="20"/>
        </w:rPr>
        <w:t xml:space="preserve">1-oct-2026</w:t>
      </w:r>
      <w:r>
        <w:rPr>
          <w:rFonts w:ascii="Calibri" w:cs="Calibri" w:eastAsia="Calibri" w:hAnsi="Calibri"/>
          <w:color w:val="334155"/>
          <w:sz w:val="20"/>
          <w:szCs w:val="20"/>
        </w:rPr>
        <w:t xml:space="preserve">, el </w:t>
      </w:r>
      <w:r>
        <w:rPr>
          <w:rFonts w:ascii="Calibri" w:cs="Calibri" w:eastAsia="Calibri" w:hAnsi="Calibri"/>
          <w:b/>
          <w:bCs/>
          <w:color w:val="0F172A"/>
          <w:sz w:val="20"/>
          <w:szCs w:val="20"/>
        </w:rPr>
        <w:t xml:space="preserve">PIEE de FONASA es el único portal</w:t>
      </w:r>
      <w:r>
        <w:rPr>
          <w:rFonts w:ascii="Calibri" w:cs="Calibri" w:eastAsia="Calibri" w:hAnsi="Calibri"/>
          <w:color w:val="334155"/>
          <w:sz w:val="20"/>
          <w:szCs w:val="20"/>
        </w:rPr>
        <w:t xml:space="preserve"> de empleadores.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10"/>
        <w:gridCol w:w="2410"/>
        <w:gridCol w:w="2410"/>
        <w:gridCol w:w="2410"/>
      </w:tblGrid>
      <w:tr>
        <w:trPr>
          <w:cantSplit/>
        </w:trPr>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3</w:t>
            </w:r>
          </w:p>
          <w:p>
            <w:pPr>
              <w:spacing w:after="0" w:line="240"/>
            </w:pPr>
            <w:r>
              <w:rPr>
                <w:color w:val="64748B"/>
                <w:sz w:val="16"/>
                <w:szCs w:val="16"/>
              </w:rPr>
              <w:t xml:space="preserve">días hábiles para la zona C</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 1.000</w:t>
            </w:r>
          </w:p>
          <w:p>
            <w:pPr>
              <w:spacing w:after="0" w:line="240"/>
            </w:pPr>
            <w:r>
              <w:rPr>
                <w:color w:val="64748B"/>
                <w:sz w:val="16"/>
                <w:szCs w:val="16"/>
              </w:rPr>
              <w:t xml:space="preserve">licencias al mes por SLEP medio (estimado: 870–1.060)</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41</w:t>
            </w:r>
          </w:p>
          <w:p>
            <w:pPr>
              <w:spacing w:after="0" w:line="240"/>
            </w:pPr>
            <w:r>
              <w:rPr>
                <w:color w:val="64748B"/>
                <w:sz w:val="16"/>
                <w:szCs w:val="16"/>
              </w:rPr>
              <w:t xml:space="preserve">días hábiles hasta el 27-nov</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3 × 3</w:t>
            </w:r>
          </w:p>
          <w:p>
            <w:pPr>
              <w:spacing w:after="0" w:line="240"/>
            </w:pPr>
            <w:r>
              <w:rPr>
                <w:color w:val="64748B"/>
                <w:sz w:val="16"/>
                <w:szCs w:val="16"/>
              </w:rPr>
              <w:t xml:space="preserve">caminos y propuestas: costo cero, óptima y avanzada</w:t>
            </w:r>
          </w:p>
        </w:tc>
      </w:tr>
    </w:tbl>
    <w:p>
      <w:pPr>
        <w:spacing w:after="160" w:before="0" w:line="120"/>
      </w:pPr>
    </w:p>
    <w:p>
      <w:pPr>
        <w:pStyle w:val="Heading3"/>
        <w:keepNext/>
        <w:spacing w:after="80" w:before="180"/>
      </w:pPr>
      <w:r>
        <w:rPr>
          <w:rFonts w:ascii="Calibri" w:cs="Calibri" w:eastAsia="Calibri" w:hAnsi="Calibri"/>
          <w:b/>
          <w:bCs/>
          <w:color w:val="0F766E"/>
          <w:sz w:val="22"/>
          <w:szCs w:val="22"/>
        </w:rPr>
        <w:t xml:space="preserve">Veredicto por dimensión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1900"/>
        <w:gridCol w:w="6040"/>
      </w:tblGrid>
      <w:tr>
        <w:trPr>
          <w:tblHeader/>
        </w:trPr>
        <w:tc>
          <w:tcPr>
            <w:tcW w:type="dxa" w:w="1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DIMENSIÓN</w:t>
            </w:r>
          </w:p>
        </w:tc>
        <w:tc>
          <w:tcPr>
            <w:tcW w:type="dxa" w:w="1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RESULTADO</w:t>
            </w:r>
          </w:p>
        </w:tc>
        <w:tc>
          <w:tcPr>
            <w:tcW w:type="dxa" w:w="60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FUNDAMENTO</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Marco legal</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 Con condiciones</w:t>
            </w:r>
          </w:p>
        </w:tc>
        <w:tc>
          <w:tcPr>
            <w:tcW w:type="dxa" w:w="6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Datos de salud y remuneraciones; diagnóstico vedado; ClaveÚnica no automatizable. Solo canales autorizados.</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Técnica</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7"/>
                <w:szCs w:val="17"/>
              </w:rPr>
              <w:t xml:space="preserve">● Con condiciones</w:t>
            </w:r>
          </w:p>
        </w:tc>
        <w:tc>
          <w:tcPr>
            <w:tcW w:type="dxa" w:w="6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7"/>
                <w:szCs w:val="17"/>
              </w:rPr>
              <w:t xml:space="preserve">Tecnología madura para los cuatro caminos; la vía de datos autorizada por FONASA define cuál rinde más.</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7"/>
                <w:szCs w:val="17"/>
              </w:rPr>
              <w:t xml:space="preserve">Costos</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7"/>
                <w:szCs w:val="17"/>
              </w:rPr>
              <w:t xml:space="preserve">● Factible</w:t>
            </w:r>
          </w:p>
        </w:tc>
        <w:tc>
          <w:tcPr>
            <w:tcW w:type="dxa" w:w="6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7"/>
                <w:szCs w:val="17"/>
              </w:rPr>
              <w:t xml:space="preserve">Cada camino tiene una propuesta de costo cero ($0 el primer año). Montos en los Informes 08.x.3.</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CONCLUSIÓN</w:t>
            </w:r>
          </w:p>
          <w:p>
            <w:pPr>
              <w:spacing w:after="50" w:line="260"/>
            </w:pPr>
            <w:r>
              <w:rPr>
                <w:color w:val="334155"/>
                <w:sz w:val="19"/>
                <w:szCs w:val="19"/>
              </w:rPr>
              <w:t xml:space="preserve">Es </w:t>
            </w:r>
            <w:r>
              <w:rPr>
                <w:b/>
                <w:bCs/>
                <w:color w:val="0F172A"/>
                <w:sz w:val="19"/>
                <w:szCs w:val="19"/>
              </w:rPr>
              <w:t xml:space="preserve">factible</w:t>
            </w:r>
            <w:r>
              <w:rPr>
                <w:color w:val="334155"/>
                <w:sz w:val="19"/>
                <w:szCs w:val="19"/>
              </w:rPr>
              <w:t xml:space="preserve"> por </w:t>
            </w:r>
            <w:r>
              <w:rPr>
                <w:b/>
                <w:bCs/>
                <w:color w:val="0F172A"/>
                <w:sz w:val="19"/>
                <w:szCs w:val="19"/>
              </w:rPr>
              <w:t xml:space="preserve">canales autorizados</w:t>
            </w:r>
            <w:r>
              <w:rPr>
                <w:color w:val="334155"/>
                <w:sz w:val="19"/>
                <w:szCs w:val="19"/>
              </w:rPr>
              <w:t xml:space="preserve"> y con </w:t>
            </w:r>
            <w:r>
              <w:rPr>
                <w:b/>
                <w:bCs/>
                <w:color w:val="0F172A"/>
                <w:sz w:val="19"/>
                <w:szCs w:val="19"/>
              </w:rPr>
              <w:t xml:space="preserve">una persona confirmando cada envío</w:t>
            </w:r>
            <w:r>
              <w:rPr>
                <w:color w:val="334155"/>
                <w:sz w:val="19"/>
                <w:szCs w:val="19"/>
              </w:rPr>
              <w:t xml:space="preserve">. Iniciar hoy las </w:t>
            </w:r>
            <w:r>
              <w:rPr>
                <w:b/>
                <w:bCs/>
                <w:color w:val="0F172A"/>
                <w:sz w:val="19"/>
                <w:szCs w:val="19"/>
              </w:rPr>
              <w:t xml:space="preserve">gestiones con FONASA</w:t>
            </w:r>
            <w:r>
              <w:rPr>
                <w:color w:val="334155"/>
                <w:sz w:val="19"/>
                <w:szCs w:val="19"/>
              </w:rPr>
              <w:t xml:space="preserve"> (servicio, API y robot), diagnosticar un </w:t>
            </w:r>
            <w:r>
              <w:rPr>
                <w:b/>
                <w:bCs/>
                <w:color w:val="0F172A"/>
                <w:sz w:val="19"/>
                <w:szCs w:val="19"/>
              </w:rPr>
              <w:t xml:space="preserve">SLEP piloto</w:t>
            </w:r>
            <w:r>
              <w:rPr>
                <w:color w:val="334155"/>
                <w:sz w:val="19"/>
                <w:szCs w:val="19"/>
              </w:rPr>
              <w:t xml:space="preserve"> y elegir </w:t>
            </w:r>
            <w:r>
              <w:rPr>
                <w:b/>
                <w:bCs/>
                <w:color w:val="0F172A"/>
                <w:sz w:val="19"/>
                <w:szCs w:val="19"/>
              </w:rPr>
              <w:t xml:space="preserve">camino y nivel de propuesta</w:t>
            </w:r>
            <w:r>
              <w:rPr>
                <w:color w:val="334155"/>
                <w:sz w:val="19"/>
                <w:szCs w:val="19"/>
              </w:rPr>
              <w:t xml:space="preserve"> tras los Informes 08.1 a 08.4, con </w:t>
            </w:r>
            <w:r>
              <w:rPr>
                <w:b/>
                <w:bCs/>
                <w:color w:val="0F172A"/>
                <w:sz w:val="19"/>
                <w:szCs w:val="19"/>
              </w:rPr>
              <w:t xml:space="preserve">piloto funcionando el 27 de noviembre</w:t>
            </w:r>
            <w:r>
              <w:rPr>
                <w:color w:val="334155"/>
                <w:sz w:val="19"/>
                <w:szCs w:val="19"/>
              </w:rPr>
              <w:t xml:space="preserve">.</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02</w:t>
      </w:r>
      <w:r>
        <w:rPr>
          <w:rFonts w:ascii="Consolas" w:cs="Consolas" w:eastAsia="Consolas" w:hAnsi="Consolas"/>
          <w:color w:val="94A3B8"/>
          <w:sz w:val="16"/>
          <w:szCs w:val="16"/>
        </w:rPr>
        <w:t xml:space="preserve">  /  situación actual</w:t>
      </w:r>
    </w:p>
    <w:p>
      <w:pPr>
        <w:pStyle w:val="Heading1"/>
        <w:keepNext/>
        <w:pBdr>
          <w:bottom w:val="single" w:color="E2E8F0" w:sz="6" w:space="6"/>
        </w:pBdr>
        <w:spacing w:after="160"/>
      </w:pPr>
      <w:r>
        <w:rPr>
          <w:rFonts w:ascii="Calibri" w:cs="Calibri" w:eastAsia="Calibri" w:hAnsi="Calibri"/>
          <w:b/>
          <w:bCs/>
          <w:color w:val="0F172A"/>
          <w:sz w:val="34"/>
          <w:szCs w:val="34"/>
        </w:rPr>
        <w:t xml:space="preserve">El proceso actual</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No se puede automatizar bien lo que no se conoce en detalle.</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Describir cómo se tramita hoy una licencia en un SLEP y dónde está el esfuerzo.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Proceso 5.2 del Informe 01, marco del Informe 00 (sección 05) y manual del PIEE.</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2.1  </w:t>
      </w:r>
      <w:r>
        <w:rPr>
          <w:rFonts w:ascii="Calibri" w:cs="Calibri" w:eastAsia="Calibri" w:hAnsi="Calibri"/>
          <w:b/>
          <w:bCs/>
          <w:color w:val="0F172A"/>
          <w:sz w:val="25"/>
          <w:szCs w:val="25"/>
        </w:rPr>
        <w:t xml:space="preserve">Flujo de una licencia en el SLEP</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50"/>
        <w:gridCol w:w="230"/>
        <w:gridCol w:w="1750"/>
        <w:gridCol w:w="230"/>
        <w:gridCol w:w="1750"/>
        <w:gridCol w:w="230"/>
        <w:gridCol w:w="1750"/>
        <w:gridCol w:w="230"/>
        <w:gridCol w:w="1720"/>
      </w:tblGrid>
      <w:tr>
        <w:trPr>
          <w:cantSplit/>
        </w:trPr>
        <w:tc>
          <w:tcPr>
            <w:tcW w:type="dxa" w:w="175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PROFESIONAL</w:t>
            </w:r>
          </w:p>
          <w:p>
            <w:pPr>
              <w:spacing w:after="20" w:line="240"/>
              <w:jc w:val="left"/>
            </w:pPr>
            <w:r>
              <w:rPr>
                <w:b/>
                <w:bCs/>
                <w:color w:val="0F172A"/>
                <w:sz w:val="17"/>
                <w:szCs w:val="17"/>
              </w:rPr>
              <w:t xml:space="preserve">1 · Emisión</w:t>
            </w:r>
          </w:p>
          <w:p>
            <w:pPr>
              <w:spacing w:after="0" w:line="230"/>
              <w:jc w:val="left"/>
            </w:pPr>
            <w:r>
              <w:rPr>
                <w:color w:val="64748B"/>
                <w:sz w:val="14"/>
                <w:szCs w:val="14"/>
              </w:rPr>
              <w:t xml:space="preserve">El profesional emite la licencia médica electrónica</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75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PIEE</w:t>
            </w:r>
          </w:p>
          <w:p>
            <w:pPr>
              <w:spacing w:after="20" w:line="240"/>
              <w:jc w:val="left"/>
            </w:pPr>
            <w:r>
              <w:rPr>
                <w:b/>
                <w:bCs/>
                <w:color w:val="0F172A"/>
                <w:sz w:val="17"/>
                <w:szCs w:val="17"/>
              </w:rPr>
              <w:t xml:space="preserve">2 · Recepción</w:t>
            </w:r>
          </w:p>
          <w:p>
            <w:pPr>
              <w:spacing w:after="0" w:line="230"/>
              <w:jc w:val="left"/>
            </w:pPr>
            <w:r>
              <w:rPr>
                <w:color w:val="64748B"/>
                <w:sz w:val="14"/>
                <w:szCs w:val="14"/>
              </w:rPr>
              <w:t xml:space="preserve">La licencia llega a la bandeja del PIEE del SLEP</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75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SLEP · 3 DÍAS</w:t>
            </w:r>
          </w:p>
          <w:p>
            <w:pPr>
              <w:spacing w:after="20" w:line="240"/>
              <w:jc w:val="left"/>
            </w:pPr>
            <w:r>
              <w:rPr>
                <w:b/>
                <w:bCs/>
                <w:color w:val="0F172A"/>
                <w:sz w:val="17"/>
                <w:szCs w:val="17"/>
              </w:rPr>
              <w:t xml:space="preserve">3 · Zona C</w:t>
            </w:r>
          </w:p>
          <w:p>
            <w:pPr>
              <w:spacing w:after="0" w:line="230"/>
              <w:jc w:val="left"/>
            </w:pPr>
            <w:r>
              <w:rPr>
                <w:color w:val="64748B"/>
                <w:sz w:val="14"/>
                <w:szCs w:val="14"/>
              </w:rPr>
              <w:t xml:space="preserve">Encargado completa datos laborales y remuneraciones</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75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SLEP</w:t>
            </w:r>
          </w:p>
          <w:p>
            <w:pPr>
              <w:spacing w:after="20" w:line="240"/>
              <w:jc w:val="left"/>
            </w:pPr>
            <w:r>
              <w:rPr>
                <w:b/>
                <w:bCs/>
                <w:color w:val="0F172A"/>
                <w:sz w:val="17"/>
                <w:szCs w:val="17"/>
              </w:rPr>
              <w:t xml:space="preserve">4 · Envío</w:t>
            </w:r>
          </w:p>
          <w:p>
            <w:pPr>
              <w:spacing w:after="0" w:line="230"/>
              <w:jc w:val="left"/>
            </w:pPr>
            <w:r>
              <w:rPr>
                <w:color w:val="64748B"/>
                <w:sz w:val="14"/>
                <w:szCs w:val="14"/>
              </w:rPr>
              <w:t xml:space="preserve">A COMPIN o ISAPRE; se guarda comprobante</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72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COMPIN / ISAPRE</w:t>
            </w:r>
          </w:p>
          <w:p>
            <w:pPr>
              <w:spacing w:after="20" w:line="240"/>
              <w:jc w:val="left"/>
            </w:pPr>
            <w:r>
              <w:rPr>
                <w:b/>
                <w:bCs/>
                <w:color w:val="0F172A"/>
                <w:sz w:val="17"/>
                <w:szCs w:val="17"/>
              </w:rPr>
              <w:t xml:space="preserve">5 · Resolución</w:t>
            </w:r>
          </w:p>
          <w:p>
            <w:pPr>
              <w:spacing w:after="0" w:line="230"/>
              <w:jc w:val="left"/>
            </w:pPr>
            <w:r>
              <w:rPr>
                <w:color w:val="64748B"/>
                <w:sz w:val="14"/>
                <w:szCs w:val="14"/>
              </w:rPr>
              <w:t xml:space="preserve">Contralor resuelve; el SLEP sigue y recupera el subsidio</w:t>
            </w:r>
          </w:p>
        </w:tc>
      </w:tr>
    </w:tbl>
    <w:p>
      <w:pPr>
        <w:spacing w:after="200" w:before="80"/>
      </w:pPr>
      <w:r>
        <w:rPr>
          <w:rFonts w:ascii="Consolas" w:cs="Consolas" w:eastAsia="Consolas" w:hAnsi="Consolas"/>
          <w:b/>
          <w:bCs/>
          <w:color w:val="0D9488"/>
          <w:sz w:val="15"/>
          <w:szCs w:val="15"/>
        </w:rPr>
        <w:t xml:space="preserve">FIG. 2  </w:t>
      </w:r>
      <w:r>
        <w:rPr>
          <w:rFonts w:ascii="Calibri" w:cs="Calibri" w:eastAsia="Calibri" w:hAnsi="Calibri"/>
          <w:color w:val="64748B"/>
          <w:sz w:val="16"/>
          <w:szCs w:val="16"/>
        </w:rPr>
        <w:t xml:space="preserve">La parte del SLEP es la zona C y su envío, dentro de 3 días hábiles desde la recepción.</w:t>
      </w:r>
    </w:p>
    <w:p>
      <w:pPr>
        <w:pStyle w:val="Heading2"/>
        <w:keepNext/>
        <w:spacing w:after="120" w:before="260"/>
      </w:pPr>
      <w:r>
        <w:rPr>
          <w:rFonts w:ascii="Consolas" w:cs="Consolas" w:eastAsia="Consolas" w:hAnsi="Consolas"/>
          <w:b/>
          <w:bCs/>
          <w:color w:val="0D9488"/>
          <w:sz w:val="22"/>
          <w:szCs w:val="22"/>
        </w:rPr>
        <w:t xml:space="preserve">2.2  </w:t>
      </w:r>
      <w:r>
        <w:rPr>
          <w:rFonts w:ascii="Calibri" w:cs="Calibri" w:eastAsia="Calibri" w:hAnsi="Calibri"/>
          <w:b/>
          <w:bCs/>
          <w:color w:val="0F172A"/>
          <w:sz w:val="25"/>
          <w:szCs w:val="25"/>
        </w:rPr>
        <w:t xml:space="preserve">Plazos y reglas que condicionan el proceso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gridCol w:w="2500"/>
        <w:gridCol w:w="3540"/>
      </w:tblGrid>
      <w:tr>
        <w:trPr>
          <w:tblHeader/>
        </w:trPr>
        <w:tc>
          <w:tcPr>
            <w:tcW w:type="dxa" w:w="3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REGLA</w:t>
            </w:r>
          </w:p>
        </w:tc>
        <w:tc>
          <w:tcPr>
            <w:tcW w:type="dxa" w:w="25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FUENTE</w:t>
            </w:r>
          </w:p>
        </w:tc>
        <w:tc>
          <w:tcPr>
            <w:tcW w:type="dxa" w:w="35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CONSECUENCIA PARA LA AUTOMATIZACIÓN</w:t>
            </w:r>
          </w:p>
        </w:tc>
      </w:tr>
      <w:tr>
        <w:trPr>
          <w:cantSplit/>
        </w:trPr>
        <w:tc>
          <w:tcPr>
            <w:tcW w:type="dxa" w:w="3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Zona C dentro de 3 días hábiles desde la recepción</w:t>
            </w:r>
          </w:p>
        </w:tc>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DS 3/1984, art. 13</w:t>
            </w:r>
          </w:p>
        </w:tc>
        <w:tc>
          <w:tcPr>
            <w:tcW w:type="dxa" w:w="3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Plazo crítico que el sistema debe vigilar y alertar</w:t>
            </w:r>
          </w:p>
        </w:tc>
      </w:tr>
      <w:tr>
        <w:trPr>
          <w:cantSplit/>
        </w:trPr>
        <w:tc>
          <w:tcPr>
            <w:tcW w:type="dxa" w:w="3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Sábados inhábiles en el sector público</w:t>
            </w:r>
          </w:p>
        </w:tc>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Ley 19.880, art. 25</w:t>
            </w:r>
          </w:p>
        </w:tc>
        <w:tc>
          <w:tcPr>
            <w:tcW w:type="dxa" w:w="3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Calendario hábil con feriados (12-oct en este período)</w:t>
            </w:r>
          </w:p>
        </w:tc>
      </w:tr>
      <w:tr>
        <w:trPr>
          <w:cantSplit/>
        </w:trPr>
        <w:tc>
          <w:tcPr>
            <w:tcW w:type="dxa" w:w="3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El empleador no puede ver el diagnóstico (zona A.6)</w:t>
            </w:r>
          </w:p>
        </w:tc>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Ley 19.628; Circular SUSESO 3779</w:t>
            </w:r>
          </w:p>
        </w:tc>
        <w:tc>
          <w:tcPr>
            <w:tcW w:type="dxa" w:w="3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Nada en el sistema puede capturarlo ni procesarlo</w:t>
            </w:r>
          </w:p>
        </w:tc>
      </w:tr>
      <w:tr>
        <w:trPr>
          <w:cantSplit/>
        </w:trPr>
        <w:tc>
          <w:tcPr>
            <w:tcW w:type="dxa" w:w="3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PIEE único canal desde el 1-oct-2026</w:t>
            </w:r>
          </w:p>
        </w:tc>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FONASA</w:t>
            </w:r>
          </w:p>
        </w:tc>
        <w:tc>
          <w:tcPr>
            <w:tcW w:type="dxa" w:w="3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El Portal Único de Empleadores ya no existe; el PIEE es nuevo</w:t>
            </w:r>
          </w:p>
        </w:tc>
      </w:tr>
      <w:tr>
        <w:trPr>
          <w:cantSplit/>
        </w:trPr>
        <w:tc>
          <w:tcPr>
            <w:tcW w:type="dxa" w:w="3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Pérdida de la recuperación si se tramita fuera de plazo</w:t>
            </w:r>
          </w:p>
        </w:tc>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DS 3/1984; Dictamen E150651N25</w:t>
            </w:r>
          </w:p>
        </w:tc>
        <w:tc>
          <w:tcPr>
            <w:tcW w:type="dxa" w:w="3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Beneficio económico medible de la automatización</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2.3  </w:t>
      </w:r>
      <w:r>
        <w:rPr>
          <w:rFonts w:ascii="Calibri" w:cs="Calibri" w:eastAsia="Calibri" w:hAnsi="Calibri"/>
          <w:b/>
          <w:bCs/>
          <w:color w:val="0F172A"/>
          <w:sz w:val="25"/>
          <w:szCs w:val="25"/>
        </w:rPr>
        <w:t xml:space="preserve">Dónde está el esfuerzo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4000"/>
        <w:gridCol w:w="3040"/>
      </w:tblGrid>
      <w:tr>
        <w:trPr>
          <w:tblHeader/>
        </w:trPr>
        <w:tc>
          <w:tcPr>
            <w:tcW w:type="dxa" w:w="2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DOLOR</w:t>
            </w:r>
          </w:p>
        </w:tc>
        <w:tc>
          <w:tcPr>
            <w:tcW w:type="dxa" w:w="4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EVIDENCIA</w:t>
            </w:r>
          </w:p>
        </w:tc>
        <w:tc>
          <w:tcPr>
            <w:tcW w:type="dxa" w:w="30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EFECTO</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Cruce manual licencia ↔ remuneraciones</w:t>
            </w:r>
          </w:p>
        </w:tc>
        <w:tc>
          <w:tcPr>
            <w:tcW w:type="dxa" w:w="4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La zona C pide haberes de meses anteriores que están en otro sistema</w:t>
            </w:r>
          </w:p>
        </w:tc>
        <w:tc>
          <w:tcPr>
            <w:tcW w:type="dxa" w:w="3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Digitación y errores en la renta informada</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Carga variable con plazo fijo</w:t>
            </w:r>
          </w:p>
        </w:tc>
        <w:tc>
          <w:tcPr>
            <w:tcW w:type="dxa" w:w="4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Semanas con muchas licencias (invierno, brotes)</w:t>
            </w:r>
          </w:p>
        </w:tc>
        <w:tc>
          <w:tcPr>
            <w:tcW w:type="dxa" w:w="3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Riesgo de tramitar fuera de plazo</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Seguimiento en planillas propias</w:t>
            </w:r>
          </w:p>
        </w:tc>
        <w:tc>
          <w:tcPr>
            <w:tcW w:type="dxa" w:w="4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Cada SLEP lleva su Excel sin formato común</w:t>
            </w:r>
          </w:p>
        </w:tc>
        <w:tc>
          <w:tcPr>
            <w:tcW w:type="dxa" w:w="3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Sin visión consolidada para la DEP</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Volumen alto</w:t>
            </w:r>
          </w:p>
        </w:tc>
        <w:tc>
          <w:tcPr>
            <w:tcW w:type="dxa" w:w="4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 900 a 1.100 licencias al mes en un SLEP medio (Informe 08.5, sección 01)</w:t>
            </w:r>
          </w:p>
        </w:tc>
        <w:tc>
          <w:tcPr>
            <w:tcW w:type="dxa" w:w="3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Varias jornadas completas de trabajo administrativo al mes por SLEP</w:t>
            </w:r>
          </w:p>
        </w:tc>
      </w:tr>
    </w:tbl>
    <w:p>
      <w:pPr>
        <w:spacing w:after="120" w:before="0" w:line="120"/>
      </w:pPr>
    </w:p>
    <w:p>
      <w:pPr>
        <w:spacing w:after="140" w:before="0" w:line="276"/>
        <w:jc w:val="left"/>
      </w:pPr>
      <w:r>
        <w:rPr>
          <w:rFonts w:ascii="Calibri" w:cs="Calibri" w:eastAsia="Calibri" w:hAnsi="Calibri"/>
          <w:color w:val="334155"/>
          <w:sz w:val="18"/>
          <w:szCs w:val="18"/>
        </w:rPr>
        <w:t xml:space="preserve">El volumen es una </w:t>
      </w:r>
      <w:r>
        <w:rPr>
          <w:rFonts w:ascii="Calibri" w:cs="Calibri" w:eastAsia="Calibri" w:hAnsi="Calibri"/>
          <w:b/>
          <w:bCs/>
          <w:color w:val="0F172A"/>
          <w:sz w:val="18"/>
          <w:szCs w:val="18"/>
        </w:rPr>
        <w:t xml:space="preserve">estimación</w:t>
      </w:r>
      <w:r>
        <w:rPr>
          <w:rFonts w:ascii="Calibri" w:cs="Calibri" w:eastAsia="Calibri" w:hAnsi="Calibri"/>
          <w:color w:val="334155"/>
          <w:sz w:val="18"/>
          <w:szCs w:val="18"/>
        </w:rPr>
        <w:t xml:space="preserve"> a partir de la dotación de los SLEP y la tasa nacional de licencias por trabajador; se reemplazará por los datos del </w:t>
      </w:r>
      <w:r>
        <w:rPr>
          <w:rFonts w:ascii="Calibri" w:cs="Calibri" w:eastAsia="Calibri" w:hAnsi="Calibri"/>
          <w:b/>
          <w:bCs/>
          <w:color w:val="0F172A"/>
          <w:sz w:val="18"/>
          <w:szCs w:val="18"/>
        </w:rPr>
        <w:t xml:space="preserve">levantamiento a los 36 SLEP</w:t>
      </w:r>
      <w:r>
        <w:rPr>
          <w:rFonts w:ascii="Calibri" w:cs="Calibri" w:eastAsia="Calibri" w:hAnsi="Calibri"/>
          <w:color w:val="334155"/>
          <w:sz w:val="18"/>
          <w:szCs w:val="18"/>
        </w:rPr>
        <w:t xml:space="preserve"> (Informe 08.5, sección 02) y por la línea base medida en el SLEP piloto.</w:t>
      </w:r>
    </w:p>
    <w:p>
      <w:pPr>
        <w:pStyle w:val="Heading2"/>
        <w:keepNext/>
        <w:spacing w:after="120" w:before="260"/>
      </w:pPr>
      <w:r>
        <w:rPr>
          <w:rFonts w:ascii="Consolas" w:cs="Consolas" w:eastAsia="Consolas" w:hAnsi="Consolas"/>
          <w:b/>
          <w:bCs/>
          <w:color w:val="0D9488"/>
          <w:sz w:val="22"/>
          <w:szCs w:val="22"/>
        </w:rPr>
        <w:t xml:space="preserve">2.4  </w:t>
      </w:r>
      <w:r>
        <w:rPr>
          <w:rFonts w:ascii="Calibri" w:cs="Calibri" w:eastAsia="Calibri" w:hAnsi="Calibri"/>
          <w:b/>
          <w:bCs/>
          <w:color w:val="0F172A"/>
          <w:sz w:val="25"/>
          <w:szCs w:val="25"/>
        </w:rPr>
        <w:t xml:space="preserve">Cómo se ejecuta hoy, paso a paso</w:t>
      </w:r>
    </w:p>
    <w:p>
      <w:pPr>
        <w:spacing w:after="140" w:before="0" w:line="276"/>
        <w:jc w:val="left"/>
      </w:pPr>
      <w:r>
        <w:rPr>
          <w:rFonts w:ascii="Calibri" w:cs="Calibri" w:eastAsia="Calibri" w:hAnsi="Calibri"/>
          <w:color w:val="334155"/>
          <w:sz w:val="18"/>
          <w:szCs w:val="18"/>
        </w:rPr>
        <w:t xml:space="preserve">La tramitación manual ocurre entre </w:t>
      </w:r>
      <w:r>
        <w:rPr>
          <w:rFonts w:ascii="Calibri" w:cs="Calibri" w:eastAsia="Calibri" w:hAnsi="Calibri"/>
          <w:b/>
          <w:bCs/>
          <w:color w:val="0F172A"/>
          <w:sz w:val="18"/>
          <w:szCs w:val="18"/>
        </w:rPr>
        <w:t xml:space="preserve">dos sistemas distintos</w:t>
      </w:r>
      <w:r>
        <w:rPr>
          <w:rFonts w:ascii="Calibri" w:cs="Calibri" w:eastAsia="Calibri" w:hAnsi="Calibri"/>
          <w:color w:val="334155"/>
          <w:sz w:val="18"/>
          <w:szCs w:val="18"/>
        </w:rPr>
        <w:t xml:space="preserve">, no uno: el </w:t>
      </w:r>
      <w:r>
        <w:rPr>
          <w:rFonts w:ascii="Calibri" w:cs="Calibri" w:eastAsia="Calibri" w:hAnsi="Calibri"/>
          <w:b/>
          <w:bCs/>
          <w:color w:val="0F172A"/>
          <w:sz w:val="18"/>
          <w:szCs w:val="18"/>
        </w:rPr>
        <w:t xml:space="preserve">portal de FONASA (PIEE)</w:t>
      </w:r>
      <w:r>
        <w:rPr>
          <w:rFonts w:ascii="Calibri" w:cs="Calibri" w:eastAsia="Calibri" w:hAnsi="Calibri"/>
          <w:color w:val="334155"/>
          <w:sz w:val="18"/>
          <w:szCs w:val="18"/>
        </w:rPr>
        <w:t xml:space="preserve">, donde vive la licencia, y el </w:t>
      </w:r>
      <w:r>
        <w:rPr>
          <w:rFonts w:ascii="Calibri" w:cs="Calibri" w:eastAsia="Calibri" w:hAnsi="Calibri"/>
          <w:b/>
          <w:bCs/>
          <w:color w:val="0F172A"/>
          <w:sz w:val="18"/>
          <w:szCs w:val="18"/>
        </w:rPr>
        <w:t xml:space="preserve">sistema de remuneraciones del SLEP (su ERP)</w:t>
      </w:r>
      <w:r>
        <w:rPr>
          <w:rFonts w:ascii="Calibri" w:cs="Calibri" w:eastAsia="Calibri" w:hAnsi="Calibri"/>
          <w:color w:val="334155"/>
          <w:sz w:val="18"/>
          <w:szCs w:val="18"/>
        </w:rPr>
        <w:t xml:space="preserve">, donde viven los sueldos que pide la zona C. El trabajador administrativo es el </w:t>
      </w:r>
      <w:r>
        <w:rPr>
          <w:rFonts w:ascii="Calibri" w:cs="Calibri" w:eastAsia="Calibri" w:hAnsi="Calibri"/>
          <w:b/>
          <w:bCs/>
          <w:color w:val="0F172A"/>
          <w:sz w:val="18"/>
          <w:szCs w:val="18"/>
        </w:rPr>
        <w:t xml:space="preserve">puente</w:t>
      </w:r>
      <w:r>
        <w:rPr>
          <w:rFonts w:ascii="Calibri" w:cs="Calibri" w:eastAsia="Calibri" w:hAnsi="Calibri"/>
          <w:color w:val="334155"/>
          <w:sz w:val="18"/>
          <w:szCs w:val="18"/>
        </w:rPr>
        <w:t xml:space="preserve"> entre ambos: por cada licencia entra a uno, copia datos, entra al otro, los transcribe, y vuelve. En el </w:t>
      </w:r>
      <w:r>
        <w:rPr>
          <w:rFonts w:ascii="Calibri" w:cs="Calibri" w:eastAsia="Calibri" w:hAnsi="Calibri"/>
          <w:b/>
          <w:bCs/>
          <w:color w:val="0F172A"/>
          <w:sz w:val="18"/>
          <w:szCs w:val="18"/>
        </w:rPr>
        <w:t xml:space="preserve">SLEP piloto —Barrancas— ese ERP es Proexsi</w:t>
      </w:r>
      <w:r>
        <w:rPr>
          <w:rFonts w:ascii="Calibri" w:cs="Calibri" w:eastAsia="Calibri" w:hAnsi="Calibri"/>
          <w:color w:val="334155"/>
          <w:sz w:val="18"/>
          <w:szCs w:val="18"/>
        </w:rPr>
        <w:t xml:space="preserve">; cada SLEP puede usar uno distinto (ver el camino de integración con el ERP en los Informes 08.1 a 08.4).</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50"/>
        <w:gridCol w:w="480"/>
        <w:gridCol w:w="2580"/>
        <w:gridCol w:w="480"/>
        <w:gridCol w:w="3050"/>
      </w:tblGrid>
      <w:tr>
        <w:trPr>
          <w:cantSplit/>
        </w:trPr>
        <w:tc>
          <w:tcPr>
            <w:tcW w:type="dxa" w:w="305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SISTEMA 1</w:t>
            </w:r>
          </w:p>
          <w:p>
            <w:pPr>
              <w:spacing w:after="20" w:line="240"/>
              <w:jc w:val="left"/>
            </w:pPr>
            <w:r>
              <w:rPr>
                <w:b/>
                <w:bCs/>
                <w:color w:val="0F172A"/>
                <w:sz w:val="17"/>
                <w:szCs w:val="17"/>
              </w:rPr>
              <w:t xml:space="preserve">ERP del SLEP · Proexsi</w:t>
            </w:r>
          </w:p>
          <w:p>
            <w:pPr>
              <w:spacing w:after="0" w:line="230"/>
              <w:jc w:val="left"/>
            </w:pPr>
            <w:r>
              <w:rPr>
                <w:color w:val="64748B"/>
                <w:sz w:val="14"/>
                <w:szCs w:val="14"/>
              </w:rPr>
              <w:t xml:space="preserve">Remuneraciones: sueldos, imponibles, descuentos, días trabajados</w:t>
            </w:r>
          </w:p>
        </w:tc>
        <w:tc>
          <w:tcPr>
            <w:tcW w:type="dxa" w:w="48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58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 ≈ 1.000 / MES</w:t>
            </w:r>
          </w:p>
          <w:p>
            <w:pPr>
              <w:spacing w:after="20" w:line="240"/>
              <w:jc w:val="left"/>
            </w:pPr>
            <w:r>
              <w:rPr>
                <w:b/>
                <w:bCs/>
                <w:color w:val="0F172A"/>
                <w:sz w:val="17"/>
                <w:szCs w:val="17"/>
              </w:rPr>
              <w:t xml:space="preserve">Trabajador administrativo</w:t>
            </w:r>
          </w:p>
          <w:p>
            <w:pPr>
              <w:spacing w:after="0" w:line="230"/>
              <w:jc w:val="left"/>
            </w:pPr>
            <w:r>
              <w:rPr>
                <w:color w:val="64748B"/>
                <w:sz w:val="14"/>
                <w:szCs w:val="14"/>
              </w:rPr>
              <w:t xml:space="preserve">Copia, calcula y transcribe a mano, caso por caso</w:t>
            </w:r>
          </w:p>
        </w:tc>
        <w:tc>
          <w:tcPr>
            <w:tcW w:type="dxa" w:w="48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305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SISTEMA 2</w:t>
            </w:r>
          </w:p>
          <w:p>
            <w:pPr>
              <w:spacing w:after="20" w:line="240"/>
              <w:jc w:val="left"/>
            </w:pPr>
            <w:r>
              <w:rPr>
                <w:b/>
                <w:bCs/>
                <w:color w:val="0F172A"/>
                <w:sz w:val="17"/>
                <w:szCs w:val="17"/>
              </w:rPr>
              <w:t xml:space="preserve">FONASA · PIEE</w:t>
            </w:r>
          </w:p>
          <w:p>
            <w:pPr>
              <w:spacing w:after="0" w:line="230"/>
              <w:jc w:val="left"/>
            </w:pPr>
            <w:r>
              <w:rPr>
                <w:color w:val="64748B"/>
                <w:sz w:val="14"/>
                <w:szCs w:val="14"/>
              </w:rPr>
              <w:t xml:space="preserve">Licencia y zona C: la parte del empleador</w:t>
            </w:r>
          </w:p>
        </w:tc>
      </w:tr>
    </w:tbl>
    <w:p>
      <w:pPr>
        <w:spacing w:after="200" w:before="80"/>
      </w:pPr>
      <w:r>
        <w:rPr>
          <w:rFonts w:ascii="Consolas" w:cs="Consolas" w:eastAsia="Consolas" w:hAnsi="Consolas"/>
          <w:b/>
          <w:bCs/>
          <w:color w:val="0D9488"/>
          <w:sz w:val="15"/>
          <w:szCs w:val="15"/>
        </w:rPr>
        <w:t xml:space="preserve">FIG. 3  </w:t>
      </w:r>
      <w:r>
        <w:rPr>
          <w:rFonts w:ascii="Calibri" w:cs="Calibri" w:eastAsia="Calibri" w:hAnsi="Calibri"/>
          <w:color w:val="64748B"/>
          <w:sz w:val="16"/>
          <w:szCs w:val="16"/>
        </w:rPr>
        <w:t xml:space="preserve">El trabajador es el único enlace entre los dos sistemas, y repite todo el recorrido por cada licencia.</w:t>
      </w:r>
    </w:p>
    <w:p>
      <w:pPr>
        <w:spacing w:after="140" w:before="0" w:line="276"/>
        <w:jc w:val="left"/>
      </w:pPr>
      <w:r>
        <w:rPr>
          <w:rFonts w:ascii="Calibri" w:cs="Calibri" w:eastAsia="Calibri" w:hAnsi="Calibri"/>
          <w:color w:val="334155"/>
          <w:sz w:val="18"/>
          <w:szCs w:val="18"/>
        </w:rPr>
        <w:t xml:space="preserve">El recorrido completo de </w:t>
      </w:r>
      <w:r>
        <w:rPr>
          <w:rFonts w:ascii="Calibri" w:cs="Calibri" w:eastAsia="Calibri" w:hAnsi="Calibri"/>
          <w:b/>
          <w:bCs/>
          <w:color w:val="0F172A"/>
          <w:sz w:val="18"/>
          <w:szCs w:val="18"/>
        </w:rPr>
        <w:t xml:space="preserve">una sola licencia</w:t>
      </w:r>
      <w:r>
        <w:rPr>
          <w:rFonts w:ascii="Calibri" w:cs="Calibri" w:eastAsia="Calibri" w:hAnsi="Calibri"/>
          <w:color w:val="334155"/>
          <w:sz w:val="18"/>
          <w:szCs w:val="18"/>
        </w:rPr>
        <w:t xml:space="preserve"> tiene del orden de </w:t>
      </w:r>
      <w:r>
        <w:rPr>
          <w:rFonts w:ascii="Calibri" w:cs="Calibri" w:eastAsia="Calibri" w:hAnsi="Calibri"/>
          <w:b/>
          <w:bCs/>
          <w:color w:val="0F172A"/>
          <w:sz w:val="18"/>
          <w:szCs w:val="18"/>
        </w:rPr>
        <w:t xml:space="preserve">quince pasos manuales</w:t>
      </w:r>
      <w:r>
        <w:rPr>
          <w:rFonts w:ascii="Calibri" w:cs="Calibri" w:eastAsia="Calibri" w:hAnsi="Calibri"/>
          <w:color w:val="334155"/>
          <w:sz w:val="18"/>
          <w:szCs w:val="18"/>
        </w:rPr>
        <w:t xml:space="preserve">, repartidos entre los dos sistemas y una planilla propia. Multiplicado por el volumen mensual, es de donde sale la carga que se busca eliminar:</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0"/>
        <w:gridCol w:w="1550"/>
        <w:gridCol w:w="3560"/>
        <w:gridCol w:w="4100"/>
      </w:tblGrid>
      <w:tr>
        <w:trPr>
          <w:tblHeader/>
        </w:trPr>
        <w:tc>
          <w:tcPr>
            <w:tcW w:type="dxa" w:w="43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w:t>
            </w:r>
          </w:p>
        </w:tc>
        <w:tc>
          <w:tcPr>
            <w:tcW w:type="dxa" w:w="155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DÓNDE</w:t>
            </w:r>
          </w:p>
        </w:tc>
        <w:tc>
          <w:tcPr>
            <w:tcW w:type="dxa" w:w="356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HACE EL TRABAJADOR, A MANO</w:t>
            </w:r>
          </w:p>
        </w:tc>
        <w:tc>
          <w:tcPr>
            <w:tcW w:type="dxa" w:w="4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DATOS QUE MANEJA EN ESE PASO</w:t>
            </w:r>
          </w:p>
        </w:tc>
      </w:tr>
      <w:tr>
        <w:trPr>
          <w:cantSplit/>
        </w:trPr>
        <w:tc>
          <w:tcPr>
            <w:tcW w:type="dxa" w:w="43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3"/>
                <w:szCs w:val="13"/>
              </w:rPr>
              <w:t xml:space="preserve">1</w:t>
            </w:r>
          </w:p>
        </w:tc>
        <w:tc>
          <w:tcPr>
            <w:tcW w:type="dxa" w:w="15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FONASA · PIEE</w:t>
            </w:r>
          </w:p>
        </w:tc>
        <w:tc>
          <w:tcPr>
            <w:tcW w:type="dxa" w:w="356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Inicia sesión en el portal con su ClaveÚnica</w:t>
            </w:r>
          </w:p>
        </w:tc>
        <w:tc>
          <w:tcPr>
            <w:tcW w:type="dxa" w:w="4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Usuario · ClaveÚnica · segundo factor</w:t>
            </w:r>
          </w:p>
        </w:tc>
      </w:tr>
      <w:tr>
        <w:trPr>
          <w:cantSplit/>
        </w:trPr>
        <w:tc>
          <w:tcPr>
            <w:tcW w:type="dxa" w:w="43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3"/>
                <w:szCs w:val="13"/>
              </w:rPr>
              <w:t xml:space="preserve">2</w:t>
            </w:r>
          </w:p>
        </w:tc>
        <w:tc>
          <w:tcPr>
            <w:tcW w:type="dxa" w:w="155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FONASA · PIEE</w:t>
            </w:r>
          </w:p>
        </w:tc>
        <w:tc>
          <w:tcPr>
            <w:tcW w:type="dxa" w:w="356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Revisa la bandeja y detecta licencias nuevas o con cambio de estado</w:t>
            </w:r>
          </w:p>
        </w:tc>
        <w:tc>
          <w:tcPr>
            <w:tcW w:type="dxa" w:w="410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Folio · RUT · fecha de emisión · estado</w:t>
            </w:r>
          </w:p>
        </w:tc>
      </w:tr>
      <w:tr>
        <w:trPr>
          <w:cantSplit/>
        </w:trPr>
        <w:tc>
          <w:tcPr>
            <w:tcW w:type="dxa" w:w="43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3"/>
                <w:szCs w:val="13"/>
              </w:rPr>
              <w:t xml:space="preserve">3</w:t>
            </w:r>
          </w:p>
        </w:tc>
        <w:tc>
          <w:tcPr>
            <w:tcW w:type="dxa" w:w="15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FONASA · PIEE</w:t>
            </w:r>
          </w:p>
        </w:tc>
        <w:tc>
          <w:tcPr>
            <w:tcW w:type="dxa" w:w="356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Abre cada licencia y anota sus datos</w:t>
            </w:r>
          </w:p>
        </w:tc>
        <w:tc>
          <w:tcPr>
            <w:tcW w:type="dxa" w:w="4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Folio · RUT · días de reposo · fechas desde–hasta · entidad pagadora</w:t>
            </w:r>
          </w:p>
        </w:tc>
      </w:tr>
      <w:tr>
        <w:trPr>
          <w:cantSplit/>
        </w:trPr>
        <w:tc>
          <w:tcPr>
            <w:tcW w:type="dxa" w:w="43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3"/>
                <w:szCs w:val="13"/>
              </w:rPr>
              <w:t xml:space="preserve">4</w:t>
            </w:r>
          </w:p>
        </w:tc>
        <w:tc>
          <w:tcPr>
            <w:tcW w:type="dxa" w:w="155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Planilla propia</w:t>
            </w:r>
          </w:p>
        </w:tc>
        <w:tc>
          <w:tcPr>
            <w:tcW w:type="dxa" w:w="356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Calcula el vencimiento (3 días hábiles) y lo anota</w:t>
            </w:r>
          </w:p>
        </w:tc>
        <w:tc>
          <w:tcPr>
            <w:tcW w:type="dxa" w:w="410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Fecha de recepción · calendario hábil · feriados</w:t>
            </w:r>
          </w:p>
        </w:tc>
      </w:tr>
      <w:tr>
        <w:trPr>
          <w:cantSplit/>
        </w:trPr>
        <w:tc>
          <w:tcPr>
            <w:tcW w:type="dxa" w:w="43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3"/>
                <w:szCs w:val="13"/>
              </w:rPr>
              <w:t xml:space="preserve">5</w:t>
            </w:r>
          </w:p>
        </w:tc>
        <w:tc>
          <w:tcPr>
            <w:tcW w:type="dxa" w:w="15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ERP · Proexsi</w:t>
            </w:r>
          </w:p>
        </w:tc>
        <w:tc>
          <w:tcPr>
            <w:tcW w:type="dxa" w:w="356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Cierra el portal, abre el ERP e inicia sesión</w:t>
            </w:r>
          </w:p>
        </w:tc>
        <w:tc>
          <w:tcPr>
            <w:tcW w:type="dxa" w:w="4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Usuario y clave del ERP</w:t>
            </w:r>
          </w:p>
        </w:tc>
      </w:tr>
      <w:tr>
        <w:trPr>
          <w:cantSplit/>
        </w:trPr>
        <w:tc>
          <w:tcPr>
            <w:tcW w:type="dxa" w:w="43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3"/>
                <w:szCs w:val="13"/>
              </w:rPr>
              <w:t xml:space="preserve">6</w:t>
            </w:r>
          </w:p>
        </w:tc>
        <w:tc>
          <w:tcPr>
            <w:tcW w:type="dxa" w:w="155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ERP · Proexsi</w:t>
            </w:r>
          </w:p>
        </w:tc>
        <w:tc>
          <w:tcPr>
            <w:tcW w:type="dxa" w:w="356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Busca al trabajador por RUT</w:t>
            </w:r>
          </w:p>
        </w:tc>
        <w:tc>
          <w:tcPr>
            <w:tcW w:type="dxa" w:w="410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RUT · nombre · cargo · establecimiento</w:t>
            </w:r>
          </w:p>
        </w:tc>
      </w:tr>
      <w:tr>
        <w:trPr>
          <w:cantSplit/>
        </w:trPr>
        <w:tc>
          <w:tcPr>
            <w:tcW w:type="dxa" w:w="43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3"/>
                <w:szCs w:val="13"/>
              </w:rPr>
              <w:t xml:space="preserve">7</w:t>
            </w:r>
          </w:p>
        </w:tc>
        <w:tc>
          <w:tcPr>
            <w:tcW w:type="dxa" w:w="15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ERP · Proexsi</w:t>
            </w:r>
          </w:p>
        </w:tc>
        <w:tc>
          <w:tcPr>
            <w:tcW w:type="dxa" w:w="356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Consulta las remuneraciones de los períodos que pide la zona C</w:t>
            </w:r>
          </w:p>
        </w:tc>
        <w:tc>
          <w:tcPr>
            <w:tcW w:type="dxa" w:w="4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Sueldo base · imponibles · asignaciones · horas extra · descuentos · días trabajados · AFP · salud</w:t>
            </w:r>
          </w:p>
        </w:tc>
      </w:tr>
      <w:tr>
        <w:trPr>
          <w:cantSplit/>
        </w:trPr>
        <w:tc>
          <w:tcPr>
            <w:tcW w:type="dxa" w:w="43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3"/>
                <w:szCs w:val="13"/>
              </w:rPr>
              <w:t xml:space="preserve">8</w:t>
            </w:r>
          </w:p>
        </w:tc>
        <w:tc>
          <w:tcPr>
            <w:tcW w:type="dxa" w:w="155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Papel / planilla</w:t>
            </w:r>
          </w:p>
        </w:tc>
        <w:tc>
          <w:tcPr>
            <w:tcW w:type="dxa" w:w="356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Transcribe o copia esos haberes</w:t>
            </w:r>
          </w:p>
        </w:tc>
        <w:tc>
          <w:tcPr>
            <w:tcW w:type="dxa" w:w="410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 20–30 montos por período, varios períodos</w:t>
            </w:r>
          </w:p>
        </w:tc>
      </w:tr>
      <w:tr>
        <w:trPr>
          <w:cantSplit/>
        </w:trPr>
        <w:tc>
          <w:tcPr>
            <w:tcW w:type="dxa" w:w="43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3"/>
                <w:szCs w:val="13"/>
              </w:rPr>
              <w:t xml:space="preserve">9</w:t>
            </w:r>
          </w:p>
        </w:tc>
        <w:tc>
          <w:tcPr>
            <w:tcW w:type="dxa" w:w="15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FONASA · PIEE</w:t>
            </w:r>
          </w:p>
        </w:tc>
        <w:tc>
          <w:tcPr>
            <w:tcW w:type="dxa" w:w="356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Vuelve al portal y reabre la licencia</w:t>
            </w:r>
          </w:p>
        </w:tc>
        <w:tc>
          <w:tcPr>
            <w:tcW w:type="dxa" w:w="4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Folio</w:t>
            </w:r>
          </w:p>
        </w:tc>
      </w:tr>
      <w:tr>
        <w:trPr>
          <w:cantSplit/>
        </w:trPr>
        <w:tc>
          <w:tcPr>
            <w:tcW w:type="dxa" w:w="43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3"/>
                <w:szCs w:val="13"/>
              </w:rPr>
              <w:t xml:space="preserve">10</w:t>
            </w:r>
          </w:p>
        </w:tc>
        <w:tc>
          <w:tcPr>
            <w:tcW w:type="dxa" w:w="155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FONASA · PIEE</w:t>
            </w:r>
          </w:p>
        </w:tc>
        <w:tc>
          <w:tcPr>
            <w:tcW w:type="dxa" w:w="356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Rellena la zona C con los datos laborales y de remuneraciones</w:t>
            </w:r>
          </w:p>
        </w:tc>
        <w:tc>
          <w:tcPr>
            <w:tcW w:type="dxa" w:w="410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Identificación del empleador · régimen · haberes por período · días no trabajados · licencias anteriores (≈ 30 campos)</w:t>
            </w:r>
          </w:p>
        </w:tc>
      </w:tr>
      <w:tr>
        <w:trPr>
          <w:cantSplit/>
        </w:trPr>
        <w:tc>
          <w:tcPr>
            <w:tcW w:type="dxa" w:w="43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3"/>
                <w:szCs w:val="13"/>
              </w:rPr>
              <w:t xml:space="preserve">11</w:t>
            </w:r>
          </w:p>
        </w:tc>
        <w:tc>
          <w:tcPr>
            <w:tcW w:type="dxa" w:w="15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FONASA · PIEE</w:t>
            </w:r>
          </w:p>
        </w:tc>
        <w:tc>
          <w:tcPr>
            <w:tcW w:type="dxa" w:w="356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Revisa que los montos cuadren y corrige</w:t>
            </w:r>
          </w:p>
        </w:tc>
        <w:tc>
          <w:tcPr>
            <w:tcW w:type="dxa" w:w="4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Totales · topes imponibles</w:t>
            </w:r>
          </w:p>
        </w:tc>
      </w:tr>
      <w:tr>
        <w:trPr>
          <w:cantSplit/>
        </w:trPr>
        <w:tc>
          <w:tcPr>
            <w:tcW w:type="dxa" w:w="43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3"/>
                <w:szCs w:val="13"/>
              </w:rPr>
              <w:t xml:space="preserve">12</w:t>
            </w:r>
          </w:p>
        </w:tc>
        <w:tc>
          <w:tcPr>
            <w:tcW w:type="dxa" w:w="155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FONASA · PIEE</w:t>
            </w:r>
          </w:p>
        </w:tc>
        <w:tc>
          <w:tcPr>
            <w:tcW w:type="dxa" w:w="356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Envía la zona C y descarga el comprobante</w:t>
            </w:r>
          </w:p>
        </w:tc>
        <w:tc>
          <w:tcPr>
            <w:tcW w:type="dxa" w:w="410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Comprobante / acuse · fecha de envío</w:t>
            </w:r>
          </w:p>
        </w:tc>
      </w:tr>
      <w:tr>
        <w:trPr>
          <w:cantSplit/>
        </w:trPr>
        <w:tc>
          <w:tcPr>
            <w:tcW w:type="dxa" w:w="43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3"/>
                <w:szCs w:val="13"/>
              </w:rPr>
              <w:t xml:space="preserve">13</w:t>
            </w:r>
          </w:p>
        </w:tc>
        <w:tc>
          <w:tcPr>
            <w:tcW w:type="dxa" w:w="15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Planilla propia</w:t>
            </w:r>
          </w:p>
        </w:tc>
        <w:tc>
          <w:tcPr>
            <w:tcW w:type="dxa" w:w="356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Registra en su Excel que la licencia quedó tramitada</w:t>
            </w:r>
          </w:p>
        </w:tc>
        <w:tc>
          <w:tcPr>
            <w:tcW w:type="dxa" w:w="4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Folio · fecha · estado · encargado</w:t>
            </w:r>
          </w:p>
        </w:tc>
      </w:tr>
      <w:tr>
        <w:trPr>
          <w:cantSplit/>
        </w:trPr>
        <w:tc>
          <w:tcPr>
            <w:tcW w:type="dxa" w:w="43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3"/>
                <w:szCs w:val="13"/>
              </w:rPr>
              <w:t xml:space="preserve">14</w:t>
            </w:r>
          </w:p>
        </w:tc>
        <w:tc>
          <w:tcPr>
            <w:tcW w:type="dxa" w:w="155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ERP · Proexsi</w:t>
            </w:r>
          </w:p>
        </w:tc>
        <w:tc>
          <w:tcPr>
            <w:tcW w:type="dxa" w:w="356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Cuando se resuelve, ingresa la licencia al ERP para que recalcule la remuneración</w:t>
            </w:r>
          </w:p>
        </w:tc>
        <w:tc>
          <w:tcPr>
            <w:tcW w:type="dxa" w:w="4100"/>
            <w:tcBorders>
              <w:top w:val="none" w:color="FFFFFF" w:sz="0"/>
              <w:left w:val="none" w:color="FFFFFF" w:sz="0"/>
              <w:bottom w:val="single" w:color="E2E8F0" w:sz="4"/>
              <w:right w:val="none" w:color="FFFFFF" w:sz="0"/>
            </w:tcBorders>
            <w:shd w:fill="F8FAFC" w:color="auto" w:val="clear"/>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Folio · días de licencia · subsidio · descuentos por días no trabajados</w:t>
            </w:r>
          </w:p>
        </w:tc>
      </w:tr>
      <w:tr>
        <w:trPr>
          <w:cantSplit/>
        </w:trPr>
        <w:tc>
          <w:tcPr>
            <w:tcW w:type="dxa" w:w="43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3"/>
                <w:szCs w:val="13"/>
              </w:rPr>
              <w:t xml:space="preserve">15</w:t>
            </w:r>
          </w:p>
        </w:tc>
        <w:tc>
          <w:tcPr>
            <w:tcW w:type="dxa" w:w="15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FONASA · PIEE</w:t>
            </w:r>
          </w:p>
        </w:tc>
        <w:tc>
          <w:tcPr>
            <w:tcW w:type="dxa" w:w="356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Si la licencia fue devuelta, corrige y repite el envío</w:t>
            </w:r>
          </w:p>
        </w:tc>
        <w:tc>
          <w:tcPr>
            <w:tcW w:type="dxa" w:w="4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3"/>
                <w:szCs w:val="13"/>
              </w:rPr>
              <w:t xml:space="preserve">Motivo del rechazo · datos corregidos</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B45309" w:sz="24"/>
              <w:bottom w:val="none" w:color="FFFFFF" w:sz="0"/>
              <w:right w:val="none" w:color="FFFFFF" w:sz="0"/>
            </w:tcBorders>
            <w:shd w:fill="FFFBEB" w:color="auto" w:val="clear"/>
            <w:tcMar>
              <w:top w:type="dxa" w:w="110"/>
              <w:left w:type="dxa" w:w="220"/>
              <w:bottom w:type="dxa" w:w="110"/>
              <w:right w:type="dxa" w:w="110"/>
            </w:tcMar>
            <w:vAlign w:val="top"/>
          </w:tcPr>
          <w:p>
            <w:pPr>
              <w:spacing w:after="60"/>
            </w:pPr>
            <w:r>
              <w:rPr>
                <w:rFonts w:ascii="Consolas" w:cs="Consolas" w:eastAsia="Consolas" w:hAnsi="Consolas"/>
                <w:b/>
                <w:bCs/>
                <w:color w:val="B45309"/>
                <w:spacing w:val="20"/>
                <w:sz w:val="15"/>
                <w:szCs w:val="15"/>
              </w:rPr>
              <w:t xml:space="preserve">DE DÓNDE VIENE EL PESO DEL PROCESO</w:t>
            </w:r>
          </w:p>
          <w:p>
            <w:pPr>
              <w:spacing w:after="50" w:line="260"/>
            </w:pPr>
            <w:r>
              <w:rPr>
                <w:color w:val="334155"/>
                <w:sz w:val="19"/>
                <w:szCs w:val="19"/>
              </w:rPr>
              <w:t xml:space="preserve">≈ </w:t>
            </w:r>
            <w:r>
              <w:rPr>
                <w:b/>
                <w:bCs/>
                <w:color w:val="0F172A"/>
                <w:sz w:val="19"/>
                <w:szCs w:val="19"/>
              </w:rPr>
              <w:t xml:space="preserve">15 pasos</w:t>
            </w:r>
            <w:r>
              <w:rPr>
                <w:color w:val="334155"/>
                <w:sz w:val="19"/>
                <w:szCs w:val="19"/>
              </w:rPr>
              <w:t xml:space="preserve"> y ≈ </w:t>
            </w:r>
            <w:r>
              <w:rPr>
                <w:b/>
                <w:bCs/>
                <w:color w:val="0F172A"/>
                <w:sz w:val="19"/>
                <w:szCs w:val="19"/>
              </w:rPr>
              <w:t xml:space="preserve">30 datos digitados por licencia</w:t>
            </w:r>
            <w:r>
              <w:rPr>
                <w:color w:val="334155"/>
                <w:sz w:val="19"/>
                <w:szCs w:val="19"/>
              </w:rPr>
              <w:t xml:space="preserve">, con </w:t>
            </w:r>
            <w:r>
              <w:rPr>
                <w:b/>
                <w:bCs/>
                <w:color w:val="0F172A"/>
                <w:sz w:val="19"/>
                <w:szCs w:val="19"/>
              </w:rPr>
              <w:t xml:space="preserve">dos sistemas abiertos a la vez</w:t>
            </w:r>
            <w:r>
              <w:rPr>
                <w:color w:val="334155"/>
                <w:sz w:val="19"/>
                <w:szCs w:val="19"/>
              </w:rPr>
              <w:t xml:space="preserve"> (FONASA y el ERP) más una planilla aparte. En un SLEP mediano, ≈ </w:t>
            </w:r>
            <w:r>
              <w:rPr>
                <w:b/>
                <w:bCs/>
                <w:color w:val="0F172A"/>
                <w:sz w:val="19"/>
                <w:szCs w:val="19"/>
              </w:rPr>
              <w:t xml:space="preserve">1.000 licencias al mes</w:t>
            </w:r>
            <w:r>
              <w:rPr>
                <w:color w:val="334155"/>
                <w:sz w:val="19"/>
                <w:szCs w:val="19"/>
              </w:rPr>
              <w:t xml:space="preserve"> ⇒ del orden de </w:t>
            </w:r>
            <w:r>
              <w:rPr>
                <w:b/>
                <w:bCs/>
                <w:color w:val="0F172A"/>
                <w:sz w:val="19"/>
                <w:szCs w:val="19"/>
              </w:rPr>
              <w:t xml:space="preserve">15.000 acciones</w:t>
            </w:r>
            <w:r>
              <w:rPr>
                <w:color w:val="334155"/>
                <w:sz w:val="19"/>
                <w:szCs w:val="19"/>
              </w:rPr>
              <w:t xml:space="preserve"> y </w:t>
            </w:r>
            <w:r>
              <w:rPr>
                <w:b/>
                <w:bCs/>
                <w:color w:val="0F172A"/>
                <w:sz w:val="19"/>
                <w:szCs w:val="19"/>
              </w:rPr>
              <w:t xml:space="preserve">30.000 datos tecleados al mes</w:t>
            </w:r>
            <w:r>
              <w:rPr>
                <w:color w:val="334155"/>
                <w:sz w:val="19"/>
                <w:szCs w:val="19"/>
              </w:rPr>
              <w:t xml:space="preserve">, con riesgo de error y de vencimiento. A 12 minutos por licencia son ≈ </w:t>
            </w:r>
            <w:r>
              <w:rPr>
                <w:b/>
                <w:bCs/>
                <w:color w:val="0F172A"/>
                <w:sz w:val="19"/>
                <w:szCs w:val="19"/>
              </w:rPr>
              <w:t xml:space="preserve">200 horas al mes</w:t>
            </w:r>
            <w:r>
              <w:rPr>
                <w:color w:val="334155"/>
                <w:sz w:val="19"/>
                <w:szCs w:val="19"/>
              </w:rPr>
              <w:t xml:space="preserve"> —más de una jornada completa cada día hábil— dedicadas solo a esta tarea. Los pasos 5 a 8 y el 14 son el </w:t>
            </w:r>
            <w:r>
              <w:rPr>
                <w:b/>
                <w:bCs/>
                <w:color w:val="0F172A"/>
                <w:sz w:val="19"/>
                <w:szCs w:val="19"/>
              </w:rPr>
              <w:t xml:space="preserve">cruce con el ERP</w:t>
            </w:r>
            <w:r>
              <w:rPr>
                <w:color w:val="334155"/>
                <w:sz w:val="19"/>
                <w:szCs w:val="19"/>
              </w:rPr>
              <w:t xml:space="preserve">; los demás, el </w:t>
            </w:r>
            <w:r>
              <w:rPr>
                <w:b/>
                <w:bCs/>
                <w:color w:val="0F172A"/>
                <w:sz w:val="19"/>
                <w:szCs w:val="19"/>
              </w:rPr>
              <w:t xml:space="preserve">frente FONASA</w:t>
            </w:r>
            <w:r>
              <w:rPr>
                <w:color w:val="334155"/>
                <w:sz w:val="19"/>
                <w:szCs w:val="19"/>
              </w:rPr>
              <w:t xml:space="preserve">.</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03</w:t>
      </w:r>
      <w:r>
        <w:rPr>
          <w:rFonts w:ascii="Consolas" w:cs="Consolas" w:eastAsia="Consolas" w:hAnsi="Consolas"/>
          <w:color w:val="94A3B8"/>
          <w:sz w:val="16"/>
          <w:szCs w:val="16"/>
        </w:rPr>
        <w:t xml:space="preserve">  /  alcance</w:t>
      </w:r>
    </w:p>
    <w:p>
      <w:pPr>
        <w:pStyle w:val="Heading1"/>
        <w:keepNext/>
        <w:pBdr>
          <w:bottom w:val="single" w:color="E2E8F0" w:sz="6" w:space="6"/>
        </w:pBdr>
        <w:spacing w:after="160"/>
      </w:pPr>
      <w:r>
        <w:rPr>
          <w:rFonts w:ascii="Calibri" w:cs="Calibri" w:eastAsia="Calibri" w:hAnsi="Calibri"/>
          <w:b/>
          <w:bCs/>
          <w:color w:val="0F172A"/>
          <w:sz w:val="34"/>
          <w:szCs w:val="34"/>
        </w:rPr>
        <w:t xml:space="preserve">Objetivo y alcance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Automatizar "todo" de una vez no es factible en dos meses ni prudente con datos de salud.</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Fijar qué tareas se automatizan en el piloto, cuáles nunca y cómo se medirá el resultado.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Catastro de tareas candidatas, límites legales y metas medibles.</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3.1  </w:t>
      </w:r>
      <w:r>
        <w:rPr>
          <w:rFonts w:ascii="Calibri" w:cs="Calibri" w:eastAsia="Calibri" w:hAnsi="Calibri"/>
          <w:b/>
          <w:bCs/>
          <w:color w:val="0F172A"/>
          <w:sz w:val="25"/>
          <w:szCs w:val="25"/>
        </w:rPr>
        <w:t xml:space="preserve">Objetivo</w:t>
      </w:r>
    </w:p>
    <w:p>
      <w:pPr>
        <w:spacing w:after="140" w:before="0" w:line="276"/>
        <w:jc w:val="left"/>
      </w:pPr>
      <w:r>
        <w:rPr>
          <w:rFonts w:ascii="Calibri" w:cs="Calibri" w:eastAsia="Calibri" w:hAnsi="Calibri"/>
          <w:b/>
          <w:bCs/>
          <w:color w:val="0F172A"/>
          <w:sz w:val="20"/>
          <w:szCs w:val="20"/>
        </w:rPr>
        <w:t xml:space="preserve">Que ninguna licencia de un SLEP piloto se tramite fuera de plazo y que el encargado dedique su tiempo a revisar y confirmar, no a digitar</w:t>
      </w:r>
      <w:r>
        <w:rPr>
          <w:rFonts w:ascii="Calibri" w:cs="Calibri" w:eastAsia="Calibri" w:hAnsi="Calibri"/>
          <w:color w:val="334155"/>
          <w:sz w:val="20"/>
          <w:szCs w:val="20"/>
        </w:rPr>
        <w:t xml:space="preserve">, dejando una base reutilizable para los 36 SLEP y para automatizar otros procesos de GDP-SLEP.</w:t>
      </w:r>
    </w:p>
    <w:p>
      <w:pPr>
        <w:pStyle w:val="Heading2"/>
        <w:keepNext/>
        <w:spacing w:after="120" w:before="260"/>
      </w:pPr>
      <w:r>
        <w:rPr>
          <w:rFonts w:ascii="Consolas" w:cs="Consolas" w:eastAsia="Consolas" w:hAnsi="Consolas"/>
          <w:b/>
          <w:bCs/>
          <w:color w:val="0D9488"/>
          <w:sz w:val="22"/>
          <w:szCs w:val="22"/>
        </w:rPr>
        <w:t xml:space="preserve">3.2  </w:t>
      </w:r>
      <w:r>
        <w:rPr>
          <w:rFonts w:ascii="Calibri" w:cs="Calibri" w:eastAsia="Calibri" w:hAnsi="Calibri"/>
          <w:b/>
          <w:bCs/>
          <w:color w:val="0F172A"/>
          <w:sz w:val="25"/>
          <w:szCs w:val="25"/>
        </w:rPr>
        <w:t xml:space="preserve">Tareas candidatas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2100"/>
        <w:gridCol w:w="2800"/>
        <w:gridCol w:w="1640"/>
      </w:tblGrid>
      <w:tr>
        <w:trPr>
          <w:tblHeader/>
        </w:trPr>
        <w:tc>
          <w:tcPr>
            <w:tcW w:type="dxa" w:w="3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TAREA</w:t>
            </w:r>
          </w:p>
        </w:tc>
        <w:tc>
          <w:tcPr>
            <w:tcW w:type="dxa" w:w="2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HOY</w:t>
            </w:r>
          </w:p>
        </w:tc>
        <w:tc>
          <w:tcPr>
            <w:tcW w:type="dxa" w:w="2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 AUTOMATIZACIÓN</w:t>
            </w:r>
          </w:p>
        </w:tc>
        <w:tc>
          <w:tcPr>
            <w:tcW w:type="dxa" w:w="16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PILOTO</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Detectar licencias nuevas y calcular su vencimiento</w:t>
            </w:r>
          </w:p>
        </w:tc>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Revisión del PIEE y planilla</w:t>
            </w:r>
          </w:p>
        </w:tc>
        <w:tc>
          <w:tcPr>
            <w:tcW w:type="dxa" w:w="2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Lectura desde la fuente autorizada y alertas en calendario hábil</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5"/>
                <w:szCs w:val="15"/>
              </w:rPr>
              <w:t xml:space="preserve">● Sí</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Obtener los datos de remuneraciones</w:t>
            </w:r>
          </w:p>
        </w:tc>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Buscar en el sistema de sueldos</w:t>
            </w:r>
          </w:p>
        </w:tc>
        <w:tc>
          <w:tcPr>
            <w:tcW w:type="dxa" w:w="2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Cruce con un archivo o servicio de remuneraciones</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5"/>
                <w:szCs w:val="15"/>
              </w:rPr>
              <w:t xml:space="preserve">● Sí</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Enviar las liquidaciones de sueldo que pide el portal</w:t>
            </w:r>
          </w:p>
        </w:tc>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Buscar y adjuntar en el PIEE</w:t>
            </w:r>
          </w:p>
        </w:tc>
        <w:tc>
          <w:tcPr>
            <w:tcW w:type="dxa" w:w="2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Obtención desde el ERP y carga asistida en el portal</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5"/>
                <w:szCs w:val="15"/>
              </w:rPr>
              <w:t xml:space="preserve">● Sí, asistido</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Responder otros datos que solicita el portal de FONASA</w:t>
            </w:r>
          </w:p>
        </w:tc>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Consultar el ERP y digitar</w:t>
            </w:r>
          </w:p>
        </w:tc>
        <w:tc>
          <w:tcPr>
            <w:tcW w:type="dxa" w:w="2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Datos tomados del ERP y enviados con confirmación de una persona</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5"/>
                <w:szCs w:val="15"/>
              </w:rPr>
              <w:t xml:space="preserve">● Sí, asistido</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Preparar la zona C</w:t>
            </w:r>
          </w:p>
        </w:tc>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Digitación</w:t>
            </w:r>
          </w:p>
        </w:tc>
        <w:tc>
          <w:tcPr>
            <w:tcW w:type="dxa" w:w="2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Borrador prellenado para revisión</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5"/>
                <w:szCs w:val="15"/>
              </w:rPr>
              <w:t xml:space="preserve">● Sí</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Enviar la zona C</w:t>
            </w:r>
          </w:p>
        </w:tc>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Clic del encargado</w:t>
            </w:r>
          </w:p>
        </w:tc>
        <w:tc>
          <w:tcPr>
            <w:tcW w:type="dxa" w:w="2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Envío </w:t>
            </w:r>
            <w:r>
              <w:rPr>
                <w:rFonts w:ascii="Calibri" w:cs="Calibri" w:eastAsia="Calibri" w:hAnsi="Calibri"/>
                <w:b/>
                <w:bCs/>
                <w:color w:val="0F172A"/>
                <w:sz w:val="15"/>
                <w:szCs w:val="15"/>
              </w:rPr>
              <w:t xml:space="preserve">confirmado por una persona</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5"/>
                <w:szCs w:val="15"/>
              </w:rPr>
              <w:t xml:space="preserve">● Sí, asistido</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Seguir resoluciones e informar a la DEP</w:t>
            </w:r>
          </w:p>
        </w:tc>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Planilla propia y correo</w:t>
            </w:r>
          </w:p>
        </w:tc>
        <w:tc>
          <w:tcPr>
            <w:tcW w:type="dxa" w:w="2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Tablero e indicadores en GDP-SLEP Studio</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5"/>
                <w:szCs w:val="15"/>
              </w:rPr>
              <w:t xml:space="preserve">● Sí</w:t>
            </w:r>
          </w:p>
        </w:tc>
      </w:tr>
      <w:tr>
        <w:trPr>
          <w:cantSplit/>
        </w:trPr>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Re-tramitar licencias devueltas</w:t>
            </w:r>
          </w:p>
        </w:tc>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PIEE</w:t>
            </w:r>
          </w:p>
        </w:tc>
        <w:tc>
          <w:tcPr>
            <w:tcW w:type="dxa" w:w="2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Sin servicio documentado</w:t>
            </w:r>
          </w:p>
        </w:tc>
        <w:tc>
          <w:tcPr>
            <w:tcW w:type="dxa" w:w="1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5"/>
                <w:szCs w:val="15"/>
              </w:rPr>
              <w:t xml:space="preserve">● Asistido o manual</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3.3  </w:t>
      </w:r>
      <w:r>
        <w:rPr>
          <w:rFonts w:ascii="Calibri" w:cs="Calibri" w:eastAsia="Calibri" w:hAnsi="Calibri"/>
          <w:b/>
          <w:bCs/>
          <w:color w:val="0F172A"/>
          <w:sz w:val="25"/>
          <w:szCs w:val="25"/>
        </w:rPr>
        <w:t xml:space="preserve">Fuera del alcance, siempre</w:t>
      </w:r>
    </w:p>
    <w:p>
      <w:pPr>
        <w:pStyle w:val="ListParagraph"/>
        <w:numPr>
          <w:ilvl w:val="0"/>
          <w:numId w:val="2"/>
        </w:numPr>
        <w:spacing w:after="70" w:line="264"/>
      </w:pPr>
      <w:r>
        <w:rPr>
          <w:color w:val="334155"/>
          <w:sz w:val="18"/>
          <w:szCs w:val="18"/>
        </w:rPr>
        <w:t xml:space="preserve">Ver, capturar, guardar, inferir o enviar a un modelo de IA el diagnóstico o antecedentes clínicos. Según la revisión técnica del portal, el PIEE solo expone al empleador los datos necesarios para tramitar —no el diagnóstico ni los antecedentes clínicos—; aun así, esta regla se mantiene como límite permanente del proyecto.</w:t>
      </w:r>
    </w:p>
    <w:p>
      <w:pPr>
        <w:pStyle w:val="ListParagraph"/>
        <w:numPr>
          <w:ilvl w:val="0"/>
          <w:numId w:val="2"/>
        </w:numPr>
        <w:spacing w:after="70" w:line="264"/>
      </w:pPr>
      <w:r>
        <w:rPr>
          <w:color w:val="334155"/>
          <w:sz w:val="18"/>
          <w:szCs w:val="18"/>
        </w:rPr>
        <w:t xml:space="preserve">Evaluar licencias: el sistema no está orientado a juzgar la validez de una licencia ni a apoyar acciones disciplinarias, ni busca ese fin. Solo tramita lo que corresponde al empleador.</w:t>
      </w:r>
    </w:p>
    <w:p>
      <w:pPr>
        <w:pStyle w:val="ListParagraph"/>
        <w:numPr>
          <w:ilvl w:val="0"/>
          <w:numId w:val="2"/>
        </w:numPr>
        <w:spacing w:after="70" w:line="264"/>
      </w:pPr>
      <w:r>
        <w:rPr>
          <w:color w:val="334155"/>
          <w:sz w:val="18"/>
          <w:szCs w:val="18"/>
        </w:rPr>
        <w:t xml:space="preserve">Usar la </w:t>
      </w:r>
      <w:r>
        <w:rPr>
          <w:b/>
          <w:bCs/>
          <w:color w:val="0F172A"/>
          <w:sz w:val="18"/>
          <w:szCs w:val="18"/>
        </w:rPr>
        <w:t xml:space="preserve">ClaveÚnica</w:t>
      </w:r>
      <w:r>
        <w:rPr>
          <w:color w:val="334155"/>
          <w:sz w:val="18"/>
          <w:szCs w:val="18"/>
        </w:rPr>
        <w:t xml:space="preserve"> de un funcionario de forma automática, o servicios internos del PIEE </w:t>
      </w:r>
      <w:r>
        <w:rPr>
          <w:b/>
          <w:bCs/>
          <w:color w:val="0F172A"/>
          <w:sz w:val="18"/>
          <w:szCs w:val="18"/>
        </w:rPr>
        <w:t xml:space="preserve">sin autorización</w:t>
      </w:r>
      <w:r>
        <w:rPr>
          <w:color w:val="334155"/>
          <w:sz w:val="18"/>
          <w:szCs w:val="18"/>
        </w:rPr>
        <w:t xml:space="preserve">.</w:t>
      </w:r>
    </w:p>
    <w:p>
      <w:pPr>
        <w:pStyle w:val="Heading2"/>
        <w:keepNext/>
        <w:spacing w:after="120" w:before="260"/>
      </w:pPr>
      <w:r>
        <w:rPr>
          <w:rFonts w:ascii="Consolas" w:cs="Consolas" w:eastAsia="Consolas" w:hAnsi="Consolas"/>
          <w:b/>
          <w:bCs/>
          <w:color w:val="0D9488"/>
          <w:sz w:val="22"/>
          <w:szCs w:val="22"/>
        </w:rPr>
        <w:t xml:space="preserve">3.4  A dónde se quiere llegar</w:t>
      </w:r>
      <w:r>
        <w:rPr>
          <w:rFonts w:ascii="Calibri" w:cs="Calibri" w:eastAsia="Calibri" w:hAnsi="Calibri"/>
          <w:b/>
          <w:bCs/>
          <w:color w:val="0F172A"/>
          <w:sz w:val="25"/>
          <w:szCs w:val="25"/>
        </w:rPr>
        <w:t xml:space="preserve"/>
      </w:r>
    </w:p>
    <w:p>
      <w:pPr>
        <w:spacing w:after="140" w:before="0" w:line="276"/>
        <w:jc w:val="left"/>
      </w:pPr>
      <w:r>
        <w:rPr>
          <w:rFonts w:ascii="Calibri" w:cs="Calibri" w:eastAsia="Calibri" w:hAnsi="Calibri"/>
          <w:color w:val="334155"/>
          <w:sz w:val="18"/>
          <w:szCs w:val="18"/>
        </w:rPr>
        <w:t xml:space="preserve">El mismo recorrido de quince pasos de la sección 2.4 puede ejecutarlo el </w:t>
      </w:r>
      <w:r>
        <w:rPr>
          <w:rFonts w:ascii="Calibri" w:cs="Calibri" w:eastAsia="Calibri" w:hAnsi="Calibri"/>
          <w:b/>
          <w:bCs/>
          <w:color w:val="0F172A"/>
          <w:sz w:val="18"/>
          <w:szCs w:val="18"/>
        </w:rPr>
        <w:t xml:space="preserve">portal GDP-SLEP Studio</w:t>
      </w:r>
      <w:r>
        <w:rPr>
          <w:rFonts w:ascii="Calibri" w:cs="Calibri" w:eastAsia="Calibri" w:hAnsi="Calibri"/>
          <w:color w:val="334155"/>
          <w:sz w:val="18"/>
          <w:szCs w:val="18"/>
        </w:rPr>
        <w:t xml:space="preserve"> en lugar de la persona. Hay </w:t>
      </w:r>
      <w:r>
        <w:rPr>
          <w:rFonts w:ascii="Calibri" w:cs="Calibri" w:eastAsia="Calibri" w:hAnsi="Calibri"/>
          <w:b/>
          <w:bCs/>
          <w:color w:val="0F172A"/>
          <w:sz w:val="18"/>
          <w:szCs w:val="18"/>
        </w:rPr>
        <w:t xml:space="preserve">dos niveles</w:t>
      </w:r>
      <w:r>
        <w:rPr>
          <w:rFonts w:ascii="Calibri" w:cs="Calibri" w:eastAsia="Calibri" w:hAnsi="Calibri"/>
          <w:color w:val="334155"/>
          <w:sz w:val="18"/>
          <w:szCs w:val="18"/>
        </w:rPr>
        <w:t xml:space="preserve"> posibles, y se diferencian en cuánto interviene el trabajador. El proyecto adopta el </w:t>
      </w:r>
      <w:r>
        <w:rPr>
          <w:rFonts w:ascii="Calibri" w:cs="Calibri" w:eastAsia="Calibri" w:hAnsi="Calibri"/>
          <w:b/>
          <w:bCs/>
          <w:color w:val="0F172A"/>
          <w:sz w:val="18"/>
          <w:szCs w:val="18"/>
        </w:rPr>
        <w:t xml:space="preserve">primero (asistido)</w:t>
      </w:r>
      <w:r>
        <w:rPr>
          <w:rFonts w:ascii="Calibri" w:cs="Calibri" w:eastAsia="Calibri" w:hAnsi="Calibri"/>
          <w:color w:val="334155"/>
          <w:sz w:val="18"/>
          <w:szCs w:val="18"/>
        </w:rPr>
        <w:t xml:space="preserve">; el segundo se muestra como horizonte.</w:t>
      </w:r>
    </w:p>
    <w:p>
      <w:pPr>
        <w:pStyle w:val="Heading3"/>
        <w:keepNext/>
        <w:spacing w:after="80" w:before="180"/>
      </w:pPr>
      <w:r>
        <w:rPr>
          <w:rFonts w:ascii="Calibri" w:cs="Calibri" w:eastAsia="Calibri" w:hAnsi="Calibri"/>
          <w:b/>
          <w:bCs/>
          <w:color w:val="0F766E"/>
          <w:sz w:val="22"/>
          <w:szCs w:val="22"/>
        </w:rPr>
        <w:t xml:space="preserve">Nivel 1 — Automatizado, con el trabajador en el circuito (asistido, masivo)</w:t>
      </w:r>
    </w:p>
    <w:p>
      <w:pPr>
        <w:spacing w:after="140" w:before="0" w:line="276"/>
        <w:jc w:val="left"/>
      </w:pPr>
      <w:r>
        <w:rPr>
          <w:rFonts w:ascii="Calibri" w:cs="Calibri" w:eastAsia="Calibri" w:hAnsi="Calibri"/>
          <w:color w:val="334155"/>
          <w:sz w:val="18"/>
          <w:szCs w:val="18"/>
        </w:rPr>
        <w:t xml:space="preserve">El trabajador ya </w:t>
      </w:r>
      <w:r>
        <w:rPr>
          <w:rFonts w:ascii="Calibri" w:cs="Calibri" w:eastAsia="Calibri" w:hAnsi="Calibri"/>
          <w:b/>
          <w:bCs/>
          <w:color w:val="0F172A"/>
          <w:sz w:val="18"/>
          <w:szCs w:val="18"/>
        </w:rPr>
        <w:t xml:space="preserve">no hace el recorrido por cada licencia</w:t>
      </w:r>
      <w:r>
        <w:rPr>
          <w:rFonts w:ascii="Calibri" w:cs="Calibri" w:eastAsia="Calibri" w:hAnsi="Calibri"/>
          <w:color w:val="334155"/>
          <w:sz w:val="18"/>
          <w:szCs w:val="18"/>
        </w:rPr>
        <w:t xml:space="preserve">: lo hace el sistema para </w:t>
      </w:r>
      <w:r>
        <w:rPr>
          <w:rFonts w:ascii="Calibri" w:cs="Calibri" w:eastAsia="Calibri" w:hAnsi="Calibri"/>
          <w:b/>
          <w:bCs/>
          <w:color w:val="0F172A"/>
          <w:sz w:val="18"/>
          <w:szCs w:val="18"/>
        </w:rPr>
        <w:t xml:space="preserve">todas a la vez</w:t>
      </w:r>
      <w:r>
        <w:rPr>
          <w:rFonts w:ascii="Calibri" w:cs="Calibri" w:eastAsia="Calibri" w:hAnsi="Calibri"/>
          <w:color w:val="334155"/>
          <w:sz w:val="18"/>
          <w:szCs w:val="18"/>
        </w:rPr>
        <w:t xml:space="preserve">. La persona solo </w:t>
      </w:r>
      <w:r>
        <w:rPr>
          <w:rFonts w:ascii="Calibri" w:cs="Calibri" w:eastAsia="Calibri" w:hAnsi="Calibri"/>
          <w:b/>
          <w:bCs/>
          <w:color w:val="0F172A"/>
          <w:sz w:val="18"/>
          <w:szCs w:val="18"/>
        </w:rPr>
        <w:t xml:space="preserve">abre la sesión</w:t>
      </w:r>
      <w:r>
        <w:rPr>
          <w:rFonts w:ascii="Calibri" w:cs="Calibri" w:eastAsia="Calibri" w:hAnsi="Calibri"/>
          <w:color w:val="334155"/>
          <w:sz w:val="18"/>
          <w:szCs w:val="18"/>
        </w:rPr>
        <w:t xml:space="preserve"> (su ClaveÚnica, que por ley no se automatiza) y </w:t>
      </w:r>
      <w:r>
        <w:rPr>
          <w:rFonts w:ascii="Calibri" w:cs="Calibri" w:eastAsia="Calibri" w:hAnsi="Calibri"/>
          <w:b/>
          <w:bCs/>
          <w:color w:val="0F172A"/>
          <w:sz w:val="18"/>
          <w:szCs w:val="18"/>
        </w:rPr>
        <w:t xml:space="preserve">revisa y aprueba el lote</w:t>
      </w:r>
      <w:r>
        <w:rPr>
          <w:rFonts w:ascii="Calibri" w:cs="Calibri" w:eastAsia="Calibri" w:hAnsi="Calibri"/>
          <w:color w:val="334155"/>
          <w:sz w:val="18"/>
          <w:szCs w:val="18"/>
        </w:rPr>
        <w:t xml:space="preserve">. El sistema consulta el ERP, arma las zonas C, las completa en FONASA y, tras la aprobación, envía y </w:t>
      </w:r>
      <w:r>
        <w:rPr>
          <w:rFonts w:ascii="Calibri" w:cs="Calibri" w:eastAsia="Calibri" w:hAnsi="Calibri"/>
          <w:b/>
          <w:bCs/>
          <w:color w:val="0F172A"/>
          <w:sz w:val="18"/>
          <w:szCs w:val="18"/>
        </w:rPr>
        <w:t xml:space="preserve">escribe de vuelta en el ERP</w:t>
      </w:r>
      <w:r>
        <w:rPr>
          <w:rFonts w:ascii="Calibri" w:cs="Calibri" w:eastAsia="Calibri" w:hAnsi="Calibri"/>
          <w:color w:val="334155"/>
          <w:sz w:val="18"/>
          <w:szCs w:val="18"/>
        </w:rPr>
        <w:t xml:space="preserve"> para que recalcule la remuneración.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950"/>
        <w:gridCol w:w="440"/>
        <w:gridCol w:w="6250"/>
      </w:tblGrid>
      <w:tr>
        <w:trPr>
          <w:cantSplit/>
        </w:trPr>
        <w:tc>
          <w:tcPr>
            <w:tcW w:type="dxa" w:w="2950"/>
            <w:tcBorders>
              <w:top w:val="single" w:color="0F172A" w:sz="12"/>
              <w:left w:val="single" w:color="0F172A" w:sz="12"/>
              <w:bottom w:val="single" w:color="0F172A" w:sz="12"/>
              <w:right w:val="single" w:color="0F172A" w:sz="12"/>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 1 (TODO EL LOTE)</w:t>
            </w:r>
          </w:p>
          <w:p>
            <w:pPr>
              <w:spacing w:after="20" w:line="240"/>
              <w:jc w:val="left"/>
            </w:pPr>
            <w:r>
              <w:rPr>
                <w:b/>
                <w:bCs/>
                <w:color w:val="0F172A"/>
                <w:sz w:val="17"/>
                <w:szCs w:val="17"/>
              </w:rPr>
              <w:t xml:space="preserve">Trabajador</w:t>
            </w:r>
          </w:p>
          <w:p>
            <w:pPr>
              <w:spacing w:after="0" w:line="230"/>
              <w:jc w:val="left"/>
            </w:pPr>
            <w:r>
              <w:rPr>
                <w:color w:val="64748B"/>
                <w:sz w:val="14"/>
                <w:szCs w:val="14"/>
              </w:rPr>
              <w:t xml:space="preserve">Dos acciones para todo el lote: 1) inicia sesión con su ClaveÚnica · 2) revisa y aprueba</w:t>
            </w:r>
          </w:p>
        </w:tc>
        <w:tc>
          <w:tcPr>
            <w:tcW w:type="dxa" w:w="4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625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AUTOMÁTICO</w:t>
            </w:r>
          </w:p>
          <w:p>
            <w:pPr>
              <w:spacing w:after="20" w:line="240"/>
              <w:jc w:val="left"/>
            </w:pPr>
            <w:r>
              <w:rPr>
                <w:b/>
                <w:bCs/>
                <w:color w:val="0F172A"/>
                <w:sz w:val="17"/>
                <w:szCs w:val="17"/>
              </w:rPr>
              <w:t xml:space="preserve">GDP-SLEP Studio</w:t>
            </w:r>
          </w:p>
          <w:p>
            <w:pPr>
              <w:spacing w:after="0" w:line="230"/>
              <w:jc w:val="left"/>
            </w:pPr>
            <w:r>
              <w:rPr>
                <w:color w:val="64748B"/>
                <w:sz w:val="14"/>
                <w:szCs w:val="14"/>
              </w:rPr>
              <w:t xml:space="preserve">Hace los pasos 2 a 14 de forma masiva: lee la bandeja, consulta Proexsi, arma y completa las zonas C, prioriza con IA local, y tras la aprobación envía y escribe la licencia de vuelta en el ERP</w:t>
            </w:r>
          </w:p>
        </w:tc>
      </w:tr>
    </w:tbl>
    <w:p>
      <w:pPr>
        <w:spacing w:after="200" w:before="80"/>
      </w:pPr>
      <w:r>
        <w:rPr>
          <w:rFonts w:ascii="Consolas" w:cs="Consolas" w:eastAsia="Consolas" w:hAnsi="Consolas"/>
          <w:b/>
          <w:bCs/>
          <w:color w:val="0D9488"/>
          <w:sz w:val="15"/>
          <w:szCs w:val="15"/>
        </w:rPr>
        <w:t xml:space="preserve">FIG. 4  </w:t>
      </w:r>
      <w:r>
        <w:rPr>
          <w:rFonts w:ascii="Calibri" w:cs="Calibri" w:eastAsia="Calibri" w:hAnsi="Calibri"/>
          <w:color w:val="64748B"/>
          <w:sz w:val="16"/>
          <w:szCs w:val="16"/>
        </w:rPr>
        <w:t xml:space="preserve">Nivel 1: el trabajador interviene una vez para todo el lote, no una vez por licencia.</w:t>
      </w:r>
    </w:p>
    <w:p>
      <w:pPr>
        <w:pStyle w:val="Heading3"/>
        <w:keepNext/>
        <w:spacing w:after="80" w:before="180"/>
      </w:pPr>
      <w:r>
        <w:rPr>
          <w:rFonts w:ascii="Calibri" w:cs="Calibri" w:eastAsia="Calibri" w:hAnsi="Calibri"/>
          <w:b/>
          <w:bCs/>
          <w:color w:val="0F766E"/>
          <w:sz w:val="22"/>
          <w:szCs w:val="22"/>
        </w:rPr>
        <w:t xml:space="preserve">Nivel 2 — Totalmente automático (horizonte)</w:t>
      </w:r>
    </w:p>
    <w:p>
      <w:pPr>
        <w:spacing w:after="140" w:before="0" w:line="276"/>
        <w:jc w:val="left"/>
      </w:pPr>
      <w:r>
        <w:rPr>
          <w:rFonts w:ascii="Calibri" w:cs="Calibri" w:eastAsia="Calibri" w:hAnsi="Calibri"/>
          <w:color w:val="334155"/>
          <w:sz w:val="18"/>
          <w:szCs w:val="18"/>
        </w:rPr>
        <w:t xml:space="preserve">El único paso humano sería el </w:t>
      </w:r>
      <w:r>
        <w:rPr>
          <w:rFonts w:ascii="Calibri" w:cs="Calibri" w:eastAsia="Calibri" w:hAnsi="Calibri"/>
          <w:b/>
          <w:bCs/>
          <w:color w:val="0F172A"/>
          <w:sz w:val="18"/>
          <w:szCs w:val="18"/>
        </w:rPr>
        <w:t xml:space="preserve">inicio de sesión con ClaveÚnica</w:t>
      </w:r>
      <w:r>
        <w:rPr>
          <w:rFonts w:ascii="Calibri" w:cs="Calibri" w:eastAsia="Calibri" w:hAnsi="Calibri"/>
          <w:color w:val="334155"/>
          <w:sz w:val="18"/>
          <w:szCs w:val="18"/>
        </w:rPr>
        <w:t xml:space="preserve">; de ahí en adelante todo ocurre solo, </w:t>
      </w:r>
      <w:r>
        <w:rPr>
          <w:rFonts w:ascii="Calibri" w:cs="Calibri" w:eastAsia="Calibri" w:hAnsi="Calibri"/>
          <w:b/>
          <w:bCs/>
          <w:color w:val="0F172A"/>
          <w:sz w:val="18"/>
          <w:szCs w:val="18"/>
        </w:rPr>
        <w:t xml:space="preserve">incluido el envío</w:t>
      </w:r>
      <w:r>
        <w:rPr>
          <w:rFonts w:ascii="Calibri" w:cs="Calibri" w:eastAsia="Calibri" w:hAnsi="Calibri"/>
          <w:color w:val="334155"/>
          <w:sz w:val="18"/>
          <w:szCs w:val="18"/>
        </w:rPr>
        <w:t xml:space="preserve">, sin aprobación caso a caso. Es el máximo técnico posible, pero depende de condiciones que hoy no están dadas.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950"/>
        <w:gridCol w:w="440"/>
        <w:gridCol w:w="6250"/>
      </w:tblGrid>
      <w:tr>
        <w:trPr>
          <w:cantSplit/>
        </w:trPr>
        <w:tc>
          <w:tcPr>
            <w:tcW w:type="dxa" w:w="2950"/>
            <w:tcBorders>
              <w:top w:val="single" w:color="0F172A" w:sz="12"/>
              <w:left w:val="single" w:color="0F172A" w:sz="12"/>
              <w:bottom w:val="single" w:color="0F172A" w:sz="12"/>
              <w:right w:val="single" w:color="0F172A" w:sz="12"/>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ÚNICO PASO HUMANO</w:t>
            </w:r>
          </w:p>
          <w:p>
            <w:pPr>
              <w:spacing w:after="20" w:line="240"/>
              <w:jc w:val="left"/>
            </w:pPr>
            <w:r>
              <w:rPr>
                <w:b/>
                <w:bCs/>
                <w:color w:val="0F172A"/>
                <w:sz w:val="17"/>
                <w:szCs w:val="17"/>
              </w:rPr>
              <w:t xml:space="preserve">Trabajador</w:t>
            </w:r>
          </w:p>
          <w:p>
            <w:pPr>
              <w:spacing w:after="0" w:line="230"/>
              <w:jc w:val="left"/>
            </w:pPr>
            <w:r>
              <w:rPr>
                <w:color w:val="64748B"/>
                <w:sz w:val="14"/>
                <w:szCs w:val="14"/>
              </w:rPr>
              <w:t xml:space="preserve">Una sola acción: inicia sesión con su ClaveÚnica</w:t>
            </w:r>
          </w:p>
        </w:tc>
        <w:tc>
          <w:tcPr>
            <w:tcW w:type="dxa" w:w="4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625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AUTOMÁTICO</w:t>
            </w:r>
          </w:p>
          <w:p>
            <w:pPr>
              <w:spacing w:after="20" w:line="240"/>
              <w:jc w:val="left"/>
            </w:pPr>
            <w:r>
              <w:rPr>
                <w:b/>
                <w:bCs/>
                <w:color w:val="0F172A"/>
                <w:sz w:val="17"/>
                <w:szCs w:val="17"/>
              </w:rPr>
              <w:t xml:space="preserve">GDP-SLEP Studio</w:t>
            </w:r>
          </w:p>
          <w:p>
            <w:pPr>
              <w:spacing w:after="0" w:line="230"/>
              <w:jc w:val="left"/>
            </w:pPr>
            <w:r>
              <w:rPr>
                <w:color w:val="64748B"/>
                <w:sz w:val="14"/>
                <w:szCs w:val="14"/>
              </w:rPr>
              <w:t xml:space="preserve">Todo lo demás automático, incluido el envío de cada zona C, sin confirmación por caso</w:t>
            </w:r>
          </w:p>
        </w:tc>
      </w:tr>
    </w:tbl>
    <w:p>
      <w:pPr>
        <w:spacing w:after="200" w:before="80"/>
      </w:pPr>
      <w:r>
        <w:rPr>
          <w:rFonts w:ascii="Consolas" w:cs="Consolas" w:eastAsia="Consolas" w:hAnsi="Consolas"/>
          <w:b/>
          <w:bCs/>
          <w:color w:val="0D9488"/>
          <w:sz w:val="15"/>
          <w:szCs w:val="15"/>
        </w:rPr>
        <w:t xml:space="preserve">FIG. 5  </w:t>
      </w:r>
      <w:r>
        <w:rPr>
          <w:rFonts w:ascii="Calibri" w:cs="Calibri" w:eastAsia="Calibri" w:hAnsi="Calibri"/>
          <w:color w:val="64748B"/>
          <w:sz w:val="16"/>
          <w:szCs w:val="16"/>
        </w:rPr>
        <w:t xml:space="preserve">Nivel 2: horizonte técnico; su viabilidad legal y operativa está por confirmar.</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POR QUÉ EL PROYECTO ADOPTA EL NIVEL 1</w:t>
            </w:r>
          </w:p>
          <w:p>
            <w:pPr>
              <w:spacing w:after="50" w:line="260"/>
            </w:pPr>
            <w:r>
              <w:rPr>
                <w:color w:val="334155"/>
                <w:sz w:val="19"/>
                <w:szCs w:val="19"/>
              </w:rPr>
              <w:t xml:space="preserve">La regla del proyecto es </w:t>
            </w:r>
            <w:r>
              <w:rPr>
                <w:b/>
                <w:bCs/>
                <w:color w:val="0F172A"/>
                <w:sz w:val="19"/>
                <w:szCs w:val="19"/>
              </w:rPr>
              <w:t xml:space="preserve">una persona confirma cada envío</w:t>
            </w:r>
            <w:r>
              <w:rPr>
                <w:color w:val="334155"/>
                <w:sz w:val="19"/>
                <w:szCs w:val="19"/>
              </w:rPr>
              <w:t xml:space="preserve"> y la </w:t>
            </w:r>
            <w:r>
              <w:rPr>
                <w:b/>
                <w:bCs/>
                <w:color w:val="0F172A"/>
                <w:sz w:val="19"/>
                <w:szCs w:val="19"/>
              </w:rPr>
              <w:t xml:space="preserve">ClaveÚnica nunca se automatiza</w:t>
            </w:r>
            <w:r>
              <w:rPr>
                <w:color w:val="334155"/>
                <w:sz w:val="19"/>
                <w:szCs w:val="19"/>
              </w:rPr>
              <w:t xml:space="preserve"> (sección 3.3 y sección 05). El Nivel 2 exigiría que FONASA y el marco de protección de datos permitan </w:t>
            </w:r>
            <w:r>
              <w:rPr>
                <w:b/>
                <w:bCs/>
                <w:color w:val="0F172A"/>
                <w:sz w:val="19"/>
                <w:szCs w:val="19"/>
              </w:rPr>
              <w:t xml:space="preserve">enviar sin confirmación humana</w:t>
            </w:r>
            <w:r>
              <w:rPr>
                <w:color w:val="334155"/>
                <w:sz w:val="19"/>
                <w:szCs w:val="19"/>
              </w:rPr>
              <w:t xml:space="preserve">, lo que está por autorizar. Por eso el piloto apunta al </w:t>
            </w:r>
            <w:r>
              <w:rPr>
                <w:b/>
                <w:bCs/>
                <w:color w:val="0F172A"/>
                <w:sz w:val="19"/>
                <w:szCs w:val="19"/>
              </w:rPr>
              <w:t xml:space="preserve">Nivel 1 (asistido y masivo)</w:t>
            </w:r>
            <w:r>
              <w:rPr>
                <w:color w:val="334155"/>
                <w:sz w:val="19"/>
                <w:szCs w:val="19"/>
              </w:rPr>
              <w:t xml:space="preserve">: captura casi todo el ahorro —de ≈ 15 pasos por licencia a 2 acciones por lote— manteniendo el control y el cumplimiento legal.</w:t>
            </w:r>
          </w:p>
        </w:tc>
      </w:tr>
    </w:tbl>
    <w:p>
      <w:pPr>
        <w:spacing w:after="14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1900"/>
        <w:gridCol w:w="2300"/>
        <w:gridCol w:w="2040"/>
      </w:tblGrid>
      <w:tr>
        <w:trPr>
          <w:tblHeader/>
        </w:trPr>
        <w:tc>
          <w:tcPr>
            <w:tcW w:type="dxa" w:w="3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p>
        </w:tc>
        <w:tc>
          <w:tcPr>
            <w:tcW w:type="dxa" w:w="1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HOY (MANUAL)</w:t>
            </w:r>
          </w:p>
        </w:tc>
        <w:tc>
          <w:tcPr>
            <w:tcW w:type="dxa" w:w="2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NIVEL 1 (ASISTIDO)</w:t>
            </w:r>
          </w:p>
        </w:tc>
        <w:tc>
          <w:tcPr>
            <w:tcW w:type="dxa" w:w="20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NIVEL 2 (TOTAL)</w:t>
            </w:r>
          </w:p>
        </w:tc>
      </w:tr>
      <w:tr>
        <w:trPr>
          <w:cantSplit/>
        </w:trPr>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Acciones del trabajador por licencia</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 15</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0 (solo parte de un lote)</w:t>
            </w:r>
          </w:p>
        </w:tc>
        <w:tc>
          <w:tcPr>
            <w:tcW w:type="dxa" w:w="2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0</w:t>
            </w:r>
          </w:p>
        </w:tc>
      </w:tr>
      <w:tr>
        <w:trPr>
          <w:cantSplit/>
        </w:trPr>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Veces que interviene al mes</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 15.000</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 2 por lote</w:t>
            </w:r>
          </w:p>
        </w:tc>
        <w:tc>
          <w:tcPr>
            <w:tcW w:type="dxa" w:w="2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1 (el inicio de sesión)</w:t>
            </w:r>
          </w:p>
        </w:tc>
      </w:tr>
      <w:tr>
        <w:trPr>
          <w:cantSplit/>
        </w:trPr>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Sistemas que abre la persona</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2 + planilla</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1 (GDP-SLEP Studio)</w:t>
            </w:r>
          </w:p>
        </w:tc>
        <w:tc>
          <w:tcPr>
            <w:tcW w:type="dxa" w:w="2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1</w:t>
            </w:r>
          </w:p>
        </w:tc>
      </w:tr>
      <w:tr>
        <w:trPr>
          <w:cantSplit/>
        </w:trPr>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Confirma cada envío una persona</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Sí</w:t>
            </w:r>
          </w:p>
        </w:tc>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Sí (por lote)</w:t>
            </w:r>
          </w:p>
        </w:tc>
        <w:tc>
          <w:tcPr>
            <w:tcW w:type="dxa" w:w="2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No</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SECCIÓN 04</w:t>
      </w:r>
      <w:r>
        <w:rPr>
          <w:rFonts w:ascii="Consolas" w:cs="Consolas" w:eastAsia="Consolas" w:hAnsi="Consolas"/>
          <w:color w:val="94A3B8"/>
          <w:sz w:val="16"/>
          <w:szCs w:val="16"/>
        </w:rPr>
        <w:t xml:space="preserve">  /  alternativas</w:t>
      </w:r>
    </w:p>
    <w:p>
      <w:pPr>
        <w:pStyle w:val="Heading1"/>
        <w:keepNext/>
        <w:pBdr>
          <w:bottom w:val="single" w:color="E2E8F0" w:sz="6" w:space="6"/>
        </w:pBdr>
        <w:spacing w:after="160"/>
      </w:pPr>
      <w:r>
        <w:rPr>
          <w:rFonts w:ascii="Calibri" w:cs="Calibri" w:eastAsia="Calibri" w:hAnsi="Calibri"/>
          <w:b/>
          <w:bCs/>
          <w:color w:val="0F172A"/>
          <w:sz w:val="34"/>
          <w:szCs w:val="34"/>
        </w:rPr>
        <w:t xml:space="preserve">Cuatro caminos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Hay cuatro formas técnicas de llegar al mismo objetivo, con distinta madurez, costo y dependencia de FONASA.</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Describir cada camino en términos generales; el detalle va en los Informes 08.1 a 08.4.</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Para cada camino: por dónde habla con FONASA, cómo actúa y qué necesita.</w:t>
            </w:r>
          </w:p>
        </w:tc>
      </w:tr>
    </w:tbl>
    <w:p>
      <w:pPr>
        <w:spacing w:after="14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240"/>
        <w:gridCol w:w="3000"/>
        <w:gridCol w:w="240"/>
        <w:gridCol w:w="4060"/>
      </w:tblGrid>
      <w:tr>
        <w:trPr>
          <w:cantSplit/>
        </w:trPr>
        <w:tc>
          <w:tcPr>
            <w:tcW w:type="dxa" w:w="210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CCFBF1"/>
                <w:sz w:val="13"/>
                <w:szCs w:val="13"/>
              </w:rPr>
              <w:t xml:space="preserve">CAMINO</w:t>
            </w:r>
          </w:p>
          <w:p>
            <w:pPr>
              <w:spacing w:after="20" w:line="240"/>
              <w:jc w:val="left"/>
            </w:pPr>
            <w:r>
              <w:rPr>
                <w:b/>
                <w:bCs/>
                <w:color w:val="FFFFFF"/>
                <w:sz w:val="17"/>
                <w:szCs w:val="17"/>
              </w:rPr>
              <w:t xml:space="preserve">RPA</w:t>
            </w:r>
          </w:p>
          <w:p>
            <w:pPr>
              <w:spacing w:after="0" w:line="230"/>
              <w:jc w:val="left"/>
            </w:pPr>
            <w:r>
              <w:rPr>
                <w:color w:val="94A3B8"/>
                <w:sz w:val="14"/>
                <w:szCs w:val="14"/>
              </w:rPr>
              <w:t xml:space="preserve">08.1</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300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Pantalla del portal</w:t>
            </w:r>
          </w:p>
          <w:p>
            <w:pPr>
              <w:spacing w:after="0" w:line="230"/>
              <w:jc w:val="left"/>
            </w:pPr>
            <w:r>
              <w:rPr>
                <w:color w:val="64748B"/>
                <w:sz w:val="14"/>
                <w:szCs w:val="14"/>
              </w:rPr>
              <w:t xml:space="preserve">el robot lee y escribe como una persona, en la sesión del encargado</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406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Rápido pero frágil</w:t>
            </w:r>
          </w:p>
          <w:p>
            <w:pPr>
              <w:spacing w:after="0" w:line="230"/>
              <w:jc w:val="left"/>
            </w:pPr>
            <w:r>
              <w:rPr>
                <w:color w:val="64748B"/>
                <w:sz w:val="14"/>
                <w:szCs w:val="14"/>
              </w:rPr>
              <w:t xml:space="preserve">depende de la pantalla; sirve desde el día uno</w:t>
            </w:r>
          </w:p>
        </w:tc>
      </w:tr>
      <w:tr>
        <w:trPr>
          <w:cantSplit/>
        </w:trPr>
        <w:tc>
          <w:tcPr>
            <w:tcW w:type="dxa" w:w="210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CCFBF1"/>
                <w:sz w:val="13"/>
                <w:szCs w:val="13"/>
              </w:rPr>
              <w:t xml:space="preserve">CAMINO</w:t>
            </w:r>
          </w:p>
          <w:p>
            <w:pPr>
              <w:spacing w:after="20" w:line="240"/>
              <w:jc w:val="left"/>
            </w:pPr>
            <w:r>
              <w:rPr>
                <w:b/>
                <w:bCs/>
                <w:color w:val="FFFFFF"/>
                <w:sz w:val="17"/>
                <w:szCs w:val="17"/>
              </w:rPr>
              <w:t xml:space="preserve">API del PIEE</w:t>
            </w:r>
          </w:p>
          <w:p>
            <w:pPr>
              <w:spacing w:after="0" w:line="230"/>
              <w:jc w:val="left"/>
            </w:pPr>
            <w:r>
              <w:rPr>
                <w:color w:val="94A3B8"/>
                <w:sz w:val="14"/>
                <w:szCs w:val="14"/>
              </w:rPr>
              <w:t xml:space="preserve">08.2</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300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Interfaz interna del portal</w:t>
            </w:r>
          </w:p>
          <w:p>
            <w:pPr>
              <w:spacing w:after="0" w:line="230"/>
              <w:jc w:val="left"/>
            </w:pPr>
            <w:r>
              <w:rPr>
                <w:color w:val="64748B"/>
                <w:sz w:val="14"/>
                <w:szCs w:val="14"/>
              </w:rPr>
              <w:t xml:space="preserve">conversa por dentro, en la sesión del encargado</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406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Eficiente; a verificar</w:t>
            </w:r>
          </w:p>
          <w:p>
            <w:pPr>
              <w:spacing w:after="0" w:line="230"/>
              <w:jc w:val="left"/>
            </w:pPr>
            <w:r>
              <w:rPr>
                <w:color w:val="64748B"/>
                <w:sz w:val="14"/>
                <w:szCs w:val="14"/>
              </w:rPr>
              <w:t xml:space="preserve">requiere autorización de FONASA y verificación</w:t>
            </w:r>
          </w:p>
        </w:tc>
      </w:tr>
      <w:tr>
        <w:trPr>
          <w:cantSplit/>
        </w:trPr>
        <w:tc>
          <w:tcPr>
            <w:tcW w:type="dxa" w:w="210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CCFBF1"/>
                <w:sz w:val="13"/>
                <w:szCs w:val="13"/>
              </w:rPr>
              <w:t xml:space="preserve">CAMINO</w:t>
            </w:r>
          </w:p>
          <w:p>
            <w:pPr>
              <w:spacing w:after="20" w:line="240"/>
              <w:jc w:val="left"/>
            </w:pPr>
            <w:r>
              <w:rPr>
                <w:b/>
                <w:bCs/>
                <w:color w:val="FFFFFF"/>
                <w:sz w:val="17"/>
                <w:szCs w:val="17"/>
              </w:rPr>
              <w:t xml:space="preserve">Servicios web</w:t>
            </w:r>
          </w:p>
          <w:p>
            <w:pPr>
              <w:spacing w:after="0" w:line="230"/>
              <w:jc w:val="left"/>
            </w:pPr>
            <w:r>
              <w:rPr>
                <w:color w:val="94A3B8"/>
                <w:sz w:val="14"/>
                <w:szCs w:val="14"/>
              </w:rPr>
              <w:t xml:space="preserve">08.3</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300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Canal oficial de FONASA</w:t>
            </w:r>
          </w:p>
          <w:p>
            <w:pPr>
              <w:spacing w:after="0" w:line="230"/>
              <w:jc w:val="left"/>
            </w:pPr>
            <w:r>
              <w:rPr>
                <w:color w:val="64748B"/>
                <w:sz w:val="14"/>
                <w:szCs w:val="14"/>
              </w:rPr>
              <w:t xml:space="preserve">Red de Interoperabilidad del Estado, con acuerdo formal</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406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El más sólido; por plazo</w:t>
            </w:r>
          </w:p>
          <w:p>
            <w:pPr>
              <w:spacing w:after="0" w:line="230"/>
              <w:jc w:val="left"/>
            </w:pPr>
            <w:r>
              <w:rPr>
                <w:color w:val="64748B"/>
                <w:sz w:val="14"/>
                <w:szCs w:val="14"/>
              </w:rPr>
              <w:t xml:space="preserve">depende de que FONASA otorgue el servicio</w:t>
            </w:r>
          </w:p>
        </w:tc>
      </w:tr>
      <w:tr>
        <w:trPr>
          <w:cantSplit/>
        </w:trPr>
        <w:tc>
          <w:tcPr>
            <w:tcW w:type="dxa" w:w="210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CCFBF1"/>
                <w:sz w:val="13"/>
                <w:szCs w:val="13"/>
              </w:rPr>
              <w:t xml:space="preserve">CAMINO</w:t>
            </w:r>
          </w:p>
          <w:p>
            <w:pPr>
              <w:spacing w:after="20" w:line="240"/>
              <w:jc w:val="left"/>
            </w:pPr>
            <w:r>
              <w:rPr>
                <w:b/>
                <w:bCs/>
                <w:color w:val="FFFFFF"/>
                <w:sz w:val="17"/>
                <w:szCs w:val="17"/>
              </w:rPr>
              <w:t xml:space="preserve">Mixto</w:t>
            </w:r>
          </w:p>
          <w:p>
            <w:pPr>
              <w:spacing w:after="0" w:line="230"/>
              <w:jc w:val="left"/>
            </w:pPr>
            <w:r>
              <w:rPr>
                <w:color w:val="94A3B8"/>
                <w:sz w:val="14"/>
                <w:szCs w:val="14"/>
              </w:rPr>
              <w:t xml:space="preserve">08.4</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300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El mejor canal para cada tarea</w:t>
            </w:r>
          </w:p>
          <w:p>
            <w:pPr>
              <w:spacing w:after="0" w:line="230"/>
              <w:jc w:val="left"/>
            </w:pPr>
            <w:r>
              <w:rPr>
                <w:color w:val="64748B"/>
                <w:sz w:val="14"/>
                <w:szCs w:val="14"/>
              </w:rPr>
              <w:t xml:space="preserve">el portal GDP-SLEP Studio orquesta los otros tres</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406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El más robusto</w:t>
            </w:r>
          </w:p>
          <w:p>
            <w:pPr>
              <w:spacing w:after="0" w:line="230"/>
              <w:jc w:val="left"/>
            </w:pPr>
            <w:r>
              <w:rPr>
                <w:color w:val="64748B"/>
                <w:sz w:val="14"/>
                <w:szCs w:val="14"/>
              </w:rPr>
              <w:t xml:space="preserve">automatiza desde el día uno, pase lo que pase</w:t>
            </w:r>
          </w:p>
        </w:tc>
      </w:tr>
    </w:tbl>
    <w:p>
      <w:pPr>
        <w:spacing w:after="200" w:before="80"/>
      </w:pPr>
      <w:r>
        <w:rPr>
          <w:rFonts w:ascii="Consolas" w:cs="Consolas" w:eastAsia="Consolas" w:hAnsi="Consolas"/>
          <w:b/>
          <w:bCs/>
          <w:color w:val="0D9488"/>
          <w:sz w:val="15"/>
          <w:szCs w:val="15"/>
        </w:rPr>
        <w:t xml:space="preserve">FIG. 6  </w:t>
      </w:r>
      <w:r>
        <w:rPr>
          <w:rFonts w:ascii="Calibri" w:cs="Calibri" w:eastAsia="Calibri" w:hAnsi="Calibri"/>
          <w:color w:val="64748B"/>
          <w:sz w:val="16"/>
          <w:szCs w:val="16"/>
        </w:rPr>
        <w:t xml:space="preserve">Los cuatro caminos de automatización evaluados. Los tres primeros son formas de hablar con FONASA; el mixto los coordina.</w:t>
      </w:r>
    </w:p>
    <w:p>
      <w:pPr>
        <w:pStyle w:val="Heading2"/>
        <w:keepNext/>
        <w:spacing w:after="120" w:before="260"/>
      </w:pPr>
      <w:r>
        <w:rPr>
          <w:rFonts w:ascii="Consolas" w:cs="Consolas" w:eastAsia="Consolas" w:hAnsi="Consolas"/>
          <w:b/>
          <w:bCs/>
          <w:color w:val="0D9488"/>
          <w:sz w:val="22"/>
          <w:szCs w:val="22"/>
        </w:rPr>
        <w:t xml:space="preserve">4.1  Comparación general y relación con el ERP (Proexsi)</w:t>
      </w:r>
      <w:r>
        <w:rPr>
          <w:rFonts w:ascii="Calibri" w:cs="Calibri" w:eastAsia="Calibri" w:hAnsi="Calibri"/>
          <w:b/>
          <w:bCs/>
          <w:color w:val="0F172A"/>
          <w:sz w:val="25"/>
          <w:szCs w:val="25"/>
        </w:rPr>
        <w:t xml:space="preserve"/>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1550"/>
        <w:gridCol w:w="1700"/>
        <w:gridCol w:w="1700"/>
        <w:gridCol w:w="2190"/>
      </w:tblGrid>
      <w:tr>
        <w:trPr>
          <w:tblHeader/>
        </w:trPr>
        <w:tc>
          <w:tcPr>
            <w:tcW w:type="dxa" w:w="25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ASPECTO</w:t>
            </w:r>
          </w:p>
        </w:tc>
        <w:tc>
          <w:tcPr>
            <w:tcW w:type="dxa" w:w="155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RPA</w:t>
            </w:r>
          </w:p>
        </w:tc>
        <w:tc>
          <w:tcPr>
            <w:tcW w:type="dxa" w:w="1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API DEL PIEE</w:t>
            </w:r>
          </w:p>
        </w:tc>
        <w:tc>
          <w:tcPr>
            <w:tcW w:type="dxa" w:w="1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SERVICIOS WEB</w:t>
            </w:r>
          </w:p>
        </w:tc>
        <w:tc>
          <w:tcPr>
            <w:tcW w:type="dxa" w:w="219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MIXTO</w:t>
            </w:r>
          </w:p>
        </w:tc>
      </w:tr>
      <w:tr>
        <w:trPr>
          <w:cantSplit/>
        </w:trPr>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Vía con FONASA</w:t>
            </w:r>
          </w:p>
        </w:tc>
        <w:tc>
          <w:tcPr>
            <w:tcW w:type="dxa" w:w="15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Pantalla</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Interfaz interna</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Canal oficial</w:t>
            </w:r>
          </w:p>
        </w:tc>
        <w:tc>
          <w:tcPr>
            <w:tcW w:type="dxa" w:w="219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La mejor disponible</w:t>
            </w:r>
          </w:p>
        </w:tc>
      </w:tr>
      <w:tr>
        <w:trPr>
          <w:cantSplit/>
        </w:trPr>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Estabilidad ante cambios del portal</w:t>
            </w:r>
          </w:p>
        </w:tc>
        <w:tc>
          <w:tcPr>
            <w:tcW w:type="dxa" w:w="15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Baja</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Media</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Alta</w:t>
            </w:r>
          </w:p>
        </w:tc>
        <w:tc>
          <w:tcPr>
            <w:tcW w:type="dxa" w:w="219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Alta</w:t>
            </w:r>
          </w:p>
        </w:tc>
      </w:tr>
      <w:tr>
        <w:trPr>
          <w:cantSplit/>
        </w:trPr>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Condición principal</w:t>
            </w:r>
          </w:p>
        </w:tc>
        <w:tc>
          <w:tcPr>
            <w:tcW w:type="dxa" w:w="15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Autorización de FONASA</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Autorización + verificación</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Otorgamiento del servicio (plazo)</w:t>
            </w:r>
          </w:p>
        </w:tc>
        <w:tc>
          <w:tcPr>
            <w:tcW w:type="dxa" w:w="219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Las que haya; no todas a la vez</w:t>
            </w:r>
          </w:p>
        </w:tc>
      </w:tr>
      <w:tr>
        <w:trPr>
          <w:cantSplit/>
        </w:trPr>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Conexión con el ERP (Proexsi)</w:t>
            </w:r>
          </w:p>
        </w:tc>
        <w:tc>
          <w:tcPr>
            <w:tcW w:type="dxa" w:w="15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Robot sobre las pantallas del ERP</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API del ERP si existe; si no, robot o archivo</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Servicio web o archivo acordado; robot como último recurso</w:t>
            </w:r>
          </w:p>
        </w:tc>
        <w:tc>
          <w:tcPr>
            <w:tcW w:type="dxa" w:w="219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La mejor vía disponible en cada SLEP</w:t>
            </w:r>
          </w:p>
        </w:tc>
      </w:tr>
      <w:tr>
        <w:trPr>
          <w:cantSplit/>
        </w:trPr>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Disponible desde el día uno</w:t>
            </w:r>
          </w:p>
        </w:tc>
        <w:tc>
          <w:tcPr>
            <w:tcW w:type="dxa" w:w="15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Sí</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Según verificación</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Según plazo</w:t>
            </w:r>
          </w:p>
        </w:tc>
        <w:tc>
          <w:tcPr>
            <w:tcW w:type="dxa" w:w="219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Sí</w:t>
            </w:r>
          </w:p>
        </w:tc>
      </w:tr>
      <w:tr>
        <w:trPr>
          <w:cantSplit/>
        </w:trPr>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Costo relativo (ver 08.x.3)</w:t>
            </w:r>
          </w:p>
        </w:tc>
        <w:tc>
          <w:tcPr>
            <w:tcW w:type="dxa" w:w="15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Medio a alto</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Bajo</w:t>
            </w:r>
          </w:p>
        </w:tc>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El más bajo</w:t>
            </w:r>
          </w:p>
        </w:tc>
        <w:tc>
          <w:tcPr>
            <w:tcW w:type="dxa" w:w="219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Bajo</w:t>
            </w:r>
          </w:p>
        </w:tc>
      </w:tr>
    </w:tbl>
    <w:p>
      <w:pPr>
        <w:spacing w:after="140" w:before="0" w:line="120"/>
      </w:pPr>
    </w:p>
    <w:p>
      <w:pPr>
        <w:spacing w:after="140" w:before="0" w:line="276"/>
        <w:jc w:val="left"/>
      </w:pPr>
      <w:r>
        <w:rPr>
          <w:rFonts w:ascii="Calibri" w:cs="Calibri" w:eastAsia="Calibri" w:hAnsi="Calibri"/>
          <w:color w:val="334155"/>
          <w:sz w:val="19"/>
          <w:szCs w:val="19"/>
        </w:rPr>
        <w:t xml:space="preserve">Automatizar una licencia no es un solo frente, sino </w:t>
      </w:r>
      <w:r>
        <w:rPr>
          <w:rFonts w:ascii="Calibri" w:cs="Calibri" w:eastAsia="Calibri" w:hAnsi="Calibri"/>
          <w:b/>
          <w:bCs/>
          <w:color w:val="0F172A"/>
          <w:sz w:val="19"/>
          <w:szCs w:val="19"/>
        </w:rPr>
        <w:t xml:space="preserve">dos</w:t>
      </w:r>
      <w:r>
        <w:rPr>
          <w:rFonts w:ascii="Calibri" w:cs="Calibri" w:eastAsia="Calibri" w:hAnsi="Calibri"/>
          <w:color w:val="334155"/>
          <w:sz w:val="19"/>
          <w:szCs w:val="19"/>
        </w:rPr>
        <w:t xml:space="preserve">. El primero es </w:t>
      </w:r>
      <w:r>
        <w:rPr>
          <w:rFonts w:ascii="Calibri" w:cs="Calibri" w:eastAsia="Calibri" w:hAnsi="Calibri"/>
          <w:b/>
          <w:bCs/>
          <w:color w:val="0F172A"/>
          <w:sz w:val="19"/>
          <w:szCs w:val="19"/>
        </w:rPr>
        <w:t xml:space="preserve">FONASA (el portal PIEE)</w:t>
      </w:r>
      <w:r>
        <w:rPr>
          <w:rFonts w:ascii="Calibri" w:cs="Calibri" w:eastAsia="Calibri" w:hAnsi="Calibri"/>
          <w:color w:val="334155"/>
          <w:sz w:val="19"/>
          <w:szCs w:val="19"/>
        </w:rPr>
        <w:t xml:space="preserve">, del que tratan los cuatro caminos. El segundo es el </w:t>
      </w:r>
      <w:r>
        <w:rPr>
          <w:rFonts w:ascii="Calibri" w:cs="Calibri" w:eastAsia="Calibri" w:hAnsi="Calibri"/>
          <w:b/>
          <w:bCs/>
          <w:color w:val="0F172A"/>
          <w:sz w:val="19"/>
          <w:szCs w:val="19"/>
        </w:rPr>
        <w:t xml:space="preserve">sistema de remuneraciones del propio SLEP —su ERP—</w:t>
      </w:r>
      <w:r>
        <w:rPr>
          <w:rFonts w:ascii="Calibri" w:cs="Calibri" w:eastAsia="Calibri" w:hAnsi="Calibri"/>
          <w:color w:val="334155"/>
          <w:sz w:val="19"/>
          <w:szCs w:val="19"/>
        </w:rPr>
        <w:t xml:space="preserve">, porque la zona C se llena con </w:t>
      </w:r>
      <w:r>
        <w:rPr>
          <w:rFonts w:ascii="Calibri" w:cs="Calibri" w:eastAsia="Calibri" w:hAnsi="Calibri"/>
          <w:b/>
          <w:bCs/>
          <w:color w:val="0F172A"/>
          <w:sz w:val="19"/>
          <w:szCs w:val="19"/>
        </w:rPr>
        <w:t xml:space="preserve">haberes</w:t>
      </w:r>
      <w:r>
        <w:rPr>
          <w:rFonts w:ascii="Calibri" w:cs="Calibri" w:eastAsia="Calibri" w:hAnsi="Calibri"/>
          <w:color w:val="334155"/>
          <w:sz w:val="19"/>
          <w:szCs w:val="19"/>
        </w:rPr>
        <w:t xml:space="preserve"> que viven ahí, y porque, una vez tramitada la licencia, hay que </w:t>
      </w:r>
      <w:r>
        <w:rPr>
          <w:rFonts w:ascii="Calibri" w:cs="Calibri" w:eastAsia="Calibri" w:hAnsi="Calibri"/>
          <w:b/>
          <w:bCs/>
          <w:color w:val="0F172A"/>
          <w:sz w:val="19"/>
          <w:szCs w:val="19"/>
        </w:rPr>
        <w:t xml:space="preserve">devolver ese dato al ERP</w:t>
      </w:r>
      <w:r>
        <w:rPr>
          <w:rFonts w:ascii="Calibri" w:cs="Calibri" w:eastAsia="Calibri" w:hAnsi="Calibri"/>
          <w:color w:val="334155"/>
          <w:sz w:val="19"/>
          <w:szCs w:val="19"/>
        </w:rPr>
        <w:t xml:space="preserve"> para que recalcule el sueldo (subsidio y días no trabajados). Sin el segundo frente, la automatización del primero queda a medias.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EL PILOTO SE CONSTRUYE CON PROEXSI (SLEP DE BARRANCAS)</w:t>
            </w:r>
          </w:p>
          <w:p>
            <w:pPr>
              <w:spacing w:after="50" w:line="260"/>
            </w:pPr>
            <w:r>
              <w:rPr>
                <w:color w:val="334155"/>
                <w:sz w:val="19"/>
                <w:szCs w:val="19"/>
              </w:rPr>
              <w:t xml:space="preserve">El </w:t>
            </w:r>
            <w:r>
              <w:rPr>
                <w:b/>
                <w:bCs/>
                <w:color w:val="0F172A"/>
                <w:sz w:val="19"/>
                <w:szCs w:val="19"/>
              </w:rPr>
              <w:t xml:space="preserve">SLEP piloto es Barrancas</w:t>
            </w:r>
            <w:r>
              <w:rPr>
                <w:color w:val="334155"/>
                <w:sz w:val="19"/>
                <w:szCs w:val="19"/>
              </w:rPr>
              <w:t xml:space="preserve">, cuyo ERP de remuneraciones es </w:t>
            </w:r>
            <w:r>
              <w:rPr>
                <w:b/>
                <w:bCs/>
                <w:color w:val="0F172A"/>
                <w:sz w:val="19"/>
                <w:szCs w:val="19"/>
              </w:rPr>
              <w:t xml:space="preserve">Proexsi</w:t>
            </w:r>
            <w:r>
              <w:rPr>
                <w:color w:val="334155"/>
                <w:sz w:val="19"/>
                <w:szCs w:val="19"/>
              </w:rPr>
              <w:t xml:space="preserve">. Todo el desarrollo de este frente se hace </w:t>
            </w:r>
            <w:r>
              <w:rPr>
                <w:b/>
                <w:bCs/>
                <w:color w:val="0F172A"/>
                <w:sz w:val="19"/>
                <w:szCs w:val="19"/>
              </w:rPr>
              <w:t xml:space="preserve">primero con Proexsi</w:t>
            </w:r>
            <w:r>
              <w:rPr>
                <w:color w:val="334155"/>
                <w:sz w:val="19"/>
                <w:szCs w:val="19"/>
              </w:rPr>
              <w:t xml:space="preserve">.</w:t>
            </w:r>
          </w:p>
          <w:p>
            <w:pPr>
              <w:spacing w:after="50" w:line="260"/>
            </w:pPr>
            <w:r>
              <w:rPr>
                <w:color w:val="334155"/>
                <w:sz w:val="19"/>
                <w:szCs w:val="19"/>
              </w:rPr>
              <w:t xml:space="preserve">Cada SLEP es una institución independiente y </w:t>
            </w:r>
            <w:r>
              <w:rPr>
                <w:b/>
                <w:bCs/>
                <w:color w:val="0F172A"/>
                <w:sz w:val="19"/>
                <w:szCs w:val="19"/>
              </w:rPr>
              <w:t xml:space="preserve">puede usar un ERP distinto</w:t>
            </w:r>
            <w:r>
              <w:rPr>
                <w:color w:val="334155"/>
                <w:sz w:val="19"/>
                <w:szCs w:val="19"/>
              </w:rPr>
              <w:t xml:space="preserve">: por eso el conector se diseña con un </w:t>
            </w:r>
            <w:r>
              <w:rPr>
                <w:b/>
                <w:bCs/>
                <w:color w:val="0F172A"/>
                <w:sz w:val="19"/>
                <w:szCs w:val="19"/>
              </w:rPr>
              <w:t xml:space="preserve">adaptador</w:t>
            </w:r>
            <w:r>
              <w:rPr>
                <w:color w:val="334155"/>
                <w:sz w:val="19"/>
                <w:szCs w:val="19"/>
              </w:rPr>
              <w:t xml:space="preserve"> que luego se ajusta a la realidad de cada SLEP, sin rehacer el resto.</w:t>
            </w:r>
          </w:p>
          <w:p>
            <w:pPr>
              <w:spacing w:after="50" w:line="260"/>
            </w:pPr>
            <w:r>
              <w:rPr>
                <w:color w:val="334155"/>
                <w:sz w:val="19"/>
                <w:szCs w:val="19"/>
              </w:rPr>
              <w:t xml:space="preserve">Nota: Proexsi es además el </w:t>
            </w:r>
            <w:r>
              <w:rPr>
                <w:b/>
                <w:bCs/>
                <w:color w:val="0F172A"/>
                <w:sz w:val="19"/>
                <w:szCs w:val="19"/>
              </w:rPr>
              <w:t xml:space="preserve">software nacional de remuneraciones</w:t>
            </w:r>
            <w:r>
              <w:rPr>
                <w:color w:val="334155"/>
                <w:sz w:val="19"/>
                <w:szCs w:val="19"/>
              </w:rPr>
              <w:t xml:space="preserve"> que la DEP impulsa para los SLEP, lo que favorecería la reutilización del conector; su alcance exacto está </w:t>
            </w:r>
            <w:r>
              <w:rPr>
                <w:b/>
                <w:bCs/>
                <w:color w:val="0F172A"/>
                <w:sz w:val="19"/>
                <w:szCs w:val="19"/>
              </w:rPr>
              <w:t xml:space="preserve">por confirmar</w:t>
            </w:r>
            <w:r>
              <w:rPr>
                <w:color w:val="334155"/>
                <w:sz w:val="19"/>
                <w:szCs w:val="19"/>
              </w:rPr>
              <w:t xml:space="preserve">.</w:t>
            </w:r>
          </w:p>
        </w:tc>
      </w:tr>
    </w:tbl>
    <w:p>
      <w:pPr>
        <w:spacing w:after="140" w:before="0" w:line="120"/>
      </w:pPr>
    </w:p>
    <w:p>
      <w:pPr>
        <w:spacing w:after="140" w:before="0" w:line="276"/>
        <w:jc w:val="left"/>
      </w:pPr>
      <w:r>
        <w:rPr>
          <w:rFonts w:ascii="Calibri" w:cs="Calibri" w:eastAsia="Calibri" w:hAnsi="Calibri"/>
          <w:color w:val="334155"/>
          <w:sz w:val="19"/>
          <w:szCs w:val="19"/>
        </w:rPr>
        <w:t xml:space="preserve">El conector con el ERP trabaja en </w:t>
      </w:r>
      <w:r>
        <w:rPr>
          <w:rFonts w:ascii="Calibri" w:cs="Calibri" w:eastAsia="Calibri" w:hAnsi="Calibri"/>
          <w:b/>
          <w:bCs/>
          <w:color w:val="0F172A"/>
          <w:sz w:val="19"/>
          <w:szCs w:val="19"/>
        </w:rPr>
        <w:t xml:space="preserve">dos direcciones</w:t>
      </w:r>
      <w:r>
        <w:rPr>
          <w:rFonts w:ascii="Calibri" w:cs="Calibri" w:eastAsia="Calibri" w:hAnsi="Calibri"/>
          <w:color w:val="334155"/>
          <w:sz w:val="19"/>
          <w:szCs w:val="19"/>
        </w:rPr>
        <w:t xml:space="preserv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850"/>
        <w:gridCol w:w="460"/>
        <w:gridCol w:w="5330"/>
      </w:tblGrid>
      <w:tr>
        <w:trPr>
          <w:cantSplit/>
        </w:trPr>
        <w:tc>
          <w:tcPr>
            <w:tcW w:type="dxa" w:w="385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LEER</w:t>
            </w:r>
          </w:p>
          <w:p>
            <w:pPr>
              <w:spacing w:after="20" w:line="240"/>
              <w:jc w:val="left"/>
            </w:pPr>
            <w:r>
              <w:rPr>
                <w:b/>
                <w:bCs/>
                <w:color w:val="0F172A"/>
                <w:sz w:val="17"/>
                <w:szCs w:val="17"/>
              </w:rPr>
              <w:t xml:space="preserve">ERP del SLEP · Proexsi</w:t>
            </w:r>
          </w:p>
          <w:p>
            <w:pPr>
              <w:spacing w:after="0" w:line="230"/>
              <w:jc w:val="left"/>
            </w:pPr>
            <w:r>
              <w:rPr>
                <w:color w:val="64748B"/>
                <w:sz w:val="14"/>
                <w:szCs w:val="14"/>
              </w:rPr>
              <w:t xml:space="preserve">Haberes por período: sueldo, imponibles, descuentos, días trabajados</w:t>
            </w:r>
          </w:p>
        </w:tc>
        <w:tc>
          <w:tcPr>
            <w:tcW w:type="dxa" w:w="4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533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FRENTE FONASA</w:t>
            </w:r>
          </w:p>
          <w:p>
            <w:pPr>
              <w:spacing w:after="20" w:line="240"/>
              <w:jc w:val="left"/>
            </w:pPr>
            <w:r>
              <w:rPr>
                <w:b/>
                <w:bCs/>
                <w:color w:val="0F172A"/>
                <w:sz w:val="17"/>
                <w:szCs w:val="17"/>
              </w:rPr>
              <w:t xml:space="preserve">Zona C en FONASA</w:t>
            </w:r>
          </w:p>
          <w:p>
            <w:pPr>
              <w:spacing w:after="0" w:line="230"/>
              <w:jc w:val="left"/>
            </w:pPr>
            <w:r>
              <w:rPr>
                <w:color w:val="64748B"/>
                <w:sz w:val="14"/>
                <w:szCs w:val="14"/>
              </w:rPr>
              <w:t xml:space="preserve">El sistema arma y completa la zona C con esos haberes</w:t>
            </w:r>
          </w:p>
        </w:tc>
      </w:tr>
      <w:tr>
        <w:trPr>
          <w:cantSplit/>
        </w:trPr>
        <w:tc>
          <w:tcPr>
            <w:tcW w:type="dxa" w:w="385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ESCRIBIR</w:t>
            </w:r>
          </w:p>
          <w:p>
            <w:pPr>
              <w:spacing w:after="20" w:line="240"/>
              <w:jc w:val="left"/>
            </w:pPr>
            <w:r>
              <w:rPr>
                <w:b/>
                <w:bCs/>
                <w:color w:val="0F172A"/>
                <w:sz w:val="17"/>
                <w:szCs w:val="17"/>
              </w:rPr>
              <w:t xml:space="preserve">Licencia tramitada en FONASA</w:t>
            </w:r>
          </w:p>
          <w:p>
            <w:pPr>
              <w:spacing w:after="0" w:line="230"/>
              <w:jc w:val="left"/>
            </w:pPr>
            <w:r>
              <w:rPr>
                <w:color w:val="64748B"/>
                <w:sz w:val="14"/>
                <w:szCs w:val="14"/>
              </w:rPr>
              <w:t xml:space="preserve">Folio, días de reposo, resolución</w:t>
            </w:r>
          </w:p>
        </w:tc>
        <w:tc>
          <w:tcPr>
            <w:tcW w:type="dxa" w:w="46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533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DE VUELTA AL ERP</w:t>
            </w:r>
          </w:p>
          <w:p>
            <w:pPr>
              <w:spacing w:after="20" w:line="240"/>
              <w:jc w:val="left"/>
            </w:pPr>
            <w:r>
              <w:rPr>
                <w:b/>
                <w:bCs/>
                <w:color w:val="0F172A"/>
                <w:sz w:val="17"/>
                <w:szCs w:val="17"/>
              </w:rPr>
              <w:t xml:space="preserve">ERP del SLEP · Proexsi</w:t>
            </w:r>
          </w:p>
          <w:p>
            <w:pPr>
              <w:spacing w:after="0" w:line="230"/>
              <w:jc w:val="left"/>
            </w:pPr>
            <w:r>
              <w:rPr>
                <w:color w:val="64748B"/>
                <w:sz w:val="14"/>
                <w:szCs w:val="14"/>
              </w:rPr>
              <w:t xml:space="preserve">Recalcula la remuneración: aplica subsidio y descuenta días no trabajados</w:t>
            </w:r>
          </w:p>
        </w:tc>
      </w:tr>
    </w:tbl>
    <w:p>
      <w:pPr>
        <w:spacing w:after="200" w:before="80"/>
      </w:pPr>
      <w:r>
        <w:rPr>
          <w:rFonts w:ascii="Consolas" w:cs="Consolas" w:eastAsia="Consolas" w:hAnsi="Consolas"/>
          <w:b/>
          <w:bCs/>
          <w:color w:val="0D9488"/>
          <w:sz w:val="15"/>
          <w:szCs w:val="15"/>
        </w:rPr>
        <w:t xml:space="preserve">FIG. 7  </w:t>
      </w:r>
      <w:r>
        <w:rPr>
          <w:rFonts w:ascii="Calibri" w:cs="Calibri" w:eastAsia="Calibri" w:hAnsi="Calibri"/>
          <w:color w:val="64748B"/>
          <w:sz w:val="16"/>
          <w:szCs w:val="16"/>
        </w:rPr>
        <w:t xml:space="preserve">Leer haberes para la zona C (ida) y escribir la licencia de vuelta para recalcular el sueldo (vuelta).</w:t>
      </w:r>
    </w:p>
    <w:p>
      <w:pPr>
        <w:spacing w:after="140" w:before="0" w:line="276"/>
        <w:jc w:val="left"/>
      </w:pPr>
      <w:r>
        <w:rPr>
          <w:rFonts w:ascii="Calibri" w:cs="Calibri" w:eastAsia="Calibri" w:hAnsi="Calibri"/>
          <w:color w:val="334155"/>
          <w:sz w:val="19"/>
          <w:szCs w:val="19"/>
        </w:rPr>
        <w:t xml:space="preserve">Sea cual sea el camino, hay </w:t>
      </w:r>
      <w:r>
        <w:rPr>
          <w:rFonts w:ascii="Calibri" w:cs="Calibri" w:eastAsia="Calibri" w:hAnsi="Calibri"/>
          <w:b/>
          <w:bCs/>
          <w:color w:val="0F172A"/>
          <w:sz w:val="19"/>
          <w:szCs w:val="19"/>
        </w:rPr>
        <w:t xml:space="preserve">tres formas posibles</w:t>
      </w:r>
      <w:r>
        <w:rPr>
          <w:rFonts w:ascii="Calibri" w:cs="Calibri" w:eastAsia="Calibri" w:hAnsi="Calibri"/>
          <w:color w:val="334155"/>
          <w:sz w:val="19"/>
          <w:szCs w:val="19"/>
        </w:rPr>
        <w:t xml:space="preserve"> de hablar con el ERP, de más a menos deseable. Cuál se usa depende de lo que Proexsi permita, algo que todavía </w:t>
      </w:r>
      <w:r>
        <w:rPr>
          <w:rFonts w:ascii="Calibri" w:cs="Calibri" w:eastAsia="Calibri" w:hAnsi="Calibri"/>
          <w:b/>
          <w:bCs/>
          <w:color w:val="0F172A"/>
          <w:sz w:val="19"/>
          <w:szCs w:val="19"/>
        </w:rPr>
        <w:t xml:space="preserve">hay que confirmar con el proveedor</w:t>
      </w:r>
      <w:r>
        <w:rPr>
          <w:rFonts w:ascii="Calibri" w:cs="Calibri" w:eastAsia="Calibri" w:hAnsi="Calibri"/>
          <w:color w:val="334155"/>
          <w:sz w:val="19"/>
          <w:szCs w:val="19"/>
        </w:rPr>
        <w:t xml:space="preserv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4100"/>
        <w:gridCol w:w="3040"/>
      </w:tblGrid>
      <w:tr>
        <w:trPr>
          <w:tblHeader/>
        </w:trPr>
        <w:tc>
          <w:tcPr>
            <w:tcW w:type="dxa" w:w="25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VÍA CON EL ERP</w:t>
            </w:r>
          </w:p>
        </w:tc>
        <w:tc>
          <w:tcPr>
            <w:tcW w:type="dxa" w:w="4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ES</w:t>
            </w:r>
          </w:p>
        </w:tc>
        <w:tc>
          <w:tcPr>
            <w:tcW w:type="dxa" w:w="30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CUÁNDO SE USA</w:t>
            </w:r>
          </w:p>
        </w:tc>
      </w:tr>
      <w:tr>
        <w:trPr>
          <w:cantSplit/>
        </w:trPr>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Interfaz de datos (API)</w:t>
            </w:r>
          </w:p>
        </w:tc>
        <w:tc>
          <w:tcPr>
            <w:tcW w:type="dxa" w:w="4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El ERP entrega y recibe datos directamente, sistema a sistema</w:t>
            </w:r>
          </w:p>
        </w:tc>
        <w:tc>
          <w:tcPr>
            <w:tcW w:type="dxa" w:w="3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La mejor opción, si Proexsi la ofrece</w:t>
            </w:r>
          </w:p>
        </w:tc>
      </w:tr>
      <w:tr>
        <w:trPr>
          <w:cantSplit/>
        </w:trPr>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Intercambio por archivo</w:t>
            </w:r>
          </w:p>
        </w:tc>
        <w:tc>
          <w:tcPr>
            <w:tcW w:type="dxa" w:w="4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Exportar los haberes e importar la licencia mediante un archivo acordado (planilla)</w:t>
            </w:r>
          </w:p>
        </w:tc>
        <w:tc>
          <w:tcPr>
            <w:tcW w:type="dxa" w:w="3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Buena y sencilla, si el ERP exporta e importa</w:t>
            </w:r>
          </w:p>
        </w:tc>
      </w:tr>
      <w:tr>
        <w:trPr>
          <w:cantSplit/>
        </w:trPr>
        <w:tc>
          <w:tcPr>
            <w:tcW w:type="dxa" w:w="2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Carga asistida (robot)</w:t>
            </w:r>
          </w:p>
        </w:tc>
        <w:tc>
          <w:tcPr>
            <w:tcW w:type="dxa" w:w="4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Un robot lee e ingresa en las pantallas del ERP, como una persona</w:t>
            </w:r>
          </w:p>
        </w:tc>
        <w:tc>
          <w:tcPr>
            <w:tcW w:type="dxa" w:w="3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Respaldo: permite partir aunque no haya vía técnica</w:t>
            </w:r>
          </w:p>
        </w:tc>
      </w:tr>
    </w:tbl>
    <w:p>
      <w:pPr>
        <w:spacing w:after="140" w:before="0" w:line="120"/>
      </w:pPr>
    </w:p>
    <w:p>
      <w:pPr>
        <w:spacing w:after="140" w:before="0" w:line="276"/>
        <w:jc w:val="left"/>
      </w:pPr>
      <w:r>
        <w:rPr>
          <w:rFonts w:ascii="Calibri" w:cs="Calibri" w:eastAsia="Calibri" w:hAnsi="Calibri"/>
          <w:color w:val="334155"/>
          <w:sz w:val="20"/>
          <w:szCs w:val="20"/>
        </w:rPr>
        <w:t xml:space="preserve">Cada camino aplica al ERP su propia filosofía, como muestra la fila "Conexión con el ERP" de la tabla. Lo que falta confirmar con el proveedor está en el Informe 08.5, sección 09; el diseño técnico del conector, en la sección 06 de cada informe técnico (08.x.2).</w:t>
      </w:r>
    </w:p>
    <w:p>
      <w:pPr>
        <w:spacing w:after="120" w:before="0" w:line="120"/>
      </w:pPr>
    </w:p>
    <w:p>
      <w:pPr>
        <w:pStyle w:val="Heading2"/>
        <w:keepNext/>
        <w:spacing w:after="120" w:before="260"/>
      </w:pPr>
      <w:r>
        <w:rPr>
          <w:rFonts w:ascii="Consolas" w:cs="Consolas" w:eastAsia="Consolas" w:hAnsi="Consolas"/>
          <w:b/>
          <w:bCs/>
          <w:color w:val="0D9488"/>
          <w:sz w:val="22"/>
          <w:szCs w:val="22"/>
        </w:rPr>
        <w:t xml:space="preserve">4.2  </w:t>
      </w:r>
      <w:r>
        <w:rPr>
          <w:rFonts w:ascii="Calibri" w:cs="Calibri" w:eastAsia="Calibri" w:hAnsi="Calibri"/>
          <w:b/>
          <w:bCs/>
          <w:color w:val="0F172A"/>
          <w:sz w:val="25"/>
          <w:szCs w:val="25"/>
        </w:rPr>
        <w:t xml:space="preserve">Tres propuestas por camino</w:t>
      </w:r>
    </w:p>
    <w:p>
      <w:pPr>
        <w:spacing w:after="140" w:before="0" w:line="276"/>
        <w:jc w:val="left"/>
      </w:pPr>
      <w:r>
        <w:rPr>
          <w:rFonts w:ascii="Calibri" w:cs="Calibri" w:eastAsia="Calibri" w:hAnsi="Calibri"/>
          <w:color w:val="334155"/>
          <w:sz w:val="18"/>
          <w:szCs w:val="18"/>
        </w:rPr>
        <w:t xml:space="preserve">Cada camino se presenta en </w:t>
      </w:r>
      <w:r>
        <w:rPr>
          <w:rFonts w:ascii="Calibri" w:cs="Calibri" w:eastAsia="Calibri" w:hAnsi="Calibri"/>
          <w:b/>
          <w:bCs/>
          <w:color w:val="0F172A"/>
          <w:sz w:val="18"/>
          <w:szCs w:val="18"/>
        </w:rPr>
        <w:t xml:space="preserve">tres niveles de propuesta</w:t>
      </w:r>
      <w:r>
        <w:rPr>
          <w:rFonts w:ascii="Calibri" w:cs="Calibri" w:eastAsia="Calibri" w:hAnsi="Calibri"/>
          <w:color w:val="334155"/>
          <w:sz w:val="18"/>
          <w:szCs w:val="18"/>
        </w:rPr>
        <w:t xml:space="preserve">, que comparten el mismo diseño de proceso, las mismas reglas legales y las mismas fechas, y se diferencian en las herramientas, la infraestructura (sobre todo el equipo de IA local) y el soporte:</w:t>
      </w:r>
    </w:p>
    <w:tbl>
      <w:tblPr>
        <w:tblW w:type="dxa" w:w="93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2650"/>
        <w:gridCol w:w="2350"/>
        <w:gridCol w:w="2640"/>
      </w:tblGrid>
      <w:tr>
        <w:trPr>
          <w:tblHeader/>
        </w:trPr>
        <w:tc>
          <w:tcPr>
            <w:tcW w:type="dxa" w:w="1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CAMINO</w:t>
            </w:r>
          </w:p>
        </w:tc>
        <w:tc>
          <w:tcPr>
            <w:tcW w:type="dxa" w:w="2650"/>
            <w:tcBorders>
              <w:top w:val="none" w:color="FFFFFF" w:sz="0"/>
              <w:left w:val="none" w:color="FFFFFF" w:sz="0"/>
              <w:bottom w:val="none" w:color="FFFFFF" w:sz="0"/>
              <w:right w:val="none" w:color="FFFFFF" w:sz="0"/>
            </w:tcBorders>
            <w:shd w:fill="15803D"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1 · COSTO CERO</w:t>
            </w:r>
          </w:p>
        </w:tc>
        <w:tc>
          <w:tcPr>
            <w:tcW w:type="dxa" w:w="2350"/>
            <w:tcBorders>
              <w:top w:val="none" w:color="FFFFFF" w:sz="0"/>
              <w:left w:val="none" w:color="FFFFFF" w:sz="0"/>
              <w:bottom w:val="none" w:color="FFFFFF" w:sz="0"/>
              <w:right w:val="none" w:color="FFFFFF" w:sz="0"/>
            </w:tcBorders>
            <w:shd w:fill="0D9488"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2 · ÓPTIMA</w:t>
            </w:r>
          </w:p>
        </w:tc>
        <w:tc>
          <w:tcPr>
            <w:tcW w:type="dxa" w:w="2640"/>
            <w:tcBorders>
              <w:top w:val="none" w:color="FFFFFF" w:sz="0"/>
              <w:left w:val="none" w:color="FFFFFF" w:sz="0"/>
              <w:bottom w:val="none" w:color="FFFFFF" w:sz="0"/>
              <w:right w:val="none" w:color="FFFFFF" w:sz="0"/>
            </w:tcBorders>
            <w:shd w:fill="B45309"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3 · AVANZADA</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Criterio</w:t>
            </w:r>
          </w:p>
        </w:tc>
        <w:tc>
          <w:tcPr>
            <w:tcW w:type="dxa" w:w="2650"/>
            <w:tcBorders>
              <w:top w:val="none" w:color="FFFFFF" w:sz="0"/>
              <w:left w:val="none" w:color="FFFFFF" w:sz="0"/>
              <w:bottom w:val="single" w:color="E2E8F0" w:sz="4"/>
              <w:right w:val="none" w:color="FFFFFF" w:sz="0"/>
            </w:tcBorders>
            <w:shd w:val="clear" w:color="auto" w:fill="F0FDF4"/>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Solo código abierto, canales gratuitos de FONASA y recursos que la DEP ya tiene</w:t>
            </w:r>
          </w:p>
        </w:tc>
        <w:tc>
          <w:tcPr>
            <w:tcW w:type="dxa" w:w="2350"/>
            <w:tcBorders>
              <w:top w:val="none" w:color="FFFFFF" w:sz="0"/>
              <w:left w:val="none" w:color="FFFFFF" w:sz="0"/>
              <w:bottom w:val="single" w:color="E2E8F0" w:sz="4"/>
              <w:right w:val="none" w:color="FFFFFF" w:sz="0"/>
            </w:tcBorders>
            <w:shd w:val="clear" w:color="auto" w:fill="F0FDFA"/>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El mínimo gasto que asegura soporte, estabilidad y rendimiento</w:t>
            </w:r>
          </w:p>
        </w:tc>
        <w:tc>
          <w:tcPr>
            <w:tcW w:type="dxa" w:w="2640"/>
            <w:tcBorders>
              <w:top w:val="none" w:color="FFFFFF" w:sz="0"/>
              <w:left w:val="none" w:color="FFFFFF" w:sz="0"/>
              <w:bottom w:val="single" w:color="E2E8F0" w:sz="4"/>
              <w:right w:val="none" w:color="FFFFFF" w:sz="0"/>
            </w:tcBorders>
            <w:shd w:val="clear" w:color="auto" w:fill="FFFBEB"/>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Plataforma completa, alta disponibilidad y soporte externo</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Qué cambia entre caminos</w:t>
            </w:r>
          </w:p>
        </w:tc>
        <w:tc>
          <w:tcPr>
            <w:tcW w:type="dxa" w:w="2650"/>
            <w:tcBorders>
              <w:top w:val="none" w:color="FFFFFF" w:sz="0"/>
              <w:left w:val="none" w:color="FFFFFF" w:sz="0"/>
              <w:bottom w:val="single" w:color="E2E8F0" w:sz="4"/>
              <w:right w:val="none" w:color="FFFFFF" w:sz="0"/>
            </w:tcBorders>
            <w:shd w:val="clear" w:color="auto" w:fill="F0FDF4"/>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La herramienta de cada camino; IA local en la CPU existente</w:t>
            </w:r>
          </w:p>
        </w:tc>
        <w:tc>
          <w:tcPr>
            <w:tcW w:type="dxa" w:w="2350"/>
            <w:tcBorders>
              <w:top w:val="none" w:color="FFFFFF" w:sz="0"/>
              <w:left w:val="none" w:color="FFFFFF" w:sz="0"/>
              <w:bottom w:val="single" w:color="E2E8F0" w:sz="4"/>
              <w:right w:val="none" w:color="FFFFFF" w:sz="0"/>
            </w:tcBorders>
            <w:shd w:val="clear" w:color="auto" w:fill="F0FDFA"/>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Equipo de IA local con GPU básica; soporte según camino</w:t>
            </w:r>
          </w:p>
        </w:tc>
        <w:tc>
          <w:tcPr>
            <w:tcW w:type="dxa" w:w="2640"/>
            <w:tcBorders>
              <w:top w:val="none" w:color="FFFFFF" w:sz="0"/>
              <w:left w:val="none" w:color="FFFFFF" w:sz="0"/>
              <w:bottom w:val="single" w:color="E2E8F0" w:sz="4"/>
              <w:right w:val="none" w:color="FFFFFF" w:sz="0"/>
            </w:tcBorders>
            <w:shd w:val="clear" w:color="auto" w:fill="FFFBEB"/>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Equipo de IA avanzado, respaldo en la nube y prueba de seguridad</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RPA</w:t>
            </w:r>
          </w:p>
        </w:tc>
        <w:tc>
          <w:tcPr>
            <w:tcW w:type="dxa" w:w="2650"/>
            <w:tcBorders>
              <w:top w:val="none" w:color="FFFFFF" w:sz="0"/>
              <w:left w:val="none" w:color="FFFFFF" w:sz="0"/>
              <w:bottom w:val="single" w:color="E2E8F0" w:sz="4"/>
              <w:right w:val="none" w:color="FFFFFF" w:sz="0"/>
            </w:tcBorders>
            <w:shd w:val="clear" w:color="auto" w:fill="F0FDF4"/>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A1 · Robot open source; equipos existentes</w:t>
            </w:r>
          </w:p>
        </w:tc>
        <w:tc>
          <w:tcPr>
            <w:tcW w:type="dxa" w:w="2350"/>
            <w:tcBorders>
              <w:top w:val="none" w:color="FFFFFF" w:sz="0"/>
              <w:left w:val="none" w:color="FFFFFF" w:sz="0"/>
              <w:bottom w:val="single" w:color="E2E8F0" w:sz="4"/>
              <w:right w:val="none" w:color="FFFFFF" w:sz="0"/>
            </w:tcBorders>
            <w:shd w:val="clear" w:color="auto" w:fill="F0FDFA"/>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A2 · Robot con soporte del fabricante</w:t>
            </w:r>
          </w:p>
        </w:tc>
        <w:tc>
          <w:tcPr>
            <w:tcW w:type="dxa" w:w="2640"/>
            <w:tcBorders>
              <w:top w:val="none" w:color="FFFFFF" w:sz="0"/>
              <w:left w:val="none" w:color="FFFFFF" w:sz="0"/>
              <w:bottom w:val="single" w:color="E2E8F0" w:sz="4"/>
              <w:right w:val="none" w:color="FFFFFF" w:sz="0"/>
            </w:tcBorders>
            <w:shd w:val="clear" w:color="auto" w:fill="FFFBEB"/>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A3 · Plataforma de robots con control central</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API del PIEE</w:t>
            </w:r>
          </w:p>
        </w:tc>
        <w:tc>
          <w:tcPr>
            <w:tcW w:type="dxa" w:w="2650"/>
            <w:tcBorders>
              <w:top w:val="none" w:color="FFFFFF" w:sz="0"/>
              <w:left w:val="none" w:color="FFFFFF" w:sz="0"/>
              <w:bottom w:val="single" w:color="E2E8F0" w:sz="4"/>
              <w:right w:val="none" w:color="FFFFFF" w:sz="0"/>
            </w:tcBorders>
            <w:shd w:val="clear" w:color="auto" w:fill="F0FDF4"/>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API1 · Conector + IA local en CPU</w:t>
            </w:r>
          </w:p>
        </w:tc>
        <w:tc>
          <w:tcPr>
            <w:tcW w:type="dxa" w:w="2350"/>
            <w:tcBorders>
              <w:top w:val="none" w:color="FFFFFF" w:sz="0"/>
              <w:left w:val="none" w:color="FFFFFF" w:sz="0"/>
              <w:bottom w:val="single" w:color="E2E8F0" w:sz="4"/>
              <w:right w:val="none" w:color="FFFFFF" w:sz="0"/>
            </w:tcBorders>
            <w:shd w:val="clear" w:color="auto" w:fill="F0FDFA"/>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API2 · IA local en GPU básica</w:t>
            </w:r>
          </w:p>
        </w:tc>
        <w:tc>
          <w:tcPr>
            <w:tcW w:type="dxa" w:w="2640"/>
            <w:tcBorders>
              <w:top w:val="none" w:color="FFFFFF" w:sz="0"/>
              <w:left w:val="none" w:color="FFFFFF" w:sz="0"/>
              <w:bottom w:val="single" w:color="E2E8F0" w:sz="4"/>
              <w:right w:val="none" w:color="FFFFFF" w:sz="0"/>
            </w:tcBorders>
            <w:shd w:val="clear" w:color="auto" w:fill="FFFBEB"/>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API3 · IA avanzada + alta disponibilidad</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Servicios web</w:t>
            </w:r>
          </w:p>
        </w:tc>
        <w:tc>
          <w:tcPr>
            <w:tcW w:type="dxa" w:w="2650"/>
            <w:tcBorders>
              <w:top w:val="none" w:color="FFFFFF" w:sz="0"/>
              <w:left w:val="none" w:color="FFFFFF" w:sz="0"/>
              <w:bottom w:val="single" w:color="E2E8F0" w:sz="4"/>
              <w:right w:val="none" w:color="FFFFFF" w:sz="0"/>
            </w:tcBorders>
            <w:shd w:val="clear" w:color="auto" w:fill="F0FDF4"/>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WS1 · Servicio de FONASA + IA local en CPU</w:t>
            </w:r>
          </w:p>
        </w:tc>
        <w:tc>
          <w:tcPr>
            <w:tcW w:type="dxa" w:w="2350"/>
            <w:tcBorders>
              <w:top w:val="none" w:color="FFFFFF" w:sz="0"/>
              <w:left w:val="none" w:color="FFFFFF" w:sz="0"/>
              <w:bottom w:val="single" w:color="E2E8F0" w:sz="4"/>
              <w:right w:val="none" w:color="FFFFFF" w:sz="0"/>
            </w:tcBorders>
            <w:shd w:val="clear" w:color="auto" w:fill="F0FDFA"/>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WS2 · IA local en GPU básica</w:t>
            </w:r>
          </w:p>
        </w:tc>
        <w:tc>
          <w:tcPr>
            <w:tcW w:type="dxa" w:w="2640"/>
            <w:tcBorders>
              <w:top w:val="none" w:color="FFFFFF" w:sz="0"/>
              <w:left w:val="none" w:color="FFFFFF" w:sz="0"/>
              <w:bottom w:val="single" w:color="E2E8F0" w:sz="4"/>
              <w:right w:val="none" w:color="FFFFFF" w:sz="0"/>
            </w:tcBorders>
            <w:shd w:val="clear" w:color="auto" w:fill="FFFBEB"/>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WS3 · IA avanzada + alta disponibilidad</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Mixto</w:t>
            </w:r>
          </w:p>
        </w:tc>
        <w:tc>
          <w:tcPr>
            <w:tcW w:type="dxa" w:w="2650"/>
            <w:tcBorders>
              <w:top w:val="none" w:color="FFFFFF" w:sz="0"/>
              <w:left w:val="none" w:color="FFFFFF" w:sz="0"/>
              <w:bottom w:val="single" w:color="E2E8F0" w:sz="4"/>
              <w:right w:val="none" w:color="FFFFFF" w:sz="0"/>
            </w:tcBorders>
            <w:shd w:val="clear" w:color="auto" w:fill="F0FDF4"/>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MIX1 · Canales gratuitos orquestados + IA en CPU</w:t>
            </w:r>
          </w:p>
        </w:tc>
        <w:tc>
          <w:tcPr>
            <w:tcW w:type="dxa" w:w="2350"/>
            <w:tcBorders>
              <w:top w:val="none" w:color="FFFFFF" w:sz="0"/>
              <w:left w:val="none" w:color="FFFFFF" w:sz="0"/>
              <w:bottom w:val="single" w:color="E2E8F0" w:sz="4"/>
              <w:right w:val="none" w:color="FFFFFF" w:sz="0"/>
            </w:tcBorders>
            <w:shd w:val="clear" w:color="auto" w:fill="F0FDFA"/>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MIX2 · IA local en GPU básica</w:t>
            </w:r>
          </w:p>
        </w:tc>
        <w:tc>
          <w:tcPr>
            <w:tcW w:type="dxa" w:w="2640"/>
            <w:tcBorders>
              <w:top w:val="none" w:color="FFFFFF" w:sz="0"/>
              <w:left w:val="none" w:color="FFFFFF" w:sz="0"/>
              <w:bottom w:val="single" w:color="E2E8F0" w:sz="4"/>
              <w:right w:val="none" w:color="FFFFFF" w:sz="0"/>
            </w:tcBorders>
            <w:shd w:val="clear" w:color="auto" w:fill="FFFBEB"/>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MIX3 · Todos los canales + IA avanzada</w:t>
            </w:r>
          </w:p>
        </w:tc>
      </w:tr>
    </w:tbl>
    <w:p>
      <w:pPr>
        <w:spacing w:after="120" w:before="0" w:line="120"/>
      </w:pPr>
    </w:p>
    <w:p>
      <w:pPr>
        <w:spacing w:after="140" w:before="0" w:line="276"/>
        <w:jc w:val="left"/>
      </w:pPr>
      <w:r>
        <w:rPr>
          <w:rFonts w:ascii="Calibri" w:cs="Calibri" w:eastAsia="Calibri" w:hAnsi="Calibri"/>
          <w:color w:val="334155"/>
          <w:sz w:val="18"/>
          <w:szCs w:val="18"/>
        </w:rPr>
        <w:t xml:space="preserve">El detalle técnico de cada propuesta —stack completo y arquitectura— está en los Informes 08.x.2; su marco legal, en los Informes 08.x.1, y sus costos, en los Informes 08.x.3.</w:t>
      </w:r>
      <w:r>
        <w:rPr>
          <w:rFonts w:ascii="Calibri" w:cs="Calibri" w:eastAsia="Calibri" w:hAnsi="Calibri"/>
          <w:b/>
          <w:bCs/>
          <w:color w:val="0F172A"/>
          <w:sz w:val="18"/>
          <w:szCs w:val="18"/>
        </w:rPr>
        <w:t xml:space="preserve"/>
      </w:r>
      <w:r>
        <w:rPr>
          <w:rFonts w:ascii="Calibri" w:cs="Calibri" w:eastAsia="Calibri" w:hAnsi="Calibri"/>
          <w:color w:val="334155"/>
          <w:sz w:val="18"/>
          <w:szCs w:val="18"/>
        </w:rPr>
        <w:t xml:space="preserve"/>
      </w:r>
      <w:r>
        <w:rPr>
          <w:rFonts w:ascii="Calibri" w:cs="Calibri" w:eastAsia="Calibri" w:hAnsi="Calibri"/>
          <w:b/>
          <w:bCs/>
          <w:color w:val="0F172A"/>
          <w:sz w:val="18"/>
          <w:szCs w:val="18"/>
        </w:rPr>
        <w:t xml:space="preserve"/>
      </w:r>
      <w:r>
        <w:rPr>
          <w:rFonts w:ascii="Calibri" w:cs="Calibri" w:eastAsia="Calibri" w:hAnsi="Calibri"/>
          <w:color w:val="334155"/>
          <w:sz w:val="18"/>
          <w:szCs w:val="18"/>
        </w:rPr>
        <w:t xml:space="preserve"/>
      </w:r>
    </w:p>
    <w:p>
      <w:pPr>
        <w:pStyle w:val="Heading2"/>
        <w:keepNext/>
        <w:spacing w:after="120" w:before="260"/>
      </w:pPr>
      <w:r>
        <w:rPr>
          <w:rFonts w:ascii="Consolas" w:cs="Consolas" w:eastAsia="Consolas" w:hAnsi="Consolas"/>
          <w:b/>
          <w:bCs/>
          <w:color w:val="0D9488"/>
          <w:sz w:val="22"/>
          <w:szCs w:val="22"/>
        </w:rPr>
        <w:t xml:space="preserve">4.3  La IA: local para los datos de licencias y Claude para el trabajo sin datos personales</w:t>
      </w:r>
      <w:r>
        <w:rPr>
          <w:rFonts w:ascii="Calibri" w:cs="Calibri" w:eastAsia="Calibri" w:hAnsi="Calibri"/>
          <w:b/>
          <w:bCs/>
          <w:color w:val="0F172A"/>
          <w:sz w:val="25"/>
          <w:szCs w:val="25"/>
        </w:rPr>
        <w:t xml:space="preserve"/>
      </w:r>
    </w:p>
    <w:p>
      <w:pPr>
        <w:spacing w:after="140" w:before="0" w:line="276"/>
        <w:jc w:val="left"/>
      </w:pPr>
      <w:r>
        <w:rPr>
          <w:rFonts w:ascii="Calibri" w:cs="Calibri" w:eastAsia="Calibri" w:hAnsi="Calibri"/>
          <w:color w:val="334155"/>
          <w:sz w:val="18"/>
          <w:szCs w:val="18"/>
        </w:rPr>
        <w:t xml:space="preserve">Los cuatro caminos usan dos tipos de IA con reglas distintas. La </w:t>
      </w:r>
      <w:r>
        <w:rPr>
          <w:rFonts w:ascii="Calibri" w:cs="Calibri" w:eastAsia="Calibri" w:hAnsi="Calibri"/>
          <w:b/>
          <w:bCs/>
          <w:color w:val="0F172A"/>
          <w:sz w:val="18"/>
          <w:szCs w:val="18"/>
        </w:rPr>
        <w:t xml:space="preserve">IA local</w:t>
      </w:r>
      <w:r>
        <w:rPr>
          <w:rFonts w:ascii="Calibri" w:cs="Calibri" w:eastAsia="Calibri" w:hAnsi="Calibri"/>
          <w:color w:val="334155"/>
          <w:sz w:val="18"/>
          <w:szCs w:val="18"/>
        </w:rPr>
        <w:t xml:space="preserve"> —LAYA (github.com/aayushch/laya, Apache-2.0) con modelos abiertos que corren dentro de la DEP— es la única que toca datos de licencias: clasifica y prioriza los casos, y nunca decide ni envía. La </w:t>
      </w:r>
      <w:r>
        <w:rPr>
          <w:rFonts w:ascii="Calibri" w:cs="Calibri" w:eastAsia="Calibri" w:hAnsi="Calibri"/>
          <w:b/>
          <w:bCs/>
          <w:color w:val="0F172A"/>
          <w:sz w:val="18"/>
          <w:szCs w:val="18"/>
        </w:rPr>
        <w:t xml:space="preserve">IA en la nube</w:t>
      </w:r>
      <w:r>
        <w:rPr>
          <w:rFonts w:ascii="Calibri" w:cs="Calibri" w:eastAsia="Calibri" w:hAnsi="Calibri"/>
          <w:color w:val="334155"/>
          <w:sz w:val="18"/>
          <w:szCs w:val="18"/>
        </w:rPr>
        <w:t xml:space="preserve"> —Claude, la que hoy usa la institución— se suma en las propuestas óptima y avanzada </w:t>
      </w:r>
      <w:r>
        <w:rPr>
          <w:rFonts w:ascii="Calibri" w:cs="Calibri" w:eastAsia="Calibri" w:hAnsi="Calibri"/>
          <w:b/>
          <w:bCs/>
          <w:color w:val="0F172A"/>
          <w:sz w:val="18"/>
          <w:szCs w:val="18"/>
        </w:rPr>
        <w:t xml:space="preserve">solo para tareas sin datos personales</w:t>
      </w:r>
      <w:r>
        <w:rPr>
          <w:rFonts w:ascii="Calibri" w:cs="Calibri" w:eastAsia="Calibri" w:hAnsi="Calibri"/>
          <w:color w:val="334155"/>
          <w:sz w:val="18"/>
          <w:szCs w:val="18"/>
        </w:rPr>
        <w:t xml:space="preserve">: análisis normativo, redacción de informes y apoyo al desarrollo de código.</w:t>
      </w:r>
    </w:p>
    <w:tbl>
      <w:tblPr>
        <w:tblW w:type="dxa" w:w="93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2650"/>
        <w:gridCol w:w="2350"/>
        <w:gridCol w:w="2640"/>
      </w:tblGrid>
      <w:tr>
        <w:trPr>
          <w:tblHeader/>
        </w:trPr>
        <w:tc>
          <w:tcPr>
            <w:tcW w:type="dxa" w:w="1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IA</w:t>
            </w:r>
          </w:p>
        </w:tc>
        <w:tc>
          <w:tcPr>
            <w:tcW w:type="dxa" w:w="2650"/>
            <w:tcBorders>
              <w:top w:val="none" w:color="FFFFFF" w:sz="0"/>
              <w:left w:val="none" w:color="FFFFFF" w:sz="0"/>
              <w:bottom w:val="none" w:color="FFFFFF" w:sz="0"/>
              <w:right w:val="none" w:color="FFFFFF" w:sz="0"/>
            </w:tcBorders>
            <w:shd w:fill="15803D"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1 · COSTO CERO</w:t>
            </w:r>
          </w:p>
        </w:tc>
        <w:tc>
          <w:tcPr>
            <w:tcW w:type="dxa" w:w="2350"/>
            <w:tcBorders>
              <w:top w:val="none" w:color="FFFFFF" w:sz="0"/>
              <w:left w:val="none" w:color="FFFFFF" w:sz="0"/>
              <w:bottom w:val="none" w:color="FFFFFF" w:sz="0"/>
              <w:right w:val="none" w:color="FFFFFF" w:sz="0"/>
            </w:tcBorders>
            <w:shd w:fill="0D9488"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2 · ÓPTIMA</w:t>
            </w:r>
          </w:p>
        </w:tc>
        <w:tc>
          <w:tcPr>
            <w:tcW w:type="dxa" w:w="2640"/>
            <w:tcBorders>
              <w:top w:val="none" w:color="FFFFFF" w:sz="0"/>
              <w:left w:val="none" w:color="FFFFFF" w:sz="0"/>
              <w:bottom w:val="none" w:color="FFFFFF" w:sz="0"/>
              <w:right w:val="none" w:color="FFFFFF" w:sz="0"/>
            </w:tcBorders>
            <w:shd w:fill="B45309"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3 · AVANZADA</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IA local</w:t>
            </w:r>
          </w:p>
        </w:tc>
        <w:tc>
          <w:tcPr>
            <w:tcW w:type="dxa" w:w="2650"/>
            <w:tcBorders>
              <w:top w:val="none" w:color="FFFFFF" w:sz="0"/>
              <w:left w:val="none" w:color="FFFFFF" w:sz="0"/>
              <w:bottom w:val="single" w:color="E2E8F0" w:sz="4"/>
              <w:right w:val="none" w:color="FFFFFF" w:sz="0"/>
            </w:tcBorders>
            <w:shd w:val="clear" w:color="auto" w:fill="F0FDF4"/>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Qwen3 4B–8B en la CPU de un servidor existente</w:t>
            </w:r>
          </w:p>
        </w:tc>
        <w:tc>
          <w:tcPr>
            <w:tcW w:type="dxa" w:w="2350"/>
            <w:tcBorders>
              <w:top w:val="none" w:color="FFFFFF" w:sz="0"/>
              <w:left w:val="none" w:color="FFFFFF" w:sz="0"/>
              <w:bottom w:val="single" w:color="E2E8F0" w:sz="4"/>
              <w:right w:val="none" w:color="FFFFFF" w:sz="0"/>
            </w:tcBorders>
            <w:shd w:val="clear" w:color="auto" w:fill="F0FDFA"/>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Qwen3 8B–14B en una estación con GPU de 16 GB</w:t>
            </w:r>
          </w:p>
        </w:tc>
        <w:tc>
          <w:tcPr>
            <w:tcW w:type="dxa" w:w="2640"/>
            <w:tcBorders>
              <w:top w:val="none" w:color="FFFFFF" w:sz="0"/>
              <w:left w:val="none" w:color="FFFFFF" w:sz="0"/>
              <w:bottom w:val="single" w:color="E2E8F0" w:sz="4"/>
              <w:right w:val="none" w:color="FFFFFF" w:sz="0"/>
            </w:tcBorders>
            <w:shd w:val="clear" w:color="auto" w:fill="FFFBEB"/>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Qwen3 14B–32B en una estación con GPU de 32 GB (Informe 12)</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IA en la nube</w:t>
            </w:r>
          </w:p>
        </w:tc>
        <w:tc>
          <w:tcPr>
            <w:tcW w:type="dxa" w:w="2650"/>
            <w:tcBorders>
              <w:top w:val="none" w:color="FFFFFF" w:sz="0"/>
              <w:left w:val="none" w:color="FFFFFF" w:sz="0"/>
              <w:bottom w:val="single" w:color="E2E8F0" w:sz="4"/>
              <w:right w:val="none" w:color="FFFFFF" w:sz="0"/>
            </w:tcBorders>
            <w:shd w:val="clear" w:color="auto" w:fill="F0FDF4"/>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No se usa</w:t>
            </w:r>
          </w:p>
        </w:tc>
        <w:tc>
          <w:tcPr>
            <w:tcW w:type="dxa" w:w="2350"/>
            <w:tcBorders>
              <w:top w:val="none" w:color="FFFFFF" w:sz="0"/>
              <w:left w:val="none" w:color="FFFFFF" w:sz="0"/>
              <w:bottom w:val="single" w:color="E2E8F0" w:sz="4"/>
              <w:right w:val="none" w:color="FFFFFF" w:sz="0"/>
            </w:tcBorders>
            <w:shd w:val="clear" w:color="auto" w:fill="F0FDFA"/>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Claude Team Standard · 2 asientos</w:t>
            </w:r>
          </w:p>
        </w:tc>
        <w:tc>
          <w:tcPr>
            <w:tcW w:type="dxa" w:w="2640"/>
            <w:tcBorders>
              <w:top w:val="none" w:color="FFFFFF" w:sz="0"/>
              <w:left w:val="none" w:color="FFFFFF" w:sz="0"/>
              <w:bottom w:val="single" w:color="E2E8F0" w:sz="4"/>
              <w:right w:val="none" w:color="FFFFFF" w:sz="0"/>
            </w:tcBorders>
            <w:shd w:val="clear" w:color="auto" w:fill="FFFBEB"/>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Claude Team (1 Premium + 1 Standard) y API de Claude (Sonnet 5.5) en el portal</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Para qué se usa la nube</w:t>
            </w:r>
          </w:p>
        </w:tc>
        <w:tc>
          <w:tcPr>
            <w:tcW w:type="dxa" w:w="2650"/>
            <w:tcBorders>
              <w:top w:val="none" w:color="FFFFFF" w:sz="0"/>
              <w:left w:val="none" w:color="FFFFFF" w:sz="0"/>
              <w:bottom w:val="single" w:color="E2E8F0" w:sz="4"/>
              <w:right w:val="none" w:color="FFFFFF" w:sz="0"/>
            </w:tcBorders>
            <w:shd w:val="clear" w:color="auto" w:fill="F0FDF4"/>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w:t>
            </w:r>
          </w:p>
        </w:tc>
        <w:tc>
          <w:tcPr>
            <w:tcW w:type="dxa" w:w="2350"/>
            <w:tcBorders>
              <w:top w:val="none" w:color="FFFFFF" w:sz="0"/>
              <w:left w:val="none" w:color="FFFFFF" w:sz="0"/>
              <w:bottom w:val="single" w:color="E2E8F0" w:sz="4"/>
              <w:right w:val="none" w:color="FFFFFF" w:sz="0"/>
            </w:tcBorders>
            <w:shd w:val="clear" w:color="auto" w:fill="F0FDFA"/>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Normativa, redacción y apoyo de código del equipo</w:t>
            </w:r>
          </w:p>
        </w:tc>
        <w:tc>
          <w:tcPr>
            <w:tcW w:type="dxa" w:w="2640"/>
            <w:tcBorders>
              <w:top w:val="none" w:color="FFFFFF" w:sz="0"/>
              <w:left w:val="none" w:color="FFFFFF" w:sz="0"/>
              <w:bottom w:val="single" w:color="E2E8F0" w:sz="4"/>
              <w:right w:val="none" w:color="FFFFFF" w:sz="0"/>
            </w:tcBorders>
            <w:shd w:val="clear" w:color="auto" w:fill="FFFBEB"/>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Lo anterior y un asistente de normativa en GDP-SLEP Studio</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Requisito técnico</w:t>
            </w:r>
          </w:p>
        </w:tc>
        <w:tc>
          <w:tcPr>
            <w:tcW w:type="dxa" w:w="2650"/>
            <w:tcBorders>
              <w:top w:val="none" w:color="FFFFFF" w:sz="0"/>
              <w:left w:val="none" w:color="FFFFFF" w:sz="0"/>
              <w:bottom w:val="single" w:color="E2E8F0" w:sz="4"/>
              <w:right w:val="none" w:color="FFFFFF" w:sz="0"/>
            </w:tcBorders>
            <w:shd w:val="clear" w:color="auto" w:fill="F0FDF4"/>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Ninguno adicional</w:t>
            </w:r>
          </w:p>
        </w:tc>
        <w:tc>
          <w:tcPr>
            <w:tcW w:type="dxa" w:w="2350"/>
            <w:tcBorders>
              <w:top w:val="none" w:color="FFFFFF" w:sz="0"/>
              <w:left w:val="none" w:color="FFFFFF" w:sz="0"/>
              <w:bottom w:val="single" w:color="E2E8F0" w:sz="4"/>
              <w:right w:val="none" w:color="FFFFFF" w:sz="0"/>
            </w:tcBorders>
            <w:shd w:val="clear" w:color="auto" w:fill="F0FDFA"/>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Cuentas institucionales; uso desde navegador o aplicación</w:t>
            </w:r>
          </w:p>
        </w:tc>
        <w:tc>
          <w:tcPr>
            <w:tcW w:type="dxa" w:w="2640"/>
            <w:tcBorders>
              <w:top w:val="none" w:color="FFFFFF" w:sz="0"/>
              <w:left w:val="none" w:color="FFFFFF" w:sz="0"/>
              <w:bottom w:val="single" w:color="E2E8F0" w:sz="4"/>
              <w:right w:val="none" w:color="FFFFFF" w:sz="0"/>
            </w:tcBorders>
            <w:shd w:val="clear" w:color="auto" w:fill="FFFBEB"/>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Clave de API en el almacén de secretos, pasarela que bloquea datos personales y salida HTTPS a la API</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Costo de la nube, primer año</w:t>
            </w:r>
          </w:p>
        </w:tc>
        <w:tc>
          <w:tcPr>
            <w:tcW w:type="dxa" w:w="2650"/>
            <w:tcBorders>
              <w:top w:val="none" w:color="FFFFFF" w:sz="0"/>
              <w:left w:val="none" w:color="FFFFFF" w:sz="0"/>
              <w:bottom w:val="single" w:color="E2E8F0" w:sz="4"/>
              <w:right w:val="none" w:color="FFFFFF" w:sz="0"/>
            </w:tcBorders>
            <w:shd w:val="clear" w:color="auto" w:fill="F0FDF4"/>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$0</w:t>
            </w:r>
          </w:p>
        </w:tc>
        <w:tc>
          <w:tcPr>
            <w:tcW w:type="dxa" w:w="2350"/>
            <w:tcBorders>
              <w:top w:val="none" w:color="FFFFFF" w:sz="0"/>
              <w:left w:val="none" w:color="FFFFFF" w:sz="0"/>
              <w:bottom w:val="single" w:color="E2E8F0" w:sz="4"/>
              <w:right w:val="none" w:color="FFFFFF" w:sz="0"/>
            </w:tcBorders>
            <w:shd w:val="clear" w:color="auto" w:fill="F0FDFA"/>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 $0,6 MM (20 USD/asiento/mes, anual, + IVA)</w:t>
            </w:r>
          </w:p>
        </w:tc>
        <w:tc>
          <w:tcPr>
            <w:tcW w:type="dxa" w:w="2640"/>
            <w:tcBorders>
              <w:top w:val="none" w:color="FFFFFF" w:sz="0"/>
              <w:left w:val="none" w:color="FFFFFF" w:sz="0"/>
              <w:bottom w:val="single" w:color="E2E8F0" w:sz="4"/>
              <w:right w:val="none" w:color="FFFFFF" w:sz="0"/>
            </w:tcBorders>
            <w:shd w:val="clear" w:color="auto" w:fill="FFFBEB"/>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 $2,2 MM (Team + API con uso supuesto)</w:t>
            </w:r>
          </w:p>
        </w:tc>
      </w:tr>
    </w:tbl>
    <w:p>
      <w:pPr>
        <w:spacing w:after="140" w:before="0" w:line="276"/>
        <w:jc w:val="left"/>
      </w:pPr>
      <w:r>
        <w:rPr>
          <w:rFonts w:ascii="Calibri" w:cs="Calibri" w:eastAsia="Calibri" w:hAnsi="Calibri"/>
          <w:color w:val="334155"/>
          <w:sz w:val="18"/>
          <w:szCs w:val="18"/>
        </w:rPr>
        <w:t xml:space="preserve">Se evaluaron también </w:t>
      </w:r>
      <w:r>
        <w:rPr>
          <w:rFonts w:ascii="Calibri" w:cs="Calibri" w:eastAsia="Calibri" w:hAnsi="Calibri"/>
          <w:b/>
          <w:bCs/>
          <w:color w:val="0F172A"/>
          <w:sz w:val="18"/>
          <w:szCs w:val="18"/>
        </w:rPr>
        <w:t xml:space="preserve">ChatGPT Business</w:t>
      </w:r>
      <w:r>
        <w:rPr>
          <w:rFonts w:ascii="Calibri" w:cs="Calibri" w:eastAsia="Calibri" w:hAnsi="Calibri"/>
          <w:color w:val="334155"/>
          <w:sz w:val="18"/>
          <w:szCs w:val="18"/>
        </w:rPr>
        <w:t xml:space="preserve"> (20 USD por usuario al mes, anual) y </w:t>
      </w:r>
      <w:r>
        <w:rPr>
          <w:rFonts w:ascii="Calibri" w:cs="Calibri" w:eastAsia="Calibri" w:hAnsi="Calibri"/>
          <w:b/>
          <w:bCs/>
          <w:color w:val="0F172A"/>
          <w:sz w:val="18"/>
          <w:szCs w:val="18"/>
        </w:rPr>
        <w:t xml:space="preserve">Google Workspace con Gemini</w:t>
      </w:r>
      <w:r>
        <w:rPr>
          <w:rFonts w:ascii="Calibri" w:cs="Calibri" w:eastAsia="Calibri" w:hAnsi="Calibri"/>
          <w:color w:val="334155"/>
          <w:sz w:val="18"/>
          <w:szCs w:val="18"/>
        </w:rPr>
        <w:t xml:space="preserve"> (desde ≈ 7–8,40 USD por usuario al mes). Se propone Claude porque es la herramienta que la institución ya usa y paga: da continuidad en cuentas, administración y hábito de uso, y si los asientos ya existen su costo adicional es cero. Los precios son de lista a octubre de 2026 y deben confirmarse con cotización.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UNA PIEZA, CUATRO CAMINOS</w:t>
            </w:r>
          </w:p>
          <w:p>
            <w:pPr>
              <w:spacing w:after="50" w:line="260"/>
            </w:pPr>
            <w:r>
              <w:rPr>
                <w:color w:val="334155"/>
                <w:sz w:val="19"/>
                <w:szCs w:val="19"/>
              </w:rPr>
              <w:t xml:space="preserve">La IA local, el motor de plazos y el orquestador del portal son comunes a los cuatro caminos, y la regla de la IA en la nube también: </w:t>
            </w:r>
            <w:r>
              <w:rPr>
                <w:b/>
                <w:bCs/>
                <w:color w:val="0F172A"/>
                <w:sz w:val="19"/>
                <w:szCs w:val="19"/>
              </w:rPr>
              <w:t xml:space="preserve">ningún dato de licencias, de salud ni de remuneraciones sale hacia ella</w:t>
            </w:r>
            <w:r>
              <w:rPr>
                <w:color w:val="334155"/>
                <w:sz w:val="19"/>
                <w:szCs w:val="19"/>
              </w:rPr>
              <w:t xml:space="preserve">. Lo que cambia entre caminos es solo por dónde se habla con FONASA.</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05</w:t>
      </w:r>
      <w:r>
        <w:rPr>
          <w:rFonts w:ascii="Consolas" w:cs="Consolas" w:eastAsia="Consolas" w:hAnsi="Consolas"/>
          <w:color w:val="94A3B8"/>
          <w:sz w:val="16"/>
          <w:szCs w:val="16"/>
        </w:rPr>
        <w:t xml:space="preserve">  /  marco legal</w:t>
      </w:r>
    </w:p>
    <w:p>
      <w:pPr>
        <w:pStyle w:val="Heading1"/>
        <w:keepNext/>
        <w:pBdr>
          <w:bottom w:val="single" w:color="E2E8F0" w:sz="6" w:space="6"/>
        </w:pBdr>
        <w:spacing w:after="160"/>
      </w:pPr>
      <w:r>
        <w:rPr>
          <w:rFonts w:ascii="Calibri" w:cs="Calibri" w:eastAsia="Calibri" w:hAnsi="Calibri"/>
          <w:b/>
          <w:bCs/>
          <w:color w:val="0F172A"/>
          <w:sz w:val="34"/>
          <w:szCs w:val="34"/>
        </w:rPr>
        <w:t xml:space="preserve">El informe de marco legal (08.x.1)</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En el Estado solo se puede hacer lo que la ley permite, y cada camino toca normas distintas.</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Explicar para qué existe el informe de marco legal de cada camino, qué responde y cómo leerlo.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Contenido del informe 08.x.1, semáforo por camino y requisitos comunes a los cuatro caminos.</w:t>
            </w:r>
          </w:p>
        </w:tc>
      </w:tr>
    </w:tbl>
    <w:p>
      <w:pPr>
        <w:spacing w:after="140" w:before="0" w:line="120"/>
      </w:pPr>
    </w:p>
    <w:p>
      <w:pPr>
        <w:spacing w:after="140" w:before="0" w:line="276"/>
        <w:jc w:val="left"/>
      </w:pPr>
      <w:r>
        <w:rPr>
          <w:rFonts w:ascii="Calibri" w:cs="Calibri" w:eastAsia="Calibri" w:hAnsi="Calibri"/>
          <w:color w:val="334155"/>
          <w:sz w:val="20"/>
          <w:szCs w:val="20"/>
        </w:rPr>
        <w:t xml:space="preserve">El informe de marco legal existe porque, en una institución pública, </w:t>
      </w:r>
      <w:r>
        <w:rPr>
          <w:rFonts w:ascii="Calibri" w:cs="Calibri" w:eastAsia="Calibri" w:hAnsi="Calibri"/>
          <w:b/>
          <w:bCs/>
          <w:color w:val="0F172A"/>
          <w:sz w:val="20"/>
          <w:szCs w:val="20"/>
        </w:rPr>
        <w:t xml:space="preserve">lo que la ley no permite no se puede construir</w:t>
      </w:r>
      <w:r>
        <w:rPr>
          <w:rFonts w:ascii="Calibri" w:cs="Calibri" w:eastAsia="Calibri" w:hAnsi="Calibri"/>
          <w:color w:val="334155"/>
          <w:sz w:val="20"/>
          <w:szCs w:val="20"/>
        </w:rPr>
        <w:t xml:space="preserve">: antes de decidir cómo se hace un camino o cuánto cuesta, hay que saber si es legal y con qué condiciones. Cada camino tiene el suyo (08.1.1 a 08.4.1) porque cada uno toca normas distintas: el robot actúa sobre un portal de terceros, la API usa una vía que el portal no publica, los servicios web usan el canal oficial del Estado y el mixto hereda las condiciones de los tres.</w:t>
      </w:r>
    </w:p>
    <w:p>
      <w:pPr>
        <w:spacing w:after="140" w:before="0" w:line="276"/>
        <w:jc w:val="left"/>
      </w:pPr>
      <w:r>
        <w:rPr>
          <w:rFonts w:ascii="Calibri" w:cs="Calibri" w:eastAsia="Calibri" w:hAnsi="Calibri"/>
          <w:color w:val="334155"/>
          <w:sz w:val="20"/>
          <w:szCs w:val="20"/>
        </w:rPr>
        <w:t xml:space="preserve">Por eso es </w:t>
      </w:r>
      <w:r>
        <w:rPr>
          <w:rFonts w:ascii="Calibri" w:cs="Calibri" w:eastAsia="Calibri" w:hAnsi="Calibri"/>
          <w:b/>
          <w:bCs/>
          <w:color w:val="0F172A"/>
          <w:sz w:val="20"/>
          <w:szCs w:val="20"/>
        </w:rPr>
        <w:t xml:space="preserve">el primero de los tres informes de cada camino</w:t>
      </w:r>
      <w:r>
        <w:rPr>
          <w:rFonts w:ascii="Calibri" w:cs="Calibri" w:eastAsia="Calibri" w:hAnsi="Calibri"/>
          <w:color w:val="334155"/>
          <w:sz w:val="20"/>
          <w:szCs w:val="20"/>
        </w:rPr>
        <w:t xml:space="preserve">: si concluye que un camino o una propuesta no es viable, sus informes técnico y de costos no se usan para decidir.</w:t>
      </w:r>
    </w:p>
    <w:p>
      <w:pPr>
        <w:pStyle w:val="Heading2"/>
        <w:keepNext/>
        <w:spacing w:after="120" w:before="260"/>
      </w:pPr>
      <w:r>
        <w:rPr>
          <w:rFonts w:ascii="Consolas" w:cs="Consolas" w:eastAsia="Consolas" w:hAnsi="Consolas"/>
          <w:b/>
          <w:bCs/>
          <w:color w:val="0D9488"/>
          <w:sz w:val="22"/>
          <w:szCs w:val="22"/>
        </w:rPr>
        <w:t xml:space="preserve">5.1  Qué contiene cada informe de marco legal</w:t>
      </w:r>
      <w:r>
        <w:rPr>
          <w:rFonts w:ascii="Calibri" w:cs="Calibri" w:eastAsia="Calibri" w:hAnsi="Calibri"/>
          <w:b/>
          <w:bCs/>
          <w:color w:val="0F172A"/>
          <w:sz w:val="25"/>
          <w:szCs w:val="25"/>
        </w:rPr>
        <w:t xml:space="preserve"/>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800"/>
        <w:gridCol w:w="5840"/>
      </w:tblGrid>
      <w:tr>
        <w:trPr>
          <w:tblHeader/>
        </w:trPr>
        <w:tc>
          <w:tcPr>
            <w:tcW w:type="dxa" w:w="3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SECCIÓN</w:t>
            </w:r>
          </w:p>
        </w:tc>
        <w:tc>
          <w:tcPr>
            <w:tcW w:type="dxa" w:w="58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RESPONDE</w:t>
            </w:r>
          </w:p>
        </w:tc>
      </w:tr>
      <w:tr>
        <w:trPr>
          <w:cantSplit/>
        </w:trPr>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01 · Qué permite y qué no la ley</w:t>
            </w:r>
          </w:p>
        </w:tc>
        <w:tc>
          <w:tcPr>
            <w:tcW w:type="dxa" w:w="5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Las reglas que la ley impone al camino, en lenguaje simple.</w:t>
            </w:r>
          </w:p>
        </w:tc>
      </w:tr>
      <w:tr>
        <w:trPr>
          <w:cantSplit/>
        </w:trPr>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02 · Marco legal por propuesta</w:t>
            </w:r>
          </w:p>
        </w:tc>
        <w:tc>
          <w:tcPr>
            <w:tcW w:type="dxa" w:w="5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Qué es factible, con condiciones o riesgoso en cada propuesta, norma por norma.</w:t>
            </w:r>
          </w:p>
        </w:tc>
      </w:tr>
      <w:tr>
        <w:trPr>
          <w:cantSplit/>
        </w:trPr>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03 · Seguridad y cumplimiento</w:t>
            </w:r>
          </w:p>
        </w:tc>
        <w:tc>
          <w:tcPr>
            <w:tcW w:type="dxa" w:w="5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Qué control del diseño responde a cada exigencia legal.</w:t>
            </w:r>
          </w:p>
        </w:tc>
      </w:tr>
      <w:tr>
        <w:trPr>
          <w:cantSplit/>
        </w:trPr>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04 · Qué hay que verificar</w:t>
            </w:r>
          </w:p>
        </w:tc>
        <w:tc>
          <w:tcPr>
            <w:tcW w:type="dxa" w:w="5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Lo que debe confirmarse con FONASA, el SLEP y el proveedor del ERP antes de construir.</w:t>
            </w:r>
          </w:p>
        </w:tc>
      </w:tr>
      <w:tr>
        <w:trPr>
          <w:cantSplit/>
        </w:trPr>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05 · Conclusión y requisitos</w:t>
            </w:r>
          </w:p>
        </w:tc>
        <w:tc>
          <w:tcPr>
            <w:tcW w:type="dxa" w:w="5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Por qué el marco legal condiciona el desarrollo en la DEP y los SLEP, y qué falta para avanzar.</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5.2  Semáforo por camino</w:t>
      </w:r>
      <w:r>
        <w:rPr>
          <w:rFonts w:ascii="Calibri" w:cs="Calibri" w:eastAsia="Calibri" w:hAnsi="Calibri"/>
          <w:b/>
          <w:bCs/>
          <w:color w:val="0F172A"/>
          <w:sz w:val="25"/>
          <w:szCs w:val="25"/>
        </w:rPr>
        <w:t xml:space="preserve"/>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gridCol w:w="1800"/>
        <w:gridCol w:w="4240"/>
      </w:tblGrid>
      <w:tr>
        <w:trPr>
          <w:tblHeader/>
        </w:trPr>
        <w:tc>
          <w:tcPr>
            <w:tcW w:type="dxa" w:w="3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CAMINO</w:t>
            </w:r>
          </w:p>
        </w:tc>
        <w:tc>
          <w:tcPr>
            <w:tcW w:type="dxa" w:w="1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RESULTADO</w:t>
            </w:r>
          </w:p>
        </w:tc>
        <w:tc>
          <w:tcPr>
            <w:tcW w:type="dxa" w:w="42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FUNDAMENTO</w:t>
            </w:r>
          </w:p>
        </w:tc>
      </w:tr>
      <w:tr>
        <w:trPr>
          <w:cantSplit/>
        </w:trPr>
        <w:tc>
          <w:tcPr>
            <w:tcW w:type="dxa" w:w="3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Acceso automatizado con la ClaveÚnica de un funcionario, o uso de la interfaz sin autorización</w:t>
            </w:r>
          </w:p>
        </w:tc>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5"/>
                <w:szCs w:val="15"/>
              </w:rPr>
              <w:t xml:space="preserve">● No viable</w:t>
            </w:r>
          </w:p>
        </w:tc>
        <w:tc>
          <w:tcPr>
            <w:tcW w:type="dxa" w:w="4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Res. Ex. 733/2025 §6.5 · Ley 21.459 (acceso ilícito): descartado en todos los caminos</w:t>
            </w:r>
          </w:p>
        </w:tc>
      </w:tr>
      <w:tr>
        <w:trPr>
          <w:cantSplit/>
        </w:trPr>
        <w:tc>
          <w:tcPr>
            <w:tcW w:type="dxa" w:w="3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RPA asistido: la persona inicia sesión y confirma; el robot llena campos</w:t>
            </w:r>
          </w:p>
        </w:tc>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5"/>
                <w:szCs w:val="15"/>
              </w:rPr>
              <w:t xml:space="preserve">● Con autorización</w:t>
            </w:r>
          </w:p>
        </w:tc>
        <w:tc>
          <w:tcPr>
            <w:tcW w:type="dxa" w:w="4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Autorización escrita de FONASA; sin credenciales guardadas ni diagnóstico</w:t>
            </w:r>
          </w:p>
        </w:tc>
      </w:tr>
      <w:tr>
        <w:trPr>
          <w:cantSplit/>
        </w:trPr>
        <w:tc>
          <w:tcPr>
            <w:tcW w:type="dxa" w:w="3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API del PIEE en la sesión de la persona, respetando los controles</w:t>
            </w:r>
          </w:p>
        </w:tc>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5"/>
                <w:szCs w:val="15"/>
              </w:rPr>
              <w:t xml:space="preserve">● Con autorización</w:t>
            </w:r>
          </w:p>
        </w:tc>
        <w:tc>
          <w:tcPr>
            <w:tcW w:type="dxa" w:w="4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Autorización de FONASA y verificación de que la vía es permitida; nunca se esquiva un control</w:t>
            </w:r>
          </w:p>
        </w:tc>
      </w:tr>
      <w:tr>
        <w:trPr>
          <w:cantSplit/>
        </w:trPr>
        <w:tc>
          <w:tcPr>
            <w:tcW w:type="dxa" w:w="3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Servicio oficial de FONASA (Red de Interoperabilidad)</w:t>
            </w:r>
          </w:p>
        </w:tc>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5"/>
                <w:szCs w:val="15"/>
              </w:rPr>
              <w:t xml:space="preserve">● Viable</w:t>
            </w:r>
          </w:p>
        </w:tc>
        <w:tc>
          <w:tcPr>
            <w:tcW w:type="dxa" w:w="4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Canal autorizado por definición (DS 12/2023); credenciales de servicio, no ClaveÚnica</w:t>
            </w:r>
          </w:p>
        </w:tc>
      </w:tr>
      <w:tr>
        <w:trPr>
          <w:cantSplit/>
        </w:trPr>
        <w:tc>
          <w:tcPr>
            <w:tcW w:type="dxa" w:w="3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IA en la nube (por ejemplo, Claude) para apoyar el trabajo</w:t>
            </w:r>
          </w:p>
        </w:tc>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91C1C"/>
                <w:sz w:val="15"/>
                <w:szCs w:val="15"/>
              </w:rPr>
              <w:t xml:space="preserve">● Con condiciones</w:t>
            </w:r>
          </w:p>
        </w:tc>
        <w:tc>
          <w:tcPr>
            <w:tcW w:type="dxa" w:w="4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Solo tareas sin datos personales (normativa, redacción, código); los datos de licencias se procesan siempre con IA local</w:t>
            </w:r>
            <w:r>
              <w:rPr>
                <w:rFonts w:ascii="Calibri" w:cs="Calibri" w:eastAsia="Calibri" w:hAnsi="Calibri"/>
                <w:b/>
                <w:bCs/>
                <w:color w:val="0F172A"/>
                <w:sz w:val="15"/>
                <w:szCs w:val="15"/>
              </w:rPr>
              <w:t xml:space="preserve"/>
            </w:r>
            <w:r>
              <w:rPr>
                <w:rFonts w:ascii="Calibri" w:cs="Calibri" w:eastAsia="Calibri" w:hAnsi="Calibri"/>
                <w:b w:val="false"/>
                <w:bCs w:val="false"/>
                <w:color w:val="334155"/>
                <w:sz w:val="15"/>
                <w:szCs w:val="15"/>
              </w:rPr>
              <w:t xml:space="preserve"/>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5.3  Requisitos comunes a los cuatro caminos</w:t>
      </w:r>
      <w:r>
        <w:rPr>
          <w:rFonts w:ascii="Calibri" w:cs="Calibri" w:eastAsia="Calibri" w:hAnsi="Calibri"/>
          <w:b/>
          <w:bCs/>
          <w:color w:val="0F172A"/>
          <w:sz w:val="25"/>
          <w:szCs w:val="25"/>
        </w:rPr>
        <w:t xml:space="preserve"/>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00"/>
        <w:gridCol w:w="3700"/>
        <w:gridCol w:w="2240"/>
      </w:tblGrid>
      <w:tr>
        <w:trPr>
          <w:tblHeader/>
        </w:trPr>
        <w:tc>
          <w:tcPr>
            <w:tcW w:type="dxa" w:w="3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REQUISITO</w:t>
            </w:r>
          </w:p>
        </w:tc>
        <w:tc>
          <w:tcPr>
            <w:tcW w:type="dxa" w:w="3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NORMA</w:t>
            </w:r>
          </w:p>
        </w:tc>
        <w:tc>
          <w:tcPr>
            <w:tcW w:type="dxa" w:w="22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CUÁNDO</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Nunca tratar el diagnóstico ni antecedentes clínicos</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Ley 19.628 art. 2 g; Circular SUSESO 3779; Dictamen SUSESO 9937-2012</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Siempre</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Base de licitud (obligación del empleador) y minimización: solo haberes de la zona C</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DS 3/1984 art. 13; Ley 19.628 art. 20; Ley 21.719</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Desde el diseño</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Evaluación de impacto y protocolo de incidentes (3 h · 72 h · 15 días)</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Ley 21.719 (rige desde el </w:t>
            </w:r>
            <w:r>
              <w:rPr>
                <w:rFonts w:ascii="Calibri" w:cs="Calibri" w:eastAsia="Calibri" w:hAnsi="Calibri"/>
                <w:b/>
                <w:bCs/>
                <w:color w:val="0F172A"/>
                <w:sz w:val="15"/>
                <w:szCs w:val="15"/>
              </w:rPr>
              <w:t xml:space="preserve">1-dic-2026</w:t>
            </w:r>
            <w:r>
              <w:rPr>
                <w:rFonts w:ascii="Calibri" w:cs="Calibri" w:eastAsia="Calibri" w:hAnsi="Calibri"/>
                <w:b w:val="false"/>
                <w:bCs w:val="false"/>
                <w:color w:val="334155"/>
                <w:sz w:val="15"/>
                <w:szCs w:val="15"/>
              </w:rPr>
              <w:t xml:space="preserve">); Ley 21.663</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Antes del piloto con datos reales</w:t>
            </w:r>
          </w:p>
        </w:tc>
      </w:tr>
      <w:tr>
        <w:trPr>
          <w:cantSplit/>
        </w:trPr>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Datos alojados en Chile o con garantías de transferencia</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Ley 21.719</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Siempre; respaldo en nube solo con región en Chile</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7440"/>
      </w:tblGrid>
      <w:tr>
        <w:trPr>
          <w:tblHeader/>
        </w:trPr>
        <w:tc>
          <w:tcPr>
            <w:tcW w:type="dxa" w:w="2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RESULTADO</w:t>
            </w:r>
          </w:p>
        </w:tc>
        <w:tc>
          <w:tcPr>
            <w:tcW w:type="dxa" w:w="74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FUNDAMENTO</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8"/>
                <w:szCs w:val="18"/>
              </w:rPr>
              <w:t xml:space="preserve">● Factible con condiciones</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Solo </w:t>
            </w:r>
            <w:r>
              <w:rPr>
                <w:rFonts w:ascii="Calibri" w:cs="Calibri" w:eastAsia="Calibri" w:hAnsi="Calibri"/>
                <w:b/>
                <w:bCs/>
                <w:color w:val="0F172A"/>
                <w:sz w:val="18"/>
                <w:szCs w:val="18"/>
              </w:rPr>
              <w:t xml:space="preserve">canales autorizados</w:t>
            </w:r>
            <w:r>
              <w:rPr>
                <w:rFonts w:ascii="Calibri" w:cs="Calibri" w:eastAsia="Calibri" w:hAnsi="Calibri"/>
                <w:b w:val="false"/>
                <w:bCs w:val="false"/>
                <w:color w:val="334155"/>
                <w:sz w:val="18"/>
                <w:szCs w:val="18"/>
              </w:rPr>
              <w:t xml:space="preserve">, humano en el circuito, sin diagnóstico, IA local para los datos de licencias y datos en Chile. El acceso automatizado con ClaveÚnica queda descartado en todos los caminos.</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SECCIÓN 06</w:t>
      </w:r>
      <w:r>
        <w:rPr>
          <w:rFonts w:ascii="Consolas" w:cs="Consolas" w:eastAsia="Consolas" w:hAnsi="Consolas"/>
          <w:color w:val="94A3B8"/>
          <w:sz w:val="16"/>
          <w:szCs w:val="16"/>
        </w:rPr>
        <w:t xml:space="preserve">  /  técnico</w:t>
      </w:r>
    </w:p>
    <w:p>
      <w:pPr>
        <w:pStyle w:val="Heading1"/>
        <w:keepNext/>
        <w:pBdr>
          <w:bottom w:val="single" w:color="E2E8F0" w:sz="6" w:space="6"/>
        </w:pBdr>
        <w:spacing w:after="160"/>
      </w:pPr>
      <w:r>
        <w:rPr>
          <w:rFonts w:ascii="Calibri" w:cs="Calibri" w:eastAsia="Calibri" w:hAnsi="Calibri"/>
          <w:b/>
          <w:bCs/>
          <w:color w:val="0F172A"/>
          <w:sz w:val="34"/>
          <w:szCs w:val="34"/>
        </w:rPr>
        <w:t xml:space="preserve">El informe técnico (08.x.2)</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Un camino legal todavía hay que poder construirlo y mantenerlo sin depender de una persona.</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Explicar para qué existe el informe técnico de cada camino, qué responde y qué piezas comparten los cuatro.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Contenido del informe 08.x.2, vías de datos con FONASA, componentes comunes y evaluación por camino.</w:t>
            </w:r>
          </w:p>
        </w:tc>
      </w:tr>
    </w:tbl>
    <w:p>
      <w:pPr>
        <w:spacing w:after="140" w:before="0" w:line="120"/>
      </w:pPr>
    </w:p>
    <w:p>
      <w:pPr>
        <w:spacing w:after="140" w:before="0" w:line="276"/>
        <w:jc w:val="left"/>
      </w:pPr>
      <w:r>
        <w:rPr>
          <w:rFonts w:ascii="Calibri" w:cs="Calibri" w:eastAsia="Calibri" w:hAnsi="Calibri"/>
          <w:color w:val="334155"/>
          <w:sz w:val="20"/>
          <w:szCs w:val="20"/>
        </w:rPr>
        <w:t xml:space="preserve">El informe técnico existe para que el camino se pueda </w:t>
      </w:r>
      <w:r>
        <w:rPr>
          <w:rFonts w:ascii="Calibri" w:cs="Calibri" w:eastAsia="Calibri" w:hAnsi="Calibri"/>
          <w:b/>
          <w:bCs/>
          <w:color w:val="0F172A"/>
          <w:sz w:val="20"/>
          <w:szCs w:val="20"/>
        </w:rPr>
        <w:t xml:space="preserve">construir, probar y mantener</w:t>
      </w:r>
      <w:r>
        <w:rPr>
          <w:rFonts w:ascii="Calibri" w:cs="Calibri" w:eastAsia="Calibri" w:hAnsi="Calibri"/>
          <w:color w:val="334155"/>
          <w:sz w:val="20"/>
          <w:szCs w:val="20"/>
        </w:rPr>
        <w:t xml:space="preserve">: describe el stack tecnológico completo, el modo de operación, el paso a paso a nivel técnico, la arquitectura, el diseño de la integración con FONASA y con el ERP del SLEP, las tres propuestas, las pruebas y la carta Gantt técnica. Es el documento que TI y quien desarrolle necesitan para ejecutar.</w:t>
      </w:r>
    </w:p>
    <w:p>
      <w:pPr>
        <w:spacing w:after="140" w:before="0" w:line="276"/>
        <w:jc w:val="left"/>
      </w:pPr>
      <w:r>
        <w:rPr>
          <w:rFonts w:ascii="Calibri" w:cs="Calibri" w:eastAsia="Calibri" w:hAnsi="Calibri"/>
          <w:color w:val="334155"/>
          <w:sz w:val="20"/>
          <w:szCs w:val="20"/>
        </w:rPr>
        <w:t xml:space="preserve">Se apoya en el informe de marco legal —cada decisión de diseño respeta sus límites— y alimenta al de costos, que pone precio a cada pieza de su stack.</w:t>
      </w:r>
    </w:p>
    <w:p>
      <w:pPr>
        <w:pStyle w:val="Heading2"/>
        <w:keepNext/>
        <w:spacing w:after="120" w:before="260"/>
      </w:pPr>
      <w:r>
        <w:rPr>
          <w:rFonts w:ascii="Consolas" w:cs="Consolas" w:eastAsia="Consolas" w:hAnsi="Consolas"/>
          <w:b/>
          <w:bCs/>
          <w:color w:val="0D9488"/>
          <w:sz w:val="22"/>
          <w:szCs w:val="22"/>
        </w:rPr>
        <w:t xml:space="preserve">6.1  Qué contiene cada informe técnico</w:t>
      </w:r>
      <w:r>
        <w:rPr>
          <w:rFonts w:ascii="Calibri" w:cs="Calibri" w:eastAsia="Calibri" w:hAnsi="Calibri"/>
          <w:b/>
          <w:bCs/>
          <w:color w:val="0F172A"/>
          <w:sz w:val="25"/>
          <w:szCs w:val="25"/>
        </w:rPr>
        <w:t xml:space="preserve"/>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800"/>
        <w:gridCol w:w="5840"/>
      </w:tblGrid>
      <w:tr>
        <w:trPr>
          <w:tblHeader/>
        </w:trPr>
        <w:tc>
          <w:tcPr>
            <w:tcW w:type="dxa" w:w="3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SECCIÓN</w:t>
            </w:r>
          </w:p>
        </w:tc>
        <w:tc>
          <w:tcPr>
            <w:tcW w:type="dxa" w:w="58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RESPONDE</w:t>
            </w:r>
          </w:p>
        </w:tc>
      </w:tr>
      <w:tr>
        <w:trPr>
          <w:cantSplit/>
        </w:trPr>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01 · Resumen técnico</w:t>
            </w:r>
          </w:p>
        </w:tc>
        <w:tc>
          <w:tcPr>
            <w:tcW w:type="dxa" w:w="5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El camino a nivel técnico y sus decisiones de diseño.</w:t>
            </w:r>
          </w:p>
        </w:tc>
      </w:tr>
      <w:tr>
        <w:trPr>
          <w:cantSplit/>
        </w:trPr>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02 · Stack tecnológico completo</w:t>
            </w:r>
          </w:p>
        </w:tc>
        <w:tc>
          <w:tcPr>
            <w:tcW w:type="dxa" w:w="5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Cada tecnología, por capa y por propuesta.</w:t>
            </w:r>
          </w:p>
        </w:tc>
      </w:tr>
      <w:tr>
        <w:trPr>
          <w:cantSplit/>
        </w:trPr>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03 · Modo de operación</w:t>
            </w:r>
          </w:p>
        </w:tc>
        <w:tc>
          <w:tcPr>
            <w:tcW w:type="dxa" w:w="5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Cómo se reparte el trabajo entre la persona y el sistema.</w:t>
            </w:r>
          </w:p>
        </w:tc>
      </w:tr>
      <w:tr>
        <w:trPr>
          <w:cantSplit/>
        </w:trPr>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04 · Cómo funciona paso a paso</w:t>
            </w:r>
          </w:p>
        </w:tc>
        <w:tc>
          <w:tcPr>
            <w:tcW w:type="dxa" w:w="5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Cada paso de una licencia y los campos de la zona C.</w:t>
            </w:r>
          </w:p>
        </w:tc>
      </w:tr>
      <w:tr>
        <w:trPr>
          <w:cantSplit/>
        </w:trPr>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05 · Arquitectura</w:t>
            </w:r>
          </w:p>
        </w:tc>
        <w:tc>
          <w:tcPr>
            <w:tcW w:type="dxa" w:w="5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Componentes y servicios nuevos en GDP-SLEP Studio.</w:t>
            </w:r>
          </w:p>
        </w:tc>
      </w:tr>
      <w:tr>
        <w:trPr>
          <w:cantSplit/>
        </w:trPr>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06 · Diseño de la integración</w:t>
            </w:r>
          </w:p>
        </w:tc>
        <w:tc>
          <w:tcPr>
            <w:tcW w:type="dxa" w:w="5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Conexión con FONASA y con el ERP del SLEP (Proexsi).</w:t>
            </w:r>
          </w:p>
        </w:tc>
      </w:tr>
      <w:tr>
        <w:trPr>
          <w:cantSplit/>
        </w:trPr>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07 · Tres propuestas</w:t>
            </w:r>
          </w:p>
        </w:tc>
        <w:tc>
          <w:tcPr>
            <w:tcW w:type="dxa" w:w="5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Qué cambia entre costo cero, óptima y avanzada.</w:t>
            </w:r>
          </w:p>
        </w:tc>
      </w:tr>
      <w:tr>
        <w:trPr>
          <w:cantSplit/>
        </w:trPr>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08 · Pruebas y puesta en marcha</w:t>
            </w:r>
          </w:p>
        </w:tc>
        <w:tc>
          <w:tcPr>
            <w:tcW w:type="dxa" w:w="5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Etapas, casos de prueba y criterios de aceptación.</w:t>
            </w:r>
          </w:p>
        </w:tc>
      </w:tr>
      <w:tr>
        <w:trPr>
          <w:cantSplit/>
        </w:trPr>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09 · Carta Gantt técnica</w:t>
            </w:r>
          </w:p>
        </w:tc>
        <w:tc>
          <w:tcPr>
            <w:tcW w:type="dxa" w:w="5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Tareas por semana, alineadas con la carta general.</w:t>
            </w:r>
          </w:p>
        </w:tc>
      </w:tr>
      <w:tr>
        <w:trPr>
          <w:cantSplit/>
        </w:trPr>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10 · Conclusiones</w:t>
            </w:r>
          </w:p>
        </w:tc>
        <w:tc>
          <w:tcPr>
            <w:tcW w:type="dxa" w:w="5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Recomendación técnica por propuesta.</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6.2  La vía con FONASA decide el diseño</w:t>
      </w:r>
      <w:r>
        <w:rPr>
          <w:rFonts w:ascii="Calibri" w:cs="Calibri" w:eastAsia="Calibri" w:hAnsi="Calibri"/>
          <w:b/>
          <w:bCs/>
          <w:color w:val="0F172A"/>
          <w:sz w:val="25"/>
          <w:szCs w:val="25"/>
        </w:rPr>
        <w:t xml:space="preserve"/>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3000"/>
        <w:gridCol w:w="2600"/>
        <w:gridCol w:w="1440"/>
      </w:tblGrid>
      <w:tr>
        <w:trPr>
          <w:tblHeader/>
        </w:trPr>
        <w:tc>
          <w:tcPr>
            <w:tcW w:type="dxa" w:w="2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VÍA</w:t>
            </w:r>
          </w:p>
        </w:tc>
        <w:tc>
          <w:tcPr>
            <w:tcW w:type="dxa" w:w="3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PERMITE</w:t>
            </w:r>
          </w:p>
        </w:tc>
        <w:tc>
          <w:tcPr>
            <w:tcW w:type="dxa" w:w="2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ESTADO AL 1-OCT-2026</w:t>
            </w:r>
          </w:p>
        </w:tc>
        <w:tc>
          <w:tcPr>
            <w:tcW w:type="dxa" w:w="14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CAMINOS</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Pantalla del portal (PIEE)</w:t>
            </w:r>
          </w:p>
        </w:tc>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Leer la bandeja y tramitar la zona C como una persona</w:t>
            </w:r>
          </w:p>
        </w:tc>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Disponible; portal nuevo; depende de autorización de FONASA</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RPA, mixto</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Interfaz interna del portal</w:t>
            </w:r>
          </w:p>
        </w:tc>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Consultar y enviar por dentro, en la sesión de la persona</w:t>
            </w:r>
          </w:p>
        </w:tc>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Por verificar; requiere autorización de FONASA</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API, mixto</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Servicio oficial de FONASA (Red de Interoperabilidad)</w:t>
            </w:r>
          </w:p>
        </w:tc>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Consultar y enviar de institución a institución</w:t>
            </w:r>
          </w:p>
        </w:tc>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Por otorgar; respuesta en ~15 días hábiles (DS 12/2023)</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Servicios web, mixto</w:t>
            </w:r>
          </w:p>
        </w:tc>
      </w:tr>
      <w:tr>
        <w:trPr>
          <w:cantSplit/>
        </w:trPr>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Remuneraciones del SLEP</w:t>
            </w:r>
          </w:p>
        </w:tc>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Haberes de los meses que pide la zona C</w:t>
            </w:r>
          </w:p>
        </w:tc>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Sistema distinto en cada SLEP; exportación a planilla</w:t>
            </w:r>
          </w:p>
        </w:tc>
        <w:tc>
          <w:tcPr>
            <w:tcW w:type="dxa" w:w="1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Todos</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6.3  Componentes comunes a los cuatro caminos</w:t>
      </w:r>
      <w:r>
        <w:rPr>
          <w:rFonts w:ascii="Calibri" w:cs="Calibri" w:eastAsia="Calibri" w:hAnsi="Calibri"/>
          <w:b/>
          <w:bCs/>
          <w:color w:val="0F172A"/>
          <w:sz w:val="25"/>
          <w:szCs w:val="25"/>
        </w:rPr>
        <w:t xml:space="preserve"/>
      </w:r>
    </w:p>
    <w:p>
      <w:pPr>
        <w:spacing w:after="140" w:before="0" w:line="276"/>
        <w:jc w:val="left"/>
      </w:pPr>
      <w:r>
        <w:rPr>
          <w:rFonts w:ascii="Calibri" w:cs="Calibri" w:eastAsia="Calibri" w:hAnsi="Calibri"/>
          <w:b/>
          <w:bCs/>
          <w:color w:val="0F172A"/>
          <w:sz w:val="18"/>
          <w:szCs w:val="18"/>
        </w:rPr>
        <w:t xml:space="preserve">Orquestador</w:t>
      </w:r>
      <w:r>
        <w:rPr>
          <w:rFonts w:ascii="Calibri" w:cs="Calibri" w:eastAsia="Calibri" w:hAnsi="Calibri"/>
          <w:color w:val="334155"/>
          <w:sz w:val="18"/>
          <w:szCs w:val="18"/>
        </w:rPr>
        <w:t xml:space="preserve"> en GDP-SLEP Studio · </w:t>
      </w:r>
      <w:r>
        <w:rPr>
          <w:rFonts w:ascii="Calibri" w:cs="Calibri" w:eastAsia="Calibri" w:hAnsi="Calibri"/>
          <w:b/>
          <w:bCs/>
          <w:color w:val="0F172A"/>
          <w:sz w:val="18"/>
          <w:szCs w:val="18"/>
        </w:rPr>
        <w:t xml:space="preserve">calendario hábil</w:t>
      </w:r>
      <w:r>
        <w:rPr>
          <w:rFonts w:ascii="Calibri" w:cs="Calibri" w:eastAsia="Calibri" w:hAnsi="Calibri"/>
          <w:color w:val="334155"/>
          <w:sz w:val="18"/>
          <w:szCs w:val="18"/>
        </w:rPr>
        <w:t xml:space="preserve"> y alertas de vencimiento · </w:t>
      </w:r>
      <w:r>
        <w:rPr>
          <w:rFonts w:ascii="Calibri" w:cs="Calibri" w:eastAsia="Calibri" w:hAnsi="Calibri"/>
          <w:b/>
          <w:bCs/>
          <w:color w:val="0F172A"/>
          <w:sz w:val="18"/>
          <w:szCs w:val="18"/>
        </w:rPr>
        <w:t xml:space="preserve">cruce con remuneraciones</w:t>
      </w:r>
      <w:r>
        <w:rPr>
          <w:rFonts w:ascii="Calibri" w:cs="Calibri" w:eastAsia="Calibri" w:hAnsi="Calibri"/>
          <w:color w:val="334155"/>
          <w:sz w:val="18"/>
          <w:szCs w:val="18"/>
        </w:rPr>
        <w:t xml:space="preserve"> · </w:t>
      </w:r>
      <w:r>
        <w:rPr>
          <w:rFonts w:ascii="Calibri" w:cs="Calibri" w:eastAsia="Calibri" w:hAnsi="Calibri"/>
          <w:b/>
          <w:bCs/>
          <w:color w:val="0F172A"/>
          <w:sz w:val="18"/>
          <w:szCs w:val="18"/>
        </w:rPr>
        <w:t xml:space="preserve">IA local (LAYA)</w:t>
      </w:r>
      <w:r>
        <w:rPr>
          <w:rFonts w:ascii="Calibri" w:cs="Calibri" w:eastAsia="Calibri" w:hAnsi="Calibri"/>
          <w:color w:val="334155"/>
          <w:sz w:val="18"/>
          <w:szCs w:val="18"/>
        </w:rPr>
        <w:t xml:space="preserve"> para clasificar y priorizar · </w:t>
      </w:r>
      <w:r>
        <w:rPr>
          <w:rFonts w:ascii="Calibri" w:cs="Calibri" w:eastAsia="Calibri" w:hAnsi="Calibri"/>
          <w:b/>
          <w:bCs/>
          <w:color w:val="0F172A"/>
          <w:sz w:val="18"/>
          <w:szCs w:val="18"/>
        </w:rPr>
        <w:t xml:space="preserve">bandeja de aprobación</w:t>
      </w:r>
      <w:r>
        <w:rPr>
          <w:rFonts w:ascii="Calibri" w:cs="Calibri" w:eastAsia="Calibri" w:hAnsi="Calibri"/>
          <w:color w:val="334155"/>
          <w:sz w:val="18"/>
          <w:szCs w:val="18"/>
        </w:rPr>
        <w:t xml:space="preserve"> humana · </w:t>
      </w:r>
      <w:r>
        <w:rPr>
          <w:rFonts w:ascii="Calibri" w:cs="Calibri" w:eastAsia="Calibri" w:hAnsi="Calibri"/>
          <w:b/>
          <w:bCs/>
          <w:color w:val="0F172A"/>
          <w:sz w:val="18"/>
          <w:szCs w:val="18"/>
        </w:rPr>
        <w:t xml:space="preserve">registro de auditoría</w:t>
      </w:r>
      <w:r>
        <w:rPr>
          <w:rFonts w:ascii="Calibri" w:cs="Calibri" w:eastAsia="Calibri" w:hAnsi="Calibri"/>
          <w:color w:val="334155"/>
          <w:sz w:val="18"/>
          <w:szCs w:val="18"/>
        </w:rPr>
        <w:t xml:space="preserve"> sin datos clínicos · </w:t>
      </w:r>
      <w:r>
        <w:rPr>
          <w:rFonts w:ascii="Calibri" w:cs="Calibri" w:eastAsia="Calibri" w:hAnsi="Calibri"/>
          <w:b/>
          <w:bCs/>
          <w:color w:val="0F172A"/>
          <w:sz w:val="18"/>
          <w:szCs w:val="18"/>
        </w:rPr>
        <w:t xml:space="preserve">tablero</w:t>
      </w:r>
      <w:r>
        <w:rPr>
          <w:rFonts w:ascii="Calibri" w:cs="Calibri" w:eastAsia="Calibri" w:hAnsi="Calibri"/>
          <w:color w:val="334155"/>
          <w:sz w:val="18"/>
          <w:szCs w:val="18"/>
        </w:rPr>
        <w:t xml:space="preserve"> sobre la base del Validador · </w:t>
      </w:r>
      <w:r>
        <w:rPr>
          <w:rFonts w:ascii="Calibri" w:cs="Calibri" w:eastAsia="Calibri" w:hAnsi="Calibri"/>
          <w:b/>
          <w:bCs/>
          <w:color w:val="0F172A"/>
          <w:sz w:val="18"/>
          <w:szCs w:val="18"/>
        </w:rPr>
        <w:t xml:space="preserve">almacén de credenciales de servicio, nunca la ClaveÚnica de una persona · en óptima y avanzada, Claude para el trabajo del equipo sin datos personales.</w:t>
      </w:r>
      <w:r>
        <w:rPr>
          <w:rFonts w:ascii="Calibri" w:cs="Calibri" w:eastAsia="Calibri" w:hAnsi="Calibri"/>
          <w:color w:val="334155"/>
          <w:sz w:val="18"/>
          <w:szCs w:val="18"/>
        </w:rPr>
        <w:t xml:space="preserve"/>
      </w:r>
    </w:p>
    <w:p>
      <w:pPr>
        <w:pStyle w:val="Heading2"/>
        <w:keepNext/>
        <w:spacing w:after="120" w:before="260"/>
      </w:pPr>
      <w:r>
        <w:rPr>
          <w:rFonts w:ascii="Consolas" w:cs="Consolas" w:eastAsia="Consolas" w:hAnsi="Consolas"/>
          <w:b/>
          <w:bCs/>
          <w:color w:val="0D9488"/>
          <w:sz w:val="22"/>
          <w:szCs w:val="22"/>
        </w:rPr>
        <w:t xml:space="preserve">6.4  Evaluación por camino</w:t>
      </w:r>
      <w:r>
        <w:rPr>
          <w:rFonts w:ascii="Calibri" w:cs="Calibri" w:eastAsia="Calibri" w:hAnsi="Calibri"/>
          <w:b/>
          <w:bCs/>
          <w:color w:val="0F172A"/>
          <w:sz w:val="25"/>
          <w:szCs w:val="25"/>
        </w:rPr>
        <w:t xml:space="preserve"/>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3000"/>
        <w:gridCol w:w="3100"/>
        <w:gridCol w:w="1840"/>
      </w:tblGrid>
      <w:tr>
        <w:trPr>
          <w:tblHeader/>
        </w:trPr>
        <w:tc>
          <w:tcPr>
            <w:tcW w:type="dxa" w:w="1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CAMINO</w:t>
            </w:r>
          </w:p>
        </w:tc>
        <w:tc>
          <w:tcPr>
            <w:tcW w:type="dxa" w:w="3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FORTALEZA TÉCNICA</w:t>
            </w:r>
          </w:p>
        </w:tc>
        <w:tc>
          <w:tcPr>
            <w:tcW w:type="dxa" w:w="3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DEBILIDAD TÉCNICA</w:t>
            </w:r>
          </w:p>
        </w:tc>
        <w:tc>
          <w:tcPr>
            <w:tcW w:type="dxa" w:w="18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RESULTADO</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RPA</w:t>
            </w:r>
          </w:p>
        </w:tc>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Rápido de construir; sirve desde el día uno; no requiere interfaz</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Frágil ante cambios de pantalla; la sesión con ClaveÚnica no se automatiza</w:t>
            </w:r>
          </w:p>
        </w:tc>
        <w:tc>
          <w:tcPr>
            <w:tcW w:type="dxa" w:w="1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4"/>
                <w:szCs w:val="14"/>
              </w:rPr>
              <w:t xml:space="preserve">● Solo asistido</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API del PIEE</w:t>
            </w:r>
          </w:p>
        </w:tc>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Eficiente y estable; no depende de la pantalla</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Interfaz no documentada; requiere autorización y verificación</w:t>
            </w:r>
          </w:p>
        </w:tc>
        <w:tc>
          <w:tcPr>
            <w:tcW w:type="dxa" w:w="1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4"/>
                <w:szCs w:val="14"/>
              </w:rPr>
              <w:t xml:space="preserve">● Si FONASA autoriza</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Servicios web</w:t>
            </w:r>
          </w:p>
        </w:tc>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Canal oficial, datos estructurados, escalable; el más estable</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Depende del otorgamiento del servicio (plazo)</w:t>
            </w:r>
          </w:p>
        </w:tc>
        <w:tc>
          <w:tcPr>
            <w:tcW w:type="dxa" w:w="1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4"/>
                <w:szCs w:val="14"/>
              </w:rPr>
              <w:t xml:space="preserve">● Al otorgarse</w:t>
            </w:r>
          </w:p>
        </w:tc>
      </w:tr>
      <w:tr>
        <w:trPr>
          <w:cantSplit/>
        </w:trPr>
        <w:tc>
          <w:tcPr>
            <w:tcW w:type="dxa" w:w="1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Mixto</w:t>
            </w:r>
          </w:p>
        </w:tc>
        <w:tc>
          <w:tcPr>
            <w:tcW w:type="dxa" w:w="3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Usa el mejor canal disponible; automatiza desde el día uno</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Más piezas que coordinar; el orquestador es pieza clave</w:t>
            </w:r>
          </w:p>
        </w:tc>
        <w:tc>
          <w:tcPr>
            <w:tcW w:type="dxa" w:w="1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4"/>
                <w:szCs w:val="14"/>
              </w:rPr>
              <w:t xml:space="preserve">● Con condiciones</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7440"/>
      </w:tblGrid>
      <w:tr>
        <w:trPr>
          <w:tblHeader/>
        </w:trPr>
        <w:tc>
          <w:tcPr>
            <w:tcW w:type="dxa" w:w="2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RESULTADO</w:t>
            </w:r>
          </w:p>
        </w:tc>
        <w:tc>
          <w:tcPr>
            <w:tcW w:type="dxa" w:w="74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FUNDAMENTO</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8"/>
                <w:szCs w:val="18"/>
              </w:rPr>
              <w:t xml:space="preserve">● Factible con condiciones</w:t>
            </w:r>
          </w:p>
        </w:tc>
        <w:tc>
          <w:tcPr>
            <w:tcW w:type="dxa" w:w="7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Los cuatro caminos son construibles; la condición común es una </w:t>
            </w:r>
            <w:r>
              <w:rPr>
                <w:rFonts w:ascii="Calibri" w:cs="Calibri" w:eastAsia="Calibri" w:hAnsi="Calibri"/>
                <w:b/>
                <w:bCs/>
                <w:color w:val="0F172A"/>
                <w:sz w:val="18"/>
                <w:szCs w:val="18"/>
              </w:rPr>
              <w:t xml:space="preserve">vía autorizada por FONASA</w:t>
            </w:r>
            <w:r>
              <w:rPr>
                <w:rFonts w:ascii="Calibri" w:cs="Calibri" w:eastAsia="Calibri" w:hAnsi="Calibri"/>
                <w:b w:val="false"/>
                <w:bCs w:val="false"/>
                <w:color w:val="334155"/>
                <w:sz w:val="18"/>
                <w:szCs w:val="18"/>
              </w:rPr>
              <w:t xml:space="preserve"> y la </w:t>
            </w:r>
            <w:r>
              <w:rPr>
                <w:rFonts w:ascii="Calibri" w:cs="Calibri" w:eastAsia="Calibri" w:hAnsi="Calibri"/>
                <w:b/>
                <w:bCs/>
                <w:color w:val="0F172A"/>
                <w:sz w:val="18"/>
                <w:szCs w:val="18"/>
              </w:rPr>
              <w:t xml:space="preserve">exportación de remuneraciones</w:t>
            </w:r>
            <w:r>
              <w:rPr>
                <w:rFonts w:ascii="Calibri" w:cs="Calibri" w:eastAsia="Calibri" w:hAnsi="Calibri"/>
                <w:b w:val="false"/>
                <w:bCs w:val="false"/>
                <w:color w:val="334155"/>
                <w:sz w:val="18"/>
                <w:szCs w:val="18"/>
              </w:rPr>
              <w:t xml:space="preserve"> del SLEP piloto. La IA local y el orquestador son compartidos.</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SECCIÓN 07</w:t>
      </w:r>
      <w:r>
        <w:rPr>
          <w:rFonts w:ascii="Consolas" w:cs="Consolas" w:eastAsia="Consolas" w:hAnsi="Consolas"/>
          <w:color w:val="94A3B8"/>
          <w:sz w:val="16"/>
          <w:szCs w:val="16"/>
        </w:rPr>
        <w:t xml:space="preserve">  /  costos</w:t>
      </w:r>
    </w:p>
    <w:p>
      <w:pPr>
        <w:pStyle w:val="Heading1"/>
        <w:keepNext/>
        <w:pBdr>
          <w:bottom w:val="single" w:color="E2E8F0" w:sz="6" w:space="6"/>
        </w:pBdr>
        <w:spacing w:after="160"/>
      </w:pPr>
      <w:r>
        <w:rPr>
          <w:rFonts w:ascii="Calibri" w:cs="Calibri" w:eastAsia="Calibri" w:hAnsi="Calibri"/>
          <w:b/>
          <w:bCs/>
          <w:color w:val="0F172A"/>
          <w:sz w:val="34"/>
          <w:szCs w:val="34"/>
        </w:rPr>
        <w:t xml:space="preserve">El informe de costos (08.x.3)</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La decisión no es solo qué camino seguir, sino con cuánto gasto y qué nivel de soporte.</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Explicar para qué existe el informe de costos de cada camino, qué responde y cómo se organizan las propuestas.</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Contenido del informe 08.x.3 y tres niveles de propuesta; los montos se entregan en cada 08.x.3.</w:t>
            </w:r>
          </w:p>
        </w:tc>
      </w:tr>
    </w:tbl>
    <w:p>
      <w:pPr>
        <w:spacing w:after="140" w:before="0" w:line="120"/>
      </w:pPr>
    </w:p>
    <w:p>
      <w:pPr>
        <w:spacing w:after="140" w:before="0" w:line="276"/>
        <w:jc w:val="left"/>
      </w:pPr>
      <w:r>
        <w:rPr>
          <w:rFonts w:ascii="Calibri" w:cs="Calibri" w:eastAsia="Calibri" w:hAnsi="Calibri"/>
          <w:color w:val="334155"/>
          <w:sz w:val="20"/>
          <w:szCs w:val="20"/>
        </w:rPr>
        <w:t xml:space="preserve">El informe de costos existe para que la elección entre propuestas se haga </w:t>
      </w:r>
      <w:r>
        <w:rPr>
          <w:rFonts w:ascii="Calibri" w:cs="Calibri" w:eastAsia="Calibri" w:hAnsi="Calibri"/>
          <w:b/>
          <w:bCs/>
          <w:color w:val="0F172A"/>
          <w:sz w:val="20"/>
          <w:szCs w:val="20"/>
        </w:rPr>
        <w:t xml:space="preserve">con montos verificables</w:t>
      </w:r>
      <w:r>
        <w:rPr>
          <w:rFonts w:ascii="Calibri" w:cs="Calibri" w:eastAsia="Calibri" w:hAnsi="Calibri"/>
          <w:color w:val="334155"/>
          <w:sz w:val="20"/>
          <w:szCs w:val="20"/>
        </w:rPr>
        <w:t xml:space="preserve">: toma el stack del informe técnico y le pone precio, tecnología por tecnología, con fuente y fecha. El horizonte es </w:t>
      </w:r>
      <w:r>
        <w:rPr>
          <w:rFonts w:ascii="Calibri" w:cs="Calibri" w:eastAsia="Calibri" w:hAnsi="Calibri"/>
          <w:b/>
          <w:bCs/>
          <w:color w:val="0F172A"/>
          <w:sz w:val="20"/>
          <w:szCs w:val="20"/>
        </w:rPr>
        <w:t xml:space="preserve">el primer año</w:t>
      </w:r>
      <w:r>
        <w:rPr>
          <w:rFonts w:ascii="Calibri" w:cs="Calibri" w:eastAsia="Calibri" w:hAnsi="Calibri"/>
          <w:color w:val="334155"/>
          <w:sz w:val="20"/>
          <w:szCs w:val="20"/>
        </w:rPr>
        <w:t xml:space="preserve"> —piloto, puesta en marcha y 12 meses de operación— y los montos son solo pagos a terceros.</w:t>
      </w:r>
    </w:p>
    <w:p>
      <w:pPr>
        <w:spacing w:after="140" w:before="0" w:line="276"/>
        <w:jc w:val="left"/>
      </w:pPr>
      <w:r>
        <w:rPr>
          <w:rFonts w:ascii="Calibri" w:cs="Calibri" w:eastAsia="Calibri" w:hAnsi="Calibri"/>
          <w:color w:val="334155"/>
          <w:sz w:val="20"/>
          <w:szCs w:val="20"/>
        </w:rPr>
        <w:t xml:space="preserve">Es el último de los tres informes de cada camino: se lee una vez que el marco legal y el diseño técnico están claros, y sirve para elegir el nivel de propuesta.</w:t>
      </w:r>
    </w:p>
    <w:p>
      <w:pPr>
        <w:pStyle w:val="Heading2"/>
        <w:keepNext/>
        <w:spacing w:after="120" w:before="260"/>
      </w:pPr>
      <w:r>
        <w:rPr>
          <w:rFonts w:ascii="Consolas" w:cs="Consolas" w:eastAsia="Consolas" w:hAnsi="Consolas"/>
          <w:b/>
          <w:bCs/>
          <w:color w:val="0D9488"/>
          <w:sz w:val="22"/>
          <w:szCs w:val="22"/>
        </w:rPr>
        <w:t xml:space="preserve">7.1  Qué contiene cada informe de costos</w:t>
      </w:r>
      <w:r>
        <w:rPr>
          <w:rFonts w:ascii="Calibri" w:cs="Calibri" w:eastAsia="Calibri" w:hAnsi="Calibri"/>
          <w:b/>
          <w:bCs/>
          <w:color w:val="0F172A"/>
          <w:sz w:val="25"/>
          <w:szCs w:val="25"/>
        </w:rPr>
        <w:t xml:space="preserve"/>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800"/>
        <w:gridCol w:w="5840"/>
      </w:tblGrid>
      <w:tr>
        <w:trPr>
          <w:tblHeader/>
        </w:trPr>
        <w:tc>
          <w:tcPr>
            <w:tcW w:type="dxa" w:w="3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SECCIÓN</w:t>
            </w:r>
          </w:p>
        </w:tc>
        <w:tc>
          <w:tcPr>
            <w:tcW w:type="dxa" w:w="58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RESPONDE</w:t>
            </w:r>
          </w:p>
        </w:tc>
      </w:tr>
      <w:tr>
        <w:trPr>
          <w:cantSplit/>
        </w:trPr>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01 · Resumen de costos</w:t>
            </w:r>
          </w:p>
        </w:tc>
        <w:tc>
          <w:tcPr>
            <w:tcW w:type="dxa" w:w="5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El costo del primer año de las tres propuestas.</w:t>
            </w:r>
          </w:p>
        </w:tc>
      </w:tr>
      <w:tr>
        <w:trPr>
          <w:cantSplit/>
        </w:trPr>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02 · Stack tecnológico con costos</w:t>
            </w:r>
          </w:p>
        </w:tc>
        <w:tc>
          <w:tcPr>
            <w:tcW w:type="dxa" w:w="5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Cada tecnología del stack técnico, con su precio.</w:t>
            </w:r>
          </w:p>
        </w:tc>
      </w:tr>
      <w:tr>
        <w:trPr>
          <w:cantSplit/>
        </w:trPr>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03 · Bases de cálculo</w:t>
            </w:r>
          </w:p>
        </w:tc>
        <w:tc>
          <w:tcPr>
            <w:tcW w:type="dxa" w:w="5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Indicadores, precios de referencia y lo que no se incluye.</w:t>
            </w:r>
          </w:p>
        </w:tc>
      </w:tr>
      <w:tr>
        <w:trPr>
          <w:cantSplit/>
        </w:trPr>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04 · Comparativo de las tres propuestas</w:t>
            </w:r>
          </w:p>
        </w:tc>
        <w:tc>
          <w:tcPr>
            <w:tcW w:type="dxa" w:w="5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Las tres propuestas lado a lado, en una hoja.</w:t>
            </w:r>
          </w:p>
        </w:tc>
      </w:tr>
      <w:tr>
        <w:trPr>
          <w:cantSplit/>
        </w:trPr>
        <w:tc>
          <w:tcPr>
            <w:tcW w:type="dxa" w:w="3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05 · Conclusión y recomendación</w:t>
            </w:r>
          </w:p>
        </w:tc>
        <w:tc>
          <w:tcPr>
            <w:tcW w:type="dxa" w:w="5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6"/>
                <w:szCs w:val="16"/>
              </w:rPr>
              <w:t xml:space="preserve">Qué propuesta conviene y cuándo.</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7.2  Tres niveles de propuesta</w:t>
      </w:r>
      <w:r>
        <w:rPr>
          <w:rFonts w:ascii="Calibri" w:cs="Calibri" w:eastAsia="Calibri" w:hAnsi="Calibri"/>
          <w:b/>
          <w:bCs/>
          <w:color w:val="0F172A"/>
          <w:sz w:val="25"/>
          <w:szCs w:val="25"/>
        </w:rPr>
        <w:t xml:space="preserve"/>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5300"/>
        <w:gridCol w:w="2840"/>
      </w:tblGrid>
      <w:tr>
        <w:trPr>
          <w:tblHeader/>
        </w:trPr>
        <w:tc>
          <w:tcPr>
            <w:tcW w:type="dxa" w:w="15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NIVEL</w:t>
            </w:r>
          </w:p>
        </w:tc>
        <w:tc>
          <w:tcPr>
            <w:tcW w:type="dxa" w:w="5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INCLUYE</w:t>
            </w:r>
          </w:p>
        </w:tc>
        <w:tc>
          <w:tcPr>
            <w:tcW w:type="dxa" w:w="28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PARA QUÉ</w:t>
            </w:r>
          </w:p>
        </w:tc>
      </w:tr>
      <w:tr>
        <w:trPr>
          <w:cantSplit/>
        </w:trPr>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1 · Costo cero</w:t>
            </w:r>
          </w:p>
        </w:tc>
        <w:tc>
          <w:tcPr>
            <w:tcW w:type="dxa" w:w="5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Código abierto, canales gratuitos de FONASA, equipos y servidores que la DEP ya tiene; sin licencias ni compras</w:t>
            </w:r>
          </w:p>
        </w:tc>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Partir de inmediato sin presupuesto nuevo</w:t>
            </w:r>
          </w:p>
        </w:tc>
      </w:tr>
      <w:tr>
        <w:trPr>
          <w:cantSplit/>
        </w:trPr>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2 · Óptima</w:t>
            </w:r>
          </w:p>
        </w:tc>
        <w:tc>
          <w:tcPr>
            <w:tcW w:type="dxa" w:w="5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Lo anterior más el gasto mínimo que da soporte, estabilidad o rendimiento: sobre todo un equipo de IA local</w:t>
            </w:r>
          </w:p>
        </w:tc>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Operar en 36 SLEP con riesgo acotado</w:t>
            </w:r>
          </w:p>
        </w:tc>
      </w:tr>
      <w:tr>
        <w:trPr>
          <w:cantSplit/>
        </w:trPr>
        <w:tc>
          <w:tcPr>
            <w:tcW w:type="dxa" w:w="1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3 · Avanzada</w:t>
            </w:r>
          </w:p>
        </w:tc>
        <w:tc>
          <w:tcPr>
            <w:tcW w:type="dxa" w:w="5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Plataforma completa, alta disponibilidad, IA avanzada, pruebas de seguridad externas</w:t>
            </w:r>
          </w:p>
        </w:tc>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Máxima robustez y menor dependencia de una persona</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DÓNDE ESTÁN LOS COSTOS</w:t>
            </w:r>
          </w:p>
          <w:p>
            <w:pPr>
              <w:spacing w:after="50" w:line="260"/>
            </w:pPr>
            <w:r>
              <w:rPr>
                <w:color w:val="334155"/>
                <w:sz w:val="19"/>
                <w:szCs w:val="19"/>
              </w:rPr>
              <w:t xml:space="preserve">Este informe no entrega montos. Los Informes 08.1.3, 08.2.3, 08.3.3 y 08.4.3 detallan, para cada propuesta, el piloto, la puesta en marcha, 12 meses de operación, el costo del primer año y el costo por licencia. Las doce propuestas se describen en la sección 4.2.</w:t>
            </w:r>
          </w:p>
        </w:tc>
      </w:tr>
    </w:tbl>
    <w:p>
      <w:pPr>
        <w:spacing w:after="140" w:before="0" w:line="120"/>
      </w:pPr>
    </w:p>
    <w:p>
      <w:pPr>
        <w:spacing w:after="140" w:before="0" w:line="276"/>
        <w:jc w:val="left"/>
      </w:pPr>
      <w:r>
        <w:rPr>
          <w:rFonts w:ascii="Calibri" w:cs="Calibri" w:eastAsia="Calibri" w:hAnsi="Calibri"/>
          <w:b/>
          <w:bCs/>
          <w:color w:val="0F172A"/>
          <w:sz w:val="18"/>
          <w:szCs w:val="18"/>
        </w:rPr>
        <w:t xml:space="preserve">Beneficio esperado.</w:t>
      </w:r>
      <w:r>
        <w:rPr>
          <w:rFonts w:ascii="Calibri" w:cs="Calibri" w:eastAsia="Calibri" w:hAnsi="Calibri"/>
          <w:color w:val="334155"/>
          <w:sz w:val="18"/>
          <w:szCs w:val="18"/>
        </w:rPr>
        <w:t xml:space="preserve"> Según camino y propuesta se ahorran </w:t>
      </w:r>
      <w:r>
        <w:rPr>
          <w:rFonts w:ascii="Calibri" w:cs="Calibri" w:eastAsia="Calibri" w:hAnsi="Calibri"/>
          <w:b/>
          <w:bCs/>
          <w:color w:val="0F172A"/>
          <w:sz w:val="18"/>
          <w:szCs w:val="18"/>
        </w:rPr>
        <w:t xml:space="preserve">6 a 9 minutos por licencia</w:t>
      </w:r>
      <w:r>
        <w:rPr>
          <w:rFonts w:ascii="Calibri" w:cs="Calibri" w:eastAsia="Calibri" w:hAnsi="Calibri"/>
          <w:color w:val="334155"/>
          <w:sz w:val="18"/>
          <w:szCs w:val="18"/>
        </w:rPr>
        <w:t xml:space="preserve">: </w:t>
      </w:r>
      <w:r>
        <w:rPr>
          <w:rFonts w:ascii="Calibri" w:cs="Calibri" w:eastAsia="Calibri" w:hAnsi="Calibri"/>
          <w:b/>
          <w:bCs/>
          <w:color w:val="0F172A"/>
          <w:sz w:val="18"/>
          <w:szCs w:val="18"/>
        </w:rPr>
        <w:t xml:space="preserve">≈ 87 a 159 horas al mes</w:t>
      </w:r>
      <w:r>
        <w:rPr>
          <w:rFonts w:ascii="Calibri" w:cs="Calibri" w:eastAsia="Calibri" w:hAnsi="Calibri"/>
          <w:color w:val="334155"/>
          <w:sz w:val="18"/>
          <w:szCs w:val="18"/>
        </w:rPr>
        <w:t xml:space="preserve"> en un SLEP medio y </w:t>
      </w:r>
      <w:r>
        <w:rPr>
          <w:rFonts w:ascii="Calibri" w:cs="Calibri" w:eastAsia="Calibri" w:hAnsi="Calibri"/>
          <w:b/>
          <w:bCs/>
          <w:color w:val="0F172A"/>
          <w:sz w:val="18"/>
          <w:szCs w:val="18"/>
        </w:rPr>
        <w:t xml:space="preserve">≈ 2.270 a 4.150 horas</w:t>
      </w:r>
      <w:r>
        <w:rPr>
          <w:rFonts w:ascii="Calibri" w:cs="Calibri" w:eastAsia="Calibri" w:hAnsi="Calibri"/>
          <w:color w:val="334155"/>
          <w:sz w:val="18"/>
          <w:szCs w:val="18"/>
        </w:rPr>
        <w:t xml:space="preserve"> en los 36 SLEP (Informe 08.5, sección 01), con la meta de </w:t>
      </w:r>
      <w:r>
        <w:rPr>
          <w:rFonts w:ascii="Calibri" w:cs="Calibri" w:eastAsia="Calibri" w:hAnsi="Calibri"/>
          <w:b/>
          <w:bCs/>
          <w:color w:val="0F172A"/>
          <w:sz w:val="18"/>
          <w:szCs w:val="18"/>
        </w:rPr>
        <w:t xml:space="preserve">cero licencias fuera de plazo</w:t>
      </w:r>
      <w:r>
        <w:rPr>
          <w:rFonts w:ascii="Calibri" w:cs="Calibri" w:eastAsia="Calibri" w:hAnsi="Calibri"/>
          <w:color w:val="334155"/>
          <w:sz w:val="18"/>
          <w:szCs w:val="18"/>
        </w:rPr>
        <w:t xml:space="preserve">. El subsidio recuperado se medirá en el SLEP piloto.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840"/>
      </w:tblGrid>
      <w:tr>
        <w:trPr>
          <w:tblHeader/>
        </w:trPr>
        <w:tc>
          <w:tcPr>
            <w:tcW w:type="dxa" w:w="1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RESULTADO</w:t>
            </w:r>
          </w:p>
        </w:tc>
        <w:tc>
          <w:tcPr>
            <w:tcW w:type="dxa" w:w="78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FUNDAMENTO</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8"/>
                <w:szCs w:val="18"/>
              </w:rPr>
              <w:t xml:space="preserve">● Factible</w:t>
            </w:r>
          </w:p>
        </w:tc>
        <w:tc>
          <w:tcPr>
            <w:tcW w:type="dxa" w:w="7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Los cuatro caminos tienen una </w:t>
            </w:r>
            <w:r>
              <w:rPr>
                <w:rFonts w:ascii="Calibri" w:cs="Calibri" w:eastAsia="Calibri" w:hAnsi="Calibri"/>
                <w:b/>
                <w:bCs/>
                <w:color w:val="0F172A"/>
                <w:sz w:val="18"/>
                <w:szCs w:val="18"/>
              </w:rPr>
              <w:t xml:space="preserve">propuesta de costo cero</w:t>
            </w:r>
            <w:r>
              <w:rPr>
                <w:rFonts w:ascii="Calibri" w:cs="Calibri" w:eastAsia="Calibri" w:hAnsi="Calibri"/>
                <w:b w:val="false"/>
                <w:bCs w:val="false"/>
                <w:color w:val="334155"/>
                <w:sz w:val="18"/>
                <w:szCs w:val="18"/>
              </w:rPr>
              <w:t xml:space="preserve"> que inicia el piloto sin presupuesto nuevo; las propuestas óptima y avanzada agregan soporte y rendimiento con un gasto acotado.</w:t>
            </w:r>
          </w:p>
        </w:tc>
      </w:tr>
    </w:tbl>
    <w:p>
      <w:pPr>
        <w:spacing w:after="14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PRÓXIMAMENTE · INFORME OPERATIVO</w:t>
            </w:r>
          </w:p>
          <w:p>
            <w:pPr>
              <w:spacing w:after="50" w:line="260"/>
            </w:pPr>
            <w:r>
              <w:rPr>
                <w:color w:val="334155"/>
                <w:sz w:val="19"/>
                <w:szCs w:val="19"/>
              </w:rPr>
              <w:t xml:space="preserve">Se sumará un cuarto informe por camino, de carácter </w:t>
            </w:r>
            <w:r>
              <w:rPr>
                <w:b/>
                <w:bCs/>
                <w:color w:val="0F172A"/>
                <w:sz w:val="19"/>
                <w:szCs w:val="19"/>
              </w:rPr>
              <w:t xml:space="preserve">operativo</w:t>
            </w:r>
            <w:r>
              <w:rPr>
                <w:color w:val="334155"/>
                <w:sz w:val="19"/>
                <w:szCs w:val="19"/>
              </w:rPr>
              <w:t xml:space="preserve">: quién hace qué en cada SLEP, cómo se elige el SLEP piloto y cómo se gestiona el cambio. Su explicación se agregará en esta parte del informe, a continuación de las de marco legal, técnico y costos.</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SECCIÓN 08</w:t>
      </w:r>
      <w:r>
        <w:rPr>
          <w:rFonts w:ascii="Consolas" w:cs="Consolas" w:eastAsia="Consolas" w:hAnsi="Consolas"/>
          <w:color w:val="94A3B8"/>
          <w:sz w:val="16"/>
          <w:szCs w:val="16"/>
        </w:rPr>
        <w:t xml:space="preserve">  /  planificación</w:t>
      </w:r>
    </w:p>
    <w:p>
      <w:pPr>
        <w:pStyle w:val="Heading1"/>
        <w:keepNext/>
        <w:pBdr>
          <w:bottom w:val="single" w:color="E2E8F0" w:sz="6" w:space="6"/>
        </w:pBdr>
        <w:spacing w:after="160"/>
      </w:pPr>
      <w:r>
        <w:rPr>
          <w:rFonts w:ascii="Calibri" w:cs="Calibri" w:eastAsia="Calibri" w:hAnsi="Calibri"/>
          <w:b/>
          <w:bCs/>
          <w:color w:val="0F172A"/>
          <w:sz w:val="34"/>
          <w:szCs w:val="34"/>
        </w:rPr>
        <w:t xml:space="preserve">Planificación: carta Gantt general</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Las gestiones formales tardan; hay que iniciarlas el primer día.</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Ordenar en 41 días hábiles las gestiones, el diagnóstico, la decisión y el piloto.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Carta Gantt general y semanal, del 1 de octubre al 27 de noviembre de 2026: es la referencia de fechas de todos los informes de la serie 08.</w:t>
            </w:r>
          </w:p>
        </w:tc>
      </w:tr>
    </w:tbl>
    <w:p>
      <w:pPr>
        <w:spacing w:after="14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00"/>
        <w:gridCol w:w="660"/>
        <w:gridCol w:w="660"/>
        <w:gridCol w:w="660"/>
        <w:gridCol w:w="660"/>
        <w:gridCol w:w="660"/>
        <w:gridCol w:w="660"/>
        <w:gridCol w:w="660"/>
        <w:gridCol w:w="660"/>
        <w:gridCol w:w="660"/>
      </w:tblGrid>
      <w:tr>
        <w:trPr>
          <w:tblHeader/>
        </w:trPr>
        <w:tc>
          <w:tcPr>
            <w:tcW w:type="dxa" w:w="3700"/>
            <w:tcBorders>
              <w:top w:val="single" w:color="E2E8F0" w:sz="4"/>
              <w:left w:val="single" w:color="E2E8F0" w:sz="4"/>
              <w:bottom w:val="single" w:color="E2E8F0" w:sz="4"/>
              <w:right w:val="single" w:color="E2E8F0" w:sz="4"/>
            </w:tcBorders>
            <w:shd w:fill="0F172A" w:color="auto" w:val="clear"/>
            <w:tcMar>
              <w:top w:type="dxa" w:w="60"/>
              <w:left w:type="dxa" w:w="110"/>
              <w:bottom w:type="dxa" w:w="60"/>
              <w:right w:type="dxa" w:w="110"/>
            </w:tcMar>
            <w:vAlign w:val="top"/>
          </w:tcPr>
          <w:p>
            <w:pPr>
              <w:spacing w:after="40" w:line="252"/>
              <w:jc w:val="left"/>
            </w:pPr>
            <w:r>
              <w:rPr>
                <w:rFonts w:ascii="Consolas" w:cs="Consolas" w:eastAsia="Consolas" w:hAnsi="Consolas"/>
                <w:b/>
                <w:bCs/>
                <w:color w:val="FFFFFF"/>
                <w:sz w:val="14"/>
                <w:szCs w:val="14"/>
              </w:rPr>
              <w:t xml:space="preserve">ACTIVIDAD</w:t>
            </w:r>
          </w:p>
        </w:tc>
        <w:tc>
          <w:tcPr>
            <w:tcW w:type="dxa" w:w="660"/>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S1</w:t>
            </w:r>
          </w:p>
          <w:p>
            <w:pPr>
              <w:jc w:val="center"/>
            </w:pPr>
            <w:r>
              <w:rPr>
                <w:rFonts w:ascii="Consolas" w:cs="Consolas" w:eastAsia="Consolas" w:hAnsi="Consolas"/>
                <w:color w:val="94A3B8"/>
                <w:sz w:val="12"/>
                <w:szCs w:val="12"/>
              </w:rPr>
              <w:t xml:space="preserve">1–2 oct</w:t>
            </w:r>
          </w:p>
        </w:tc>
        <w:tc>
          <w:tcPr>
            <w:tcW w:type="dxa" w:w="660"/>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S2</w:t>
            </w:r>
          </w:p>
          <w:p>
            <w:pPr>
              <w:jc w:val="center"/>
            </w:pPr>
            <w:r>
              <w:rPr>
                <w:rFonts w:ascii="Consolas" w:cs="Consolas" w:eastAsia="Consolas" w:hAnsi="Consolas"/>
                <w:color w:val="94A3B8"/>
                <w:sz w:val="12"/>
                <w:szCs w:val="12"/>
              </w:rPr>
              <w:t xml:space="preserve">5–9 oct</w:t>
            </w:r>
          </w:p>
        </w:tc>
        <w:tc>
          <w:tcPr>
            <w:tcW w:type="dxa" w:w="660"/>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S3</w:t>
            </w:r>
          </w:p>
          <w:p>
            <w:pPr>
              <w:jc w:val="center"/>
            </w:pPr>
            <w:r>
              <w:rPr>
                <w:rFonts w:ascii="Consolas" w:cs="Consolas" w:eastAsia="Consolas" w:hAnsi="Consolas"/>
                <w:color w:val="94A3B8"/>
                <w:sz w:val="12"/>
                <w:szCs w:val="12"/>
              </w:rPr>
              <w:t xml:space="preserve">12–16</w:t>
            </w:r>
          </w:p>
        </w:tc>
        <w:tc>
          <w:tcPr>
            <w:tcW w:type="dxa" w:w="660"/>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S4</w:t>
            </w:r>
          </w:p>
          <w:p>
            <w:pPr>
              <w:jc w:val="center"/>
            </w:pPr>
            <w:r>
              <w:rPr>
                <w:rFonts w:ascii="Consolas" w:cs="Consolas" w:eastAsia="Consolas" w:hAnsi="Consolas"/>
                <w:color w:val="94A3B8"/>
                <w:sz w:val="12"/>
                <w:szCs w:val="12"/>
              </w:rPr>
              <w:t xml:space="preserve">19–23</w:t>
            </w:r>
          </w:p>
        </w:tc>
        <w:tc>
          <w:tcPr>
            <w:tcW w:type="dxa" w:w="660"/>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S5</w:t>
            </w:r>
          </w:p>
          <w:p>
            <w:pPr>
              <w:jc w:val="center"/>
            </w:pPr>
            <w:r>
              <w:rPr>
                <w:rFonts w:ascii="Consolas" w:cs="Consolas" w:eastAsia="Consolas" w:hAnsi="Consolas"/>
                <w:color w:val="94A3B8"/>
                <w:sz w:val="12"/>
                <w:szCs w:val="12"/>
              </w:rPr>
              <w:t xml:space="preserve">26–30</w:t>
            </w:r>
          </w:p>
        </w:tc>
        <w:tc>
          <w:tcPr>
            <w:tcW w:type="dxa" w:w="660"/>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S6</w:t>
            </w:r>
          </w:p>
          <w:p>
            <w:pPr>
              <w:jc w:val="center"/>
            </w:pPr>
            <w:r>
              <w:rPr>
                <w:rFonts w:ascii="Consolas" w:cs="Consolas" w:eastAsia="Consolas" w:hAnsi="Consolas"/>
                <w:color w:val="94A3B8"/>
                <w:sz w:val="12"/>
                <w:szCs w:val="12"/>
              </w:rPr>
              <w:t xml:space="preserve">2–6 nov</w:t>
            </w:r>
          </w:p>
        </w:tc>
        <w:tc>
          <w:tcPr>
            <w:tcW w:type="dxa" w:w="660"/>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S7</w:t>
            </w:r>
          </w:p>
          <w:p>
            <w:pPr>
              <w:jc w:val="center"/>
            </w:pPr>
            <w:r>
              <w:rPr>
                <w:rFonts w:ascii="Consolas" w:cs="Consolas" w:eastAsia="Consolas" w:hAnsi="Consolas"/>
                <w:color w:val="94A3B8"/>
                <w:sz w:val="12"/>
                <w:szCs w:val="12"/>
              </w:rPr>
              <w:t xml:space="preserve">9–13</w:t>
            </w:r>
          </w:p>
        </w:tc>
        <w:tc>
          <w:tcPr>
            <w:tcW w:type="dxa" w:w="660"/>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S8</w:t>
            </w:r>
          </w:p>
          <w:p>
            <w:pPr>
              <w:jc w:val="center"/>
            </w:pPr>
            <w:r>
              <w:rPr>
                <w:rFonts w:ascii="Consolas" w:cs="Consolas" w:eastAsia="Consolas" w:hAnsi="Consolas"/>
                <w:color w:val="94A3B8"/>
                <w:sz w:val="12"/>
                <w:szCs w:val="12"/>
              </w:rPr>
              <w:t xml:space="preserve">16–20</w:t>
            </w:r>
          </w:p>
        </w:tc>
        <w:tc>
          <w:tcPr>
            <w:tcW w:type="dxa" w:w="660"/>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S9</w:t>
            </w:r>
          </w:p>
          <w:p>
            <w:pPr>
              <w:jc w:val="center"/>
            </w:pPr>
            <w:r>
              <w:rPr>
                <w:rFonts w:ascii="Consolas" w:cs="Consolas" w:eastAsia="Consolas" w:hAnsi="Consolas"/>
                <w:color w:val="94A3B8"/>
                <w:sz w:val="12"/>
                <w:szCs w:val="12"/>
              </w:rPr>
              <w:t xml:space="preserve">23–27</w:t>
            </w:r>
          </w:p>
        </w:tc>
      </w:tr>
      <w:tr>
        <w:trPr>
          <w:cantSplit/>
        </w:trPr>
        <w:tc>
          <w:tcPr>
            <w:tcW w:type="dxa" w:w="37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Gestiones formales</w:t>
            </w:r>
          </w:p>
        </w:tc>
        <w:tc>
          <w:tcPr>
            <w:tcW w:type="dxa" w:w="6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Oficios a FONASA: servicio, API y robot</w:t>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Solicitud por Red de Interoperabilidad (15 días hábiles)</w:t>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Acuerdos formales con FONASA y credenciales de servicio</w:t>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Evaluación de impacto en protección de datos</w:t>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Diagnóstico en el SLEP piloto</w:t>
            </w:r>
          </w:p>
        </w:tc>
        <w:tc>
          <w:tcPr>
            <w:tcW w:type="dxa" w:w="6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Entrevistas, observación y línea base de tiempos</w:t>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Proceso actual y objetivo (BPMN) y KPI</w:t>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Diseño técnico, propuestas y decisión</w:t>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Informes generales (08.1 a 08.4)</w:t>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Informes de marco legal (08.x.1)</w:t>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Informes técnicos (08.x.2)</w:t>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Informes de costos (08.x.3)</w:t>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Informe 08.5 · Anexos</w:t>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Anexo comparativo: elección de camino y propuesta</w:t>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Construcción del piloto</w:t>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Integración de la fuente y de remuneraciones</w:t>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Plazos, borrador de zona C y aprobación</w:t>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Tablero de seguimiento en GDP-SLEP Studio</w:t>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Pruebas y cierre</w:t>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Pruebas con licencias reales, en paralelo</w:t>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r>
      <w:tr>
        <w:trPr>
          <w:cantSplit/>
        </w:trPr>
        <w:tc>
          <w:tcPr>
            <w:tcW w:type="dxa" w:w="37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Cierre del piloto e informe de resultados</w:t>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60"/>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r>
    </w:tbl>
    <w:p>
      <w:pPr>
        <w:spacing w:after="40" w:before="60"/>
      </w:pPr>
      <w:r>
        <w:rPr>
          <w:color w:val="64748B"/>
          <w:sz w:val="15"/>
          <w:szCs w:val="15"/>
        </w:rPr>
        <w:t xml:space="preserve">◆ Hitos: oficio a FONASA (1-oct) · fin del diagnóstico (14-oct) · elección de camino y propuesta (30-oct) · cierre del piloto (27-nov). S3 incluye el feriado del lunes 12 de octubre. La Ley 21.719 rige desde el 1-dic.</w:t>
      </w:r>
    </w:p>
    <w:p>
      <w:pPr>
        <w:spacing w:after="200" w:before="80"/>
      </w:pPr>
      <w:r>
        <w:rPr>
          <w:rFonts w:ascii="Consolas" w:cs="Consolas" w:eastAsia="Consolas" w:hAnsi="Consolas"/>
          <w:b/>
          <w:bCs/>
          <w:color w:val="0D9488"/>
          <w:sz w:val="15"/>
          <w:szCs w:val="15"/>
        </w:rPr>
        <w:t xml:space="preserve">FIG. 8  </w:t>
      </w:r>
      <w:r>
        <w:rPr>
          <w:rFonts w:ascii="Calibri" w:cs="Calibri" w:eastAsia="Calibri" w:hAnsi="Calibri"/>
          <w:color w:val="64748B"/>
          <w:sz w:val="16"/>
          <w:szCs w:val="16"/>
        </w:rPr>
        <w:t xml:space="preserve">Carta Gantt general de la Fase 2: automatización de licencias médicas.</w:t>
      </w:r>
    </w:p>
    <w:p>
      <w:pPr>
        <w:spacing w:after="140" w:before="0" w:line="276"/>
        <w:jc w:val="left"/>
      </w:pPr>
      <w:r>
        <w:rPr>
          <w:rFonts w:ascii="Calibri" w:cs="Calibri" w:eastAsia="Calibri" w:hAnsi="Calibri"/>
          <w:color w:val="334155"/>
          <w:sz w:val="18"/>
          <w:szCs w:val="18"/>
        </w:rPr>
        <w:t xml:space="preserve">Los informes técnicos (08.x.2) presentan la carta Gantt técnica</w:t>
      </w:r>
      <w:r>
        <w:rPr>
          <w:rFonts w:ascii="Calibri" w:cs="Calibri" w:eastAsia="Calibri" w:hAnsi="Calibri"/>
          <w:b/>
          <w:bCs/>
          <w:color w:val="0F172A"/>
          <w:sz w:val="18"/>
          <w:szCs w:val="18"/>
        </w:rPr>
        <w:t xml:space="preserve"/>
      </w:r>
      <w:r>
        <w:rPr>
          <w:rFonts w:ascii="Calibri" w:cs="Calibri" w:eastAsia="Calibri" w:hAnsi="Calibri"/>
          <w:color w:val="334155"/>
          <w:sz w:val="18"/>
          <w:szCs w:val="18"/>
        </w:rPr>
        <w:t xml:space="preserve"> de cada camino: detallan las tareas, pero respetan </w:t>
      </w:r>
      <w:r>
        <w:rPr>
          <w:rFonts w:ascii="Calibri" w:cs="Calibri" w:eastAsia="Calibri" w:hAnsi="Calibri"/>
          <w:b/>
          <w:bCs/>
          <w:color w:val="0F172A"/>
          <w:sz w:val="18"/>
          <w:szCs w:val="18"/>
        </w:rPr>
        <w:t xml:space="preserve">las mismas cinco fases, las mismas semanas y los mismos hitos</w:t>
      </w:r>
      <w:r>
        <w:rPr>
          <w:rFonts w:ascii="Calibri" w:cs="Calibri" w:eastAsia="Calibri" w:hAnsi="Calibri"/>
          <w:color w:val="334155"/>
          <w:sz w:val="18"/>
          <w:szCs w:val="18"/>
        </w:rPr>
        <w:t xml:space="preserve"> de esta carta general, para cualquiera de las tres propuestas. Si las vías oficiales no están disponibles a fines de octubre, el piloto avanza con el </w:t>
      </w:r>
      <w:r>
        <w:rPr>
          <w:rFonts w:ascii="Calibri" w:cs="Calibri" w:eastAsia="Calibri" w:hAnsi="Calibri"/>
          <w:b/>
          <w:bCs/>
          <w:color w:val="0F172A"/>
          <w:sz w:val="18"/>
          <w:szCs w:val="18"/>
        </w:rPr>
        <w:t xml:space="preserve">camino mixto</w:t>
      </w:r>
      <w:r>
        <w:rPr>
          <w:rFonts w:ascii="Calibri" w:cs="Calibri" w:eastAsia="Calibri" w:hAnsi="Calibri"/>
          <w:color w:val="334155"/>
          <w:sz w:val="18"/>
          <w:szCs w:val="18"/>
        </w:rPr>
        <w:t xml:space="preserve"> en su propuesta de </w:t>
      </w:r>
      <w:r>
        <w:rPr>
          <w:rFonts w:ascii="Calibri" w:cs="Calibri" w:eastAsia="Calibri" w:hAnsi="Calibri"/>
          <w:b/>
          <w:bCs/>
          <w:color w:val="0F172A"/>
          <w:sz w:val="18"/>
          <w:szCs w:val="18"/>
        </w:rPr>
        <w:t xml:space="preserve">costo cero</w:t>
      </w:r>
      <w:r>
        <w:rPr>
          <w:rFonts w:ascii="Calibri" w:cs="Calibri" w:eastAsia="Calibri" w:hAnsi="Calibri"/>
          <w:color w:val="334155"/>
          <w:sz w:val="18"/>
          <w:szCs w:val="18"/>
        </w:rPr>
        <w:t xml:space="preserve">, que usa el canal que esté disponible sin depender de compras.</w:t>
      </w:r>
    </w:p>
    <w:p>
      <w:pPr>
        <w:keepNext/>
        <w:pageBreakBefore/>
        <w:spacing w:after="60"/>
      </w:pPr>
      <w:r>
        <w:rPr>
          <w:rFonts w:ascii="Consolas" w:cs="Consolas" w:eastAsia="Consolas" w:hAnsi="Consolas"/>
          <w:b/>
          <w:bCs/>
          <w:color w:val="0D9488"/>
          <w:spacing w:val="30"/>
          <w:sz w:val="16"/>
          <w:szCs w:val="16"/>
        </w:rPr>
        <w:t xml:space="preserve">SECCIÓN 09</w:t>
      </w:r>
      <w:r>
        <w:rPr>
          <w:rFonts w:ascii="Consolas" w:cs="Consolas" w:eastAsia="Consolas" w:hAnsi="Consolas"/>
          <w:color w:val="94A3B8"/>
          <w:sz w:val="16"/>
          <w:szCs w:val="16"/>
        </w:rPr>
        <w:t xml:space="preserve">  /  cierre</w:t>
      </w:r>
    </w:p>
    <w:p>
      <w:pPr>
        <w:pStyle w:val="Heading1"/>
        <w:keepNext/>
        <w:pBdr>
          <w:bottom w:val="single" w:color="E2E8F0" w:sz="6" w:space="6"/>
        </w:pBdr>
        <w:spacing w:after="160"/>
      </w:pPr>
      <w:r>
        <w:rPr>
          <w:rFonts w:ascii="Calibri" w:cs="Calibri" w:eastAsia="Calibri" w:hAnsi="Calibri"/>
          <w:b/>
          <w:bCs/>
          <w:color w:val="0F172A"/>
          <w:sz w:val="34"/>
          <w:szCs w:val="34"/>
        </w:rPr>
        <w:t xml:space="preserve">Conclusiones: lo que este informe deja resuelto y lo que viene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Este informe abre la serie: decide la factibilidad general y ordena lo que resuelven los informes siguientes.</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Aprobar la Fase 2 y orientar la lectura de los informes de cada camino.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Factibilidad general, hoja de ruta de los informes que siguen y decisiones solicitadas.</w:t>
            </w:r>
          </w:p>
        </w:tc>
      </w:tr>
    </w:tbl>
    <w:p>
      <w:pPr>
        <w:spacing w:after="14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00"/>
        <w:gridCol w:w="4840"/>
      </w:tblGrid>
      <w:tr>
        <w:trPr>
          <w:tblHeader/>
        </w:trPr>
        <w:tc>
          <w:tcPr>
            <w:tcW w:type="dxa" w:w="4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INFORMES QUE SIGUEN</w:t>
            </w:r>
          </w:p>
        </w:tc>
        <w:tc>
          <w:tcPr>
            <w:tcW w:type="dxa" w:w="48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RESUELVEN</w:t>
            </w:r>
          </w:p>
        </w:tc>
      </w:tr>
      <w:tr>
        <w:trPr>
          <w:cantSplit/>
        </w:trPr>
        <w:tc>
          <w:tcPr>
            <w:tcW w:type="dxa" w:w="4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8"/>
                <w:szCs w:val="18"/>
              </w:rPr>
              <w:t xml:space="preserve">Marco legal · 08.x.1</w:t>
            </w:r>
          </w:p>
        </w:tc>
        <w:tc>
          <w:tcPr>
            <w:tcW w:type="dxa" w:w="4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sz w:val="18"/>
                <w:szCs w:val="18"/>
              </w:rPr>
              <w:t xml:space="preserve">Si cada propuesta es legal y con qué condiciones; se lee primero.</w:t>
            </w:r>
          </w:p>
        </w:tc>
      </w:tr>
      <w:tr>
        <w:trPr>
          <w:cantSplit/>
        </w:trPr>
        <w:tc>
          <w:tcPr>
            <w:tcW w:type="dxa" w:w="4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8"/>
                <w:szCs w:val="18"/>
              </w:rPr>
              <w:t xml:space="preserve">Técnico · 08.x.2</w:t>
            </w:r>
          </w:p>
        </w:tc>
        <w:tc>
          <w:tcPr>
            <w:tcW w:type="dxa" w:w="4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sz w:val="18"/>
                <w:szCs w:val="18"/>
              </w:rPr>
              <w:t xml:space="preserve">Cómo se construye, prueba y mantiene cada propuesta.</w:t>
            </w:r>
          </w:p>
        </w:tc>
      </w:tr>
      <w:tr>
        <w:trPr>
          <w:cantSplit/>
        </w:trPr>
        <w:tc>
          <w:tcPr>
            <w:tcW w:type="dxa" w:w="4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8"/>
                <w:szCs w:val="18"/>
              </w:rPr>
              <w:t xml:space="preserve">Costos · 08.x.3</w:t>
            </w:r>
          </w:p>
        </w:tc>
        <w:tc>
          <w:tcPr>
            <w:tcW w:type="dxa" w:w="4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sz w:val="18"/>
                <w:szCs w:val="18"/>
              </w:rPr>
              <w:t xml:space="preserve">Cuánto cuesta el primer año de cada propuesta.</w:t>
            </w:r>
          </w:p>
        </w:tc>
      </w:tr>
      <w:tr>
        <w:trPr>
          <w:cantSplit/>
        </w:trPr>
        <w:tc>
          <w:tcPr>
            <w:tcW w:type="dxa" w:w="4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8"/>
                <w:szCs w:val="18"/>
              </w:rPr>
              <w:t xml:space="preserve">Anexos · 08.5</w:t>
            </w:r>
          </w:p>
        </w:tc>
        <w:tc>
          <w:tcPr>
            <w:tcW w:type="dxa" w:w="4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sz w:val="18"/>
                <w:szCs w:val="18"/>
              </w:rPr>
              <w:t xml:space="preserve">Supuestos, levantamiento, riesgos y material de apoyo de toda la serie.</w:t>
            </w:r>
          </w:p>
        </w:tc>
      </w:tr>
      <w:tr>
        <w:trPr>
          <w:cantSplit/>
        </w:trPr>
        <w:tc>
          <w:tcPr>
            <w:tcW w:type="dxa" w:w="4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0F172A"/>
                <w:sz w:val="18"/>
                <w:szCs w:val="18"/>
              </w:rPr>
              <w:t xml:space="preserve">Operativo · próximamente</w:t>
            </w:r>
          </w:p>
        </w:tc>
        <w:tc>
          <w:tcPr>
            <w:tcW w:type="dxa" w:w="4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sz w:val="18"/>
                <w:szCs w:val="18"/>
              </w:rPr>
              <w:t xml:space="preserve">Quién hace qué en cada SLEP y cómo se gestiona el cambio.</w:t>
            </w:r>
          </w:p>
        </w:tc>
      </w:tr>
    </w:tbl>
    <w:p>
      <w:pPr>
        <w:spacing w:after="120" w:before="0" w:line="120"/>
      </w:pPr>
    </w:p>
    <w:p>
      <w:pPr>
        <w:spacing w:after="140" w:before="0" w:line="276"/>
        <w:jc w:val="left"/>
      </w:pPr>
      <w:r>
        <w:rPr>
          <w:rFonts w:ascii="Calibri" w:cs="Calibri" w:eastAsia="Calibri" w:hAnsi="Calibri"/>
          <w:color w:val="334155"/>
          <w:sz w:val="20"/>
          <w:szCs w:val="20"/>
        </w:rPr>
        <w:t xml:space="preserve">Este informe concluye que automatizar la tramitación de licencias médicas es </w:t>
      </w:r>
      <w:r>
        <w:rPr>
          <w:rFonts w:ascii="Calibri" w:cs="Calibri" w:eastAsia="Calibri" w:hAnsi="Calibri"/>
          <w:b/>
          <w:bCs/>
          <w:color w:val="0F172A"/>
          <w:sz w:val="20"/>
          <w:szCs w:val="20"/>
        </w:rPr>
        <w:t xml:space="preserve">factible y de alto impacto</w:t>
      </w:r>
      <w:r>
        <w:rPr>
          <w:rFonts w:ascii="Calibri" w:cs="Calibri" w:eastAsia="Calibri" w:hAnsi="Calibri"/>
          <w:color w:val="334155"/>
          <w:sz w:val="20"/>
          <w:szCs w:val="20"/>
        </w:rPr>
        <w:t xml:space="preserve">, siempre que use canales autorizados, mantenga a una persona confirmando cada envío y nunca trate el diagnóstico. El acceso automatizado con la ClaveÚnica de un funcionario queda descartado. Este informe </w:t>
      </w:r>
      <w:r>
        <w:rPr>
          <w:rFonts w:ascii="Calibri" w:cs="Calibri" w:eastAsia="Calibri" w:hAnsi="Calibri"/>
          <w:b/>
          <w:bCs/>
          <w:color w:val="0F172A"/>
          <w:sz w:val="20"/>
          <w:szCs w:val="20"/>
        </w:rPr>
        <w:t xml:space="preserve">no elige camino</w:t>
      </w:r>
      <w:r>
        <w:rPr>
          <w:rFonts w:ascii="Calibri" w:cs="Calibri" w:eastAsia="Calibri" w:hAnsi="Calibri"/>
          <w:color w:val="334155"/>
          <w:sz w:val="20"/>
          <w:szCs w:val="20"/>
        </w:rPr>
        <w:t xml:space="preserve">: explica qué se decidirá y dónde. La elección de camino y propuesta se hará con el anexo comparativo a fines de octubre.</w:t>
      </w:r>
    </w:p>
    <w:p>
      <w:pPr>
        <w:spacing w:after="140" w:before="0" w:line="276"/>
        <w:jc w:val="left"/>
      </w:pPr>
      <w:r>
        <w:rPr>
          <w:rFonts w:ascii="Calibri" w:cs="Calibri" w:eastAsia="Calibri" w:hAnsi="Calibri"/>
          <w:color w:val="334155"/>
          <w:sz w:val="20"/>
          <w:szCs w:val="20"/>
        </w:rPr>
        <w:t xml:space="preserve">El orden de los informes de cada camino importa: el </w:t>
      </w:r>
      <w:r>
        <w:rPr>
          <w:rFonts w:ascii="Calibri" w:cs="Calibri" w:eastAsia="Calibri" w:hAnsi="Calibri"/>
          <w:b/>
          <w:bCs/>
          <w:color w:val="0F172A"/>
          <w:sz w:val="20"/>
          <w:szCs w:val="20"/>
        </w:rPr>
        <w:t xml:space="preserve">marco legal</w:t>
      </w:r>
      <w:r>
        <w:rPr>
          <w:rFonts w:ascii="Calibri" w:cs="Calibri" w:eastAsia="Calibri" w:hAnsi="Calibri"/>
          <w:color w:val="334155"/>
          <w:sz w:val="20"/>
          <w:szCs w:val="20"/>
        </w:rPr>
        <w:t xml:space="preserve"> dice si el camino se puede seguir; el </w:t>
      </w:r>
      <w:r>
        <w:rPr>
          <w:rFonts w:ascii="Calibri" w:cs="Calibri" w:eastAsia="Calibri" w:hAnsi="Calibri"/>
          <w:b/>
          <w:bCs/>
          <w:color w:val="0F172A"/>
          <w:sz w:val="20"/>
          <w:szCs w:val="20"/>
        </w:rPr>
        <w:t xml:space="preserve">técnico</w:t>
      </w:r>
      <w:r>
        <w:rPr>
          <w:rFonts w:ascii="Calibri" w:cs="Calibri" w:eastAsia="Calibri" w:hAnsi="Calibri"/>
          <w:color w:val="334155"/>
          <w:sz w:val="20"/>
          <w:szCs w:val="20"/>
        </w:rPr>
        <w:t xml:space="preserve">, cómo se construye, y el de </w:t>
      </w:r>
      <w:r>
        <w:rPr>
          <w:rFonts w:ascii="Calibri" w:cs="Calibri" w:eastAsia="Calibri" w:hAnsi="Calibri"/>
          <w:b/>
          <w:bCs/>
          <w:color w:val="0F172A"/>
          <w:sz w:val="20"/>
          <w:szCs w:val="20"/>
        </w:rPr>
        <w:t xml:space="preserve">costos</w:t>
      </w:r>
      <w:r>
        <w:rPr>
          <w:rFonts w:ascii="Calibri" w:cs="Calibri" w:eastAsia="Calibri" w:hAnsi="Calibri"/>
          <w:color w:val="334155"/>
          <w:sz w:val="20"/>
          <w:szCs w:val="20"/>
        </w:rPr>
        <w:t xml:space="preserve">, cuánto cuesta su primer año. Un camino que no es viable legalmente no se evalúa por su técnica ni por su precio. Más adelante se sumará un informe </w:t>
      </w:r>
      <w:r>
        <w:rPr>
          <w:rFonts w:ascii="Calibri" w:cs="Calibri" w:eastAsia="Calibri" w:hAnsi="Calibri"/>
          <w:b/>
          <w:bCs/>
          <w:color w:val="0F172A"/>
          <w:sz w:val="20"/>
          <w:szCs w:val="20"/>
        </w:rPr>
        <w:t xml:space="preserve">operativo</w:t>
      </w:r>
      <w:r>
        <w:rPr>
          <w:rFonts w:ascii="Calibri" w:cs="Calibri" w:eastAsia="Calibri" w:hAnsi="Calibri"/>
          <w:color w:val="334155"/>
          <w:sz w:val="20"/>
          <w:szCs w:val="20"/>
        </w:rPr>
        <w:t xml:space="preserve"> para cada camino.</w:t>
      </w:r>
    </w:p>
    <w:p>
      <w:pPr>
        <w:pStyle w:val="Heading3"/>
        <w:keepNext/>
        <w:spacing w:after="80" w:before="180"/>
      </w:pPr>
      <w:r>
        <w:rPr>
          <w:rFonts w:ascii="Calibri" w:cs="Calibri" w:eastAsia="Calibri" w:hAnsi="Calibri"/>
          <w:b/>
          <w:bCs/>
          <w:color w:val="0F766E"/>
          <w:sz w:val="22"/>
          <w:szCs w:val="22"/>
        </w:rPr>
        <w:t xml:space="preserve">Decisiones y gestiones que se solicitan</w:t>
      </w:r>
    </w:p>
    <w:p>
      <w:pPr>
        <w:pStyle w:val="ListParagraph"/>
        <w:numPr>
          <w:ilvl w:val="0"/>
          <w:numId w:val="3"/>
        </w:numPr>
        <w:spacing w:after="70" w:line="264"/>
      </w:pPr>
      <w:r>
        <w:rPr>
          <w:b/>
          <w:bCs/>
          <w:color w:val="0F172A"/>
          <w:sz w:val="18"/>
          <w:szCs w:val="18"/>
        </w:rPr>
        <w:t xml:space="preserve">Aprobar</w:t>
      </w:r>
      <w:r>
        <w:rPr>
          <w:color w:val="334155"/>
          <w:sz w:val="18"/>
          <w:szCs w:val="18"/>
        </w:rPr>
        <w:t xml:space="preserve"> la Fase 2 con las reglas de canal autorizado, humano en el circuito y sin diagnóstico.</w:t>
      </w:r>
    </w:p>
    <w:p>
      <w:pPr>
        <w:pStyle w:val="ListParagraph"/>
        <w:numPr>
          <w:ilvl w:val="0"/>
          <w:numId w:val="3"/>
        </w:numPr>
        <w:spacing w:after="70" w:line="264"/>
      </w:pPr>
      <w:r>
        <w:rPr>
          <w:b/>
          <w:bCs/>
          <w:color w:val="0F172A"/>
          <w:sz w:val="18"/>
          <w:szCs w:val="18"/>
        </w:rPr>
        <w:t xml:space="preserve">Elegir camino y nivel de propuesta</w:t>
      </w:r>
      <w:r>
        <w:rPr>
          <w:color w:val="334155"/>
          <w:sz w:val="18"/>
          <w:szCs w:val="18"/>
        </w:rPr>
        <w:t xml:space="preserve"> (costo cero, óptima o avanzada) con los Informes 08.1 a 08.4, en el anexo comparativo del 30 de octubre.</w:t>
      </w:r>
    </w:p>
    <w:p>
      <w:pPr>
        <w:pStyle w:val="ListParagraph"/>
        <w:numPr>
          <w:ilvl w:val="0"/>
          <w:numId w:val="3"/>
        </w:numPr>
        <w:spacing w:after="70" w:line="264"/>
      </w:pPr>
      <w:r>
        <w:rPr>
          <w:b/>
          <w:bCs/>
          <w:color w:val="0F172A"/>
          <w:sz w:val="18"/>
          <w:szCs w:val="18"/>
        </w:rPr>
        <w:t xml:space="preserve">Firmar los oficios a FONASA</w:t>
      </w:r>
      <w:r>
        <w:rPr>
          <w:color w:val="334155"/>
          <w:sz w:val="18"/>
          <w:szCs w:val="18"/>
        </w:rPr>
        <w:t xml:space="preserve">: otorgamiento del servicio por la Red de Interoperabilidad, autorización de la API del portal y autorización del robot asistido.</w:t>
      </w:r>
    </w:p>
    <w:p>
      <w:pPr>
        <w:pStyle w:val="ListParagraph"/>
        <w:numPr>
          <w:ilvl w:val="0"/>
          <w:numId w:val="3"/>
        </w:numPr>
        <w:spacing w:after="70" w:line="264"/>
      </w:pPr>
      <w:r>
        <w:rPr>
          <w:b/>
          <w:bCs/>
          <w:color w:val="0F172A"/>
          <w:sz w:val="18"/>
          <w:szCs w:val="18"/>
        </w:rPr>
        <w:t xml:space="preserve">Ingresar la solicitud</w:t>
      </w:r>
      <w:r>
        <w:rPr>
          <w:color w:val="334155"/>
          <w:sz w:val="18"/>
          <w:szCs w:val="18"/>
        </w:rPr>
        <w:t xml:space="preserve"> por el Gestor de Solicitudes de la Red de Interoperabilidad.</w:t>
      </w:r>
    </w:p>
    <w:p>
      <w:pPr>
        <w:pStyle w:val="ListParagraph"/>
        <w:numPr>
          <w:ilvl w:val="0"/>
          <w:numId w:val="3"/>
        </w:numPr>
        <w:spacing w:after="70" w:line="264"/>
      </w:pPr>
      <w:r>
        <w:rPr>
          <w:b/>
          <w:bCs/>
          <w:color w:val="0F172A"/>
          <w:sz w:val="18"/>
          <w:szCs w:val="18"/>
        </w:rPr>
        <w:t xml:space="preserve">Designar el SLEP piloto</w:t>
      </w:r>
      <w:r>
        <w:rPr>
          <w:color w:val="334155"/>
          <w:sz w:val="18"/>
          <w:szCs w:val="18"/>
        </w:rPr>
        <w:t xml:space="preserve"> y su encargado de licencias.</w:t>
      </w:r>
    </w:p>
    <w:p>
      <w:pPr>
        <w:pStyle w:val="ListParagraph"/>
        <w:numPr>
          <w:ilvl w:val="0"/>
          <w:numId w:val="3"/>
        </w:numPr>
        <w:spacing w:after="70" w:line="264"/>
      </w:pPr>
      <w:r>
        <w:rPr>
          <w:b/>
          <w:bCs/>
          <w:color w:val="0F172A"/>
          <w:sz w:val="18"/>
          <w:szCs w:val="18"/>
        </w:rPr>
        <w:t xml:space="preserve">Revisar experiencias previas</w:t>
      </w:r>
      <w:r>
        <w:rPr>
          <w:color w:val="334155"/>
          <w:sz w:val="18"/>
          <w:szCs w:val="18"/>
        </w:rPr>
        <w:t xml:space="preserve"> de automatización con IA local en la red SLEP, como material de referencia.</w:t>
      </w:r>
    </w:p>
    <w:p>
      <w:pPr>
        <w:pStyle w:val="ListParagraph"/>
        <w:numPr>
          <w:ilvl w:val="0"/>
          <w:numId w:val="3"/>
        </w:numPr>
        <w:spacing w:after="70" w:line="264"/>
      </w:pPr>
      <w:r>
        <w:rPr>
          <w:b/>
          <w:bCs/>
          <w:color w:val="0F172A"/>
          <w:sz w:val="18"/>
          <w:szCs w:val="18"/>
        </w:rPr>
        <w:t xml:space="preserve">Iniciar la evaluación de impacto</w:t>
      </w:r>
      <w:r>
        <w:rPr>
          <w:color w:val="334155"/>
          <w:sz w:val="18"/>
          <w:szCs w:val="18"/>
        </w:rPr>
        <w:t xml:space="preserve"> en protección de datos.</w:t>
      </w:r>
    </w:p>
    <w:p>
      <w:pPr>
        <w:pStyle w:val="ListParagraph"/>
        <w:numPr>
          <w:ilvl w:val="0"/>
          <w:numId w:val="3"/>
        </w:numPr>
        <w:spacing w:after="70" w:line="264"/>
      </w:pPr>
      <w:r>
        <w:rPr>
          <w:b/>
          <w:bCs/>
          <w:color w:val="0F172A"/>
          <w:sz w:val="18"/>
          <w:szCs w:val="18"/>
        </w:rPr>
        <w:t xml:space="preserve">Enviar el levantamiento</w:t>
      </w:r>
      <w:r>
        <w:rPr>
          <w:color w:val="334155"/>
          <w:sz w:val="18"/>
          <w:szCs w:val="18"/>
        </w:rPr>
        <w:t xml:space="preserve"> a los 36 SLEP (Informe 08.5, sección 02).</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RECOMENDACIÓN FINAL</w:t>
            </w:r>
          </w:p>
          <w:p>
            <w:pPr>
              <w:spacing w:after="50" w:line="260"/>
            </w:pPr>
            <w:r>
              <w:rPr>
                <w:color w:val="334155"/>
                <w:sz w:val="19"/>
                <w:szCs w:val="19"/>
              </w:rPr>
              <w:t xml:space="preserve">Aprobar la </w:t>
            </w:r>
            <w:r>
              <w:rPr>
                <w:b/>
                <w:bCs/>
                <w:color w:val="0F172A"/>
                <w:sz w:val="19"/>
                <w:szCs w:val="19"/>
              </w:rPr>
              <w:t xml:space="preserve">automatización de la tramitación de licencias médicas</w:t>
            </w:r>
            <w:r>
              <w:rPr>
                <w:color w:val="334155"/>
                <w:sz w:val="19"/>
                <w:szCs w:val="19"/>
              </w:rPr>
              <w:t xml:space="preserve"> como Fase 2 de GDP-SLEP Studio, con un </w:t>
            </w:r>
            <w:r>
              <w:rPr>
                <w:b/>
                <w:bCs/>
                <w:color w:val="0F172A"/>
                <w:sz w:val="19"/>
                <w:szCs w:val="19"/>
              </w:rPr>
              <w:t xml:space="preserve">piloto en un SLEP</w:t>
            </w:r>
            <w:r>
              <w:rPr>
                <w:color w:val="334155"/>
                <w:sz w:val="19"/>
                <w:szCs w:val="19"/>
              </w:rPr>
              <w:t xml:space="preserve"> del 1 de octubre al </w:t>
            </w:r>
            <w:r>
              <w:rPr>
                <w:b/>
                <w:bCs/>
                <w:color w:val="0F172A"/>
                <w:sz w:val="19"/>
                <w:szCs w:val="19"/>
              </w:rPr>
              <w:t xml:space="preserve">27 de noviembre de 2026</w:t>
            </w:r>
            <w:r>
              <w:rPr>
                <w:color w:val="334155"/>
                <w:sz w:val="19"/>
                <w:szCs w:val="19"/>
              </w:rPr>
              <w:t xml:space="preserve">, iniciando hoy las gestiones formales con FONASA (servicio, API y robot).</w:t>
            </w:r>
          </w:p>
        </w:tc>
      </w:tr>
    </w:tbl>
    <w:p>
      <w:pPr>
        <w:spacing w:after="140" w:before="0" w:line="120"/>
      </w:pPr>
    </w:p>
    <w:sectPr>
      <w:headerReference w:type="default" r:id="rId7"/>
      <w:headerReference w:type="first" r:id="rId8"/>
      <w:footerReference w:type="default" r:id="rId9"/>
      <w:footerReference w:type="first" r:id="rId10"/>
      <w:pgSz w:w="12240" w:h="15840" w:orient="portrait"/>
      <w:pgMar w:top="1250" w:right="1300" w:bottom="1150" w:left="1300"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0"/>
      </w:tabs>
    </w:pPr>
    <w:r>
      <w:rPr>
        <w:rFonts w:ascii="Calibri" w:cs="Calibri" w:eastAsia="Calibri" w:hAnsi="Calibri"/>
        <w:color w:val="94A3B8"/>
        <w:sz w:val="14"/>
        <w:szCs w:val="14"/>
      </w:rPr>
      <w:t xml:space="preserve">DEP · Subdepartamento GDP-SLEP · Uso interno</w:t>
    </w:r>
    <w:r>
      <w:rPr>
        <w:rFonts w:ascii="Consolas" w:cs="Consolas" w:eastAsia="Consolas" w:hAnsi="Consolas"/>
        <w:color w:val="94A3B8"/>
        <w:sz w:val="14"/>
        <w:szCs w:val="14"/>
      </w:rPr>
      <w:t xml:space="preserve">	pág. </w:t>
    </w:r>
    <w:r>
      <w:rPr>
        <w:rFonts w:ascii="Consolas" w:cs="Consolas" w:eastAsia="Consolas" w:hAnsi="Consolas"/>
        <w:b/>
        <w:bCs/>
        <w:color w:val="0F172A"/>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tabs>
        <w:tab w:val="right" w:pos="9640"/>
      </w:tabs>
    </w:pPr>
    <w:r>
      <w:rPr>
        <w:rFonts w:ascii="Consolas" w:cs="Consolas" w:eastAsia="Consolas" w:hAnsi="Consolas"/>
        <w:b/>
        <w:bCs/>
        <w:color w:val="0D9488"/>
        <w:spacing w:val="20"/>
        <w:sz w:val="14"/>
        <w:szCs w:val="14"/>
      </w:rPr>
      <w:t xml:space="preserve">GDP - SLEP STUDIO</w:t>
    </w:r>
    <w:r>
      <w:rPr>
        <w:rFonts w:ascii="Consolas" w:cs="Consolas" w:eastAsia="Consolas" w:hAnsi="Consolas"/>
        <w:color w:val="94A3B8"/>
        <w:spacing w:val="10"/>
        <w:sz w:val="14"/>
        <w:szCs w:val="14"/>
      </w:rPr>
      <w:t xml:space="preserve">	INFORME 08  ·  FACTIBILIDAD AUTOMATIZACIÓN DE LICENCIAS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D9488"/>
      </w:rPr>
    </w:lvl>
  </w:abstractNum>
  <w:abstractNum w:abstractNumId="3" w15:restartNumberingAfterBreak="0">
    <w:multiLevelType w:val="hybridMultilevel"/>
    <w:lvl w:ilvl="0" w15:tentative="1">
      <w:start w:val="1"/>
      <w:numFmt w:val="decimal"/>
      <w:lvlText w:val="%1."/>
      <w:lvlJc w:val="left"/>
      <w:pPr>
        <w:ind w:left="440" w:hanging="300"/>
      </w:pPr>
      <w:rPr>
        <w:b/>
        <w:bCs/>
        <w:color w:val="0D948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0F172A"/>
      <w:sz w:val="34"/>
      <w:szCs w:val="34"/>
    </w:rPr>
  </w:style>
  <w:style w:type="paragraph" w:styleId="Heading2">
    <w:name w:val="Heading 2"/>
    <w:basedOn w:val="Normal"/>
    <w:next w:val="Normal"/>
    <w:qFormat/>
    <w:pPr>
      <w:outlineLvl w:val="1"/>
    </w:pPr>
    <w:rPr>
      <w:rFonts w:ascii="Calibri" w:cs="Calibri" w:eastAsia="Calibri" w:hAnsi="Calibri"/>
      <w:b/>
      <w:bCs/>
      <w:color w:val="0F172A"/>
      <w:sz w:val="25"/>
      <w:szCs w:val="25"/>
    </w:rPr>
  </w:style>
  <w:style w:type="paragraph" w:styleId="Heading3">
    <w:name w:val="Heading 3"/>
    <w:basedOn w:val="Normal"/>
    <w:next w:val="Normal"/>
    <w:qFormat/>
    <w:pPr>
      <w:outlineLvl w:val="2"/>
    </w:pPr>
    <w:rPr>
      <w:rFonts w:ascii="Calibri" w:cs="Calibri" w:eastAsia="Calibri" w:hAnsi="Calibri"/>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08 — Factibilidad de la automatización de la tramitación de licencias médicas</dc:title>
  <dc:subject>GDP-SLEP Studio</dc:subject>
  <dc:creator>César Torres</dc:creator>
  <dc:description>Factibilidad técnica, operativa, legal y económica de automatizar la tramitación de licencias médicas en los SLEP</dc:description>
  <cp:lastModifiedBy>Un-named</cp:lastModifiedBy>
  <cp:revision>1</cp:revision>
  <dcterms:created xsi:type="dcterms:W3CDTF">2026-10-05T12:11:19.393Z</dcterms:created>
  <dcterms:modified xsi:type="dcterms:W3CDTF">2026-10-05T12:11:19.406Z</dcterms:modified>
</cp:coreProperties>
</file>

<file path=docProps/custom.xml><?xml version="1.0" encoding="utf-8"?>
<Properties xmlns="http://schemas.openxmlformats.org/officeDocument/2006/custom-properties" xmlns:vt="http://schemas.openxmlformats.org/officeDocument/2006/docPropsVTypes"/>
</file>