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ia-local / factibilidad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12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Inteligencia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artificial local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Factibilidad de una IA local que asista y orqueste GDP-SLEP Studio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Concepto, casos de uso, opciones de equipamiento y modelos, y evaluación técnica, operativa, legal y económica, con costos generales y carta Gantt de diciembre de 2026 a enero de 2027.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Fase 3: Portal orquestador e IA local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Propuesta y factibilidad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Diciembre de 2026 – enero de 2027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2 de diciembre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Primer informe de la Fase 3 de GDP-SLEP Studio. El Informe 13 detalla el portal orquestador con IA local.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12 — Factibilidad de la IA local orquestadora de GDP-SLEP Studio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Duodécimo informe. Abre la Fase 3, tras el piloto de licencias médicas (Informes 08 a 11)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Determinar si es factible incorporar a GDP-SLEP Studio un modelo de inteligencia artificial que funcione dentro de la DEP, para qué usos, con qué equipo y a qué costo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Dimensiones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Técnica · Operativa · Legal y normativa · Económica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Diciembre de 2026 – enero de 2027 (41 días hábiles)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Conclusión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Es factible y recomendable con un equipo local con GPU, modelos de licencia abierta y reglas de uso: la IA asiste y propone, las personas deciden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00 (secciones 06, 10, 11 y 15.7) · Informe 02 (Fase 3) · Informe 10 (LAYA) · Informe 13 (Técnico del portal con IA local)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50"/>
        <w:gridCol w:w="260"/>
        <w:gridCol w:w="1850"/>
        <w:gridCol w:w="260"/>
        <w:gridCol w:w="1850"/>
        <w:gridCol w:w="260"/>
        <w:gridCol w:w="1850"/>
        <w:gridCol w:w="260"/>
        <w:gridCol w:w="1200"/>
      </w:tblGrid>
      <w:tr>
        <w:trPr>
          <w:cantSplit/>
        </w:trPr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JUN – SEP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Fase 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Validador de Formularios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OCT – NOV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Fase 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Licencias médicas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2 DE DICIEMBRE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12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Factibilidad IA local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DICIEMBRE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13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Técnico portal + IA local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ENERO 2027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Cierre Fase 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Portal orquestador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Informe 12 abre la Fase 3, el centro del proyecto.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Cómo leer este informe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Las secciones 02 a 04 explican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qué es la IA local, para qué se usaría y con qué equipo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las secciones 05 a 08 evalúan su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factibilidad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; la 09 presenta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carta Gantt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diciembre y enero, la 10 los riesgos y la 11 las decisiones. El Anexo A lista los modelos candidatos y el Anexo B propone una política mínima de uso de IA.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Resumen ejecutivo</w:t>
            </w:r>
          </w:p>
          <w:p>
            <w:r>
              <w:rPr>
                <w:color w:val="64748B"/>
                <w:sz w:val="17"/>
                <w:szCs w:val="17"/>
              </w:rPr>
              <w:t xml:space="preserve">La IA local y su factibilidad en dos páginas.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es la IA local orquestadora</w:t>
            </w:r>
          </w:p>
          <w:p>
            <w:r>
              <w:rPr>
                <w:color w:val="64748B"/>
                <w:sz w:val="17"/>
                <w:szCs w:val="17"/>
              </w:rPr>
              <w:t xml:space="preserve">Concepto y por qué local.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Casos de uso y alcance</w:t>
            </w:r>
          </w:p>
          <w:p>
            <w:r>
              <w:rPr>
                <w:color w:val="64748B"/>
                <w:sz w:val="17"/>
                <w:szCs w:val="17"/>
              </w:rPr>
              <w:t xml:space="preserve">Para qué se usa y para qué nunca.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Equipos y modelos</w:t>
            </w:r>
          </w:p>
          <w:p>
            <w:r>
              <w:rPr>
                <w:color w:val="64748B"/>
                <w:sz w:val="17"/>
                <w:szCs w:val="17"/>
              </w:rPr>
              <w:t xml:space="preserve">Cuatro opciones de infraestructura y modelos abiertos.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técnica</w:t>
            </w:r>
          </w:p>
          <w:p>
            <w:r>
              <w:rPr>
                <w:color w:val="64748B"/>
                <w:sz w:val="17"/>
                <w:szCs w:val="17"/>
              </w:rPr>
              <w:t xml:space="preserve">¿Alcanza el equipo para la carga esperada?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operativa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¿Quién la opera y con qué reglas?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legal y normativa</w:t>
            </w:r>
          </w:p>
          <w:p>
            <w:r>
              <w:rPr>
                <w:color w:val="64748B"/>
                <w:sz w:val="17"/>
                <w:szCs w:val="17"/>
              </w:rPr>
              <w:t xml:space="preserve">Datos, decisiones automatizadas, transparencia y compras.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Factibilidad económica</w:t>
            </w:r>
          </w:p>
          <w:p>
            <w:r>
              <w:rPr>
                <w:color w:val="64748B"/>
                <w:sz w:val="17"/>
                <w:szCs w:val="17"/>
              </w:rPr>
              <w:t xml:space="preserve">Costos generales por escenario y comparación con la nube.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Planificación: carta Gantt</w:t>
            </w:r>
          </w:p>
          <w:p>
            <w:r>
              <w:rPr>
                <w:color w:val="64748B"/>
                <w:sz w:val="17"/>
                <w:szCs w:val="17"/>
              </w:rPr>
              <w:t xml:space="preserve">Diciembre de 2026 – enero de 2027.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Riesgos y mitigaciones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puede salir mal.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Conclusiones y decisiones solicitadas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se aprueba.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A–B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Anexos</w:t>
            </w:r>
          </w:p>
          <w:p>
            <w:r>
              <w:rPr>
                <w:color w:val="64748B"/>
                <w:sz w:val="17"/>
                <w:szCs w:val="17"/>
              </w:rPr>
              <w:t xml:space="preserve">Modelos candidatos · Política mínima de uso de IA.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ejecutivo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GDP-SLEP Studio ya tiene aplicaciones, datos y procesos; el siguiente paso es un asistente que ayude a usarlos y los conecte.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Decidir si conviene una IA que funcione dentro de la DEP, para qué y con qué recursos.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Casos de uso, cuatro opciones de equipo, evaluación en cuatro dimensiones, costos y Gantt.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Se propone incorporar a GDP-SLEP Studio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inteligencia artificial local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modelos de lenguaje de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licencia abierta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se ejecutan en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equipo de la DEP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sin enviar datos a servicios externos. Sería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asistente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funcionarios y SLEP (consultas de normativa y procedimientos, explicación de errores del Validador, resúmenes) y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orquestador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propone acciones en las aplicaciones del portal, siempre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 aprobación humana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También daría 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LAYA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la capacidad de cómputo para operar las licencias de los 36 SLEP.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datos enviados fuera de la DEP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32 GB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de memoria de GPU recomendada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 $10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Fase 3, escenario recomendado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 1 año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para igualar el costo de GPU en nube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Veredicto por dimensión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900"/>
        <w:gridCol w:w="6040"/>
      </w:tblGrid>
      <w:tr>
        <w:trPr>
          <w:tblHeader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Técnica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Factible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Modelos abiertos de 8 a 32 mil millones de parámetros corren en una GPU de 32 GB con holgura para la carga esperada.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Operativa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Con condiciones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Requiere que TI aloje el equipo, una política de uso de IA y un responsable permanente (no a honorarios).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Legal y normativa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7"/>
                <w:szCs w:val="17"/>
              </w:rPr>
              <w:t xml:space="preserve">● Con condiciones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La operación local resuelve la transferencia internacional; exige humano en el circuito, transparencia y evaluación de impacto.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7"/>
                <w:szCs w:val="17"/>
              </w:rPr>
              <w:t xml:space="preserve">Económica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● Factible</w:t>
            </w:r>
          </w:p>
        </w:tc>
        <w:tc>
          <w:tcPr>
            <w:tcW w:type="dxa" w:w="6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7"/>
                <w:szCs w:val="17"/>
              </w:rPr>
              <w:t xml:space="preserve">≈ $7,5 MM de equipo por única vez frente a ≈ $8,2 MM al año de una GPU en nube fuera de Chile.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IA local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factible y recomendable</w:t>
            </w:r>
            <w:r>
              <w:rPr>
                <w:color w:val="334155"/>
                <w:sz w:val="19"/>
                <w:szCs w:val="19"/>
              </w:rPr>
              <w:t xml:space="preserve">. Se recomienda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comprar una estación con GPU de 32 GB</w:t>
            </w:r>
            <w:r>
              <w:rPr>
                <w:color w:val="334155"/>
                <w:sz w:val="19"/>
                <w:szCs w:val="19"/>
              </w:rPr>
              <w:t xml:space="preserve">, empezar en diciembre con un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prototipo en el servidor de TI</w:t>
            </w:r>
            <w:r>
              <w:rPr>
                <w:color w:val="334155"/>
                <w:sz w:val="19"/>
                <w:szCs w:val="19"/>
              </w:rPr>
              <w:t xml:space="preserve">, adoptar una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política de uso de IA</w:t>
            </w:r>
            <w:r>
              <w:rPr>
                <w:color w:val="334155"/>
                <w:sz w:val="19"/>
                <w:szCs w:val="19"/>
              </w:rPr>
              <w:t xml:space="preserve"> y desplegar los primeros casos de uso en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enero de 2027</w:t>
            </w:r>
            <w:r>
              <w:rPr>
                <w:color w:val="334155"/>
                <w:sz w:val="19"/>
                <w:szCs w:val="19"/>
              </w:rPr>
              <w:t xml:space="preserve">, como parte del portal orquestador (Informe 13).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concepto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es la IA local orquestadora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Los servicios de IA en la nube envían los datos fuera de la institución y, para GPU, fuera de Chile.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qué se instalaría, cómo se relaciona con el portal y por qué debe ser local.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Concepto de capas y comparación con la alternativa en la nube.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Cómo encaja en GDP-SLEP Studio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20"/>
        <w:gridCol w:w="2300"/>
        <w:gridCol w:w="320"/>
        <w:gridCol w:w="4400"/>
      </w:tblGrid>
      <w:tr>
        <w:trPr>
          <w:cantSplit/>
        </w:trPr>
        <w:tc>
          <w:tcPr>
            <w:tcW w:type="dxa" w:w="23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USUARIOS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Personas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GDP-SLEP y SLEP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23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ORQUESTADOR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Portal GDP-SLEP Studio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NestJS · Angular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44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INTELIGENCIA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IA local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equipo con GPU en la DEP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Asistente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preguntas, explicaciones, resúmenes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3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Pasarela de IA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permisos, filtros de datos, registro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44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Servidor de modelos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modelos abiertos de 8B a 32B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Aplicaciones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Validador · Licencias · futuras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↔</w:t>
            </w:r>
          </w:p>
        </w:tc>
        <w:tc>
          <w:tcPr>
            <w:tcW w:type="dxa" w:w="23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Acciones propuestas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la persona aprueba antes de ejecutar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←</w:t>
            </w:r>
          </w:p>
        </w:tc>
        <w:tc>
          <w:tcPr>
            <w:tcW w:type="dxa" w:w="44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Base de conocimiento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normativa, circulares, manuales, informes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La IA no se conecta directo a los datos: pasa por la pasarela del portal, que aplica permisos y filtros.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Por qué local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3200"/>
        <w:gridCol w:w="34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CRITERIO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IA LOCAL (EQUIPO EN LA DEP)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IA EN LA NUBE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Dónde quedan los datos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 la DEP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En el proveedor; para GPU, fuera de Chile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Datos sensibles (licencias, remuneraciones)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Utilizables con controles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 recomendable (Informe 00)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Costo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Inversión única y energía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Pago por uso o por hora, recurrente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Disponibilidad de GPU en Chile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Propia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No hay GPU en nube con región en Chile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Dependencia de internet o del proveedor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Ninguna para funcionar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Capacidad de los modelos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Menor que los modelos comerciales más grandes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Mayor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La menor capacidad de los modelos locales es suficiente para los usos propuestos —consultas sobre documentos propios, clasificación, resúmenes y borradores— cuando se combinan con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búsqueda en la base de conocimiento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DEP.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alcance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Casos de uso y alcance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Una IA sin casos de uso definidos termina en usos no previstos.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Fijar para qué se usará, con qué datos y qué riesgo, y para qué nunca.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Cartera priorizada por valor y riesgo, con exclusiones explícitas.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Cartera de casos de uso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400"/>
        <w:gridCol w:w="2900"/>
        <w:gridCol w:w="1400"/>
        <w:gridCol w:w="13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CASO DE USO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DATOS QUE USA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Asistente de normativa y procedimientos (licencias, sumarios, estatutos)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Normativa pública, circulares, manuales e informes de la serie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Bajo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Alta · enero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U2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Explicación de errores del Validador y borrador de observaciones a los SLEP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Cifras agregadas del Validador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Bajo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Alta · enero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U3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LAYA para licencias de los 36 SLEP (clasificar, priorizar, resumir)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Datos de licencias seudonimizados, sin diagnóstico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Alto, controlado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Alta · enero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U4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Resúmenes e informes para jefaturas a partir de los tableros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Indicadores agregados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Bajo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Clasificación de solicitudes y correos que llegan a GDP-SLEP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Textos que pueden contener datos personales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Medio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Media · 2027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U6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Acciones propuestas en el portal (crear mes, recordar a un SLEP)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Datos de las aplicaciones, según permisos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Medio</w:t>
            </w:r>
          </w:p>
        </w:tc>
        <w:tc>
          <w:tcPr>
            <w:tcW w:type="dxa" w:w="1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Media · 2027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Nunca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Tomar o recomendar </w:t>
      </w:r>
      <w:r>
        <w:rPr>
          <w:b/>
          <w:bCs/>
          <w:color w:val="0F172A"/>
          <w:sz w:val="18"/>
          <w:szCs w:val="18"/>
        </w:rPr>
        <w:t xml:space="preserve">decisiones sobre personas</w:t>
      </w:r>
      <w:r>
        <w:rPr>
          <w:color w:val="334155"/>
          <w:sz w:val="18"/>
          <w:szCs w:val="18"/>
        </w:rPr>
        <w:t xml:space="preserve">: sanciones, validez de licencias, evaluaciones o contrataciones.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Procesar </w:t>
      </w:r>
      <w:r>
        <w:rPr>
          <w:b/>
          <w:bCs/>
          <w:color w:val="0F172A"/>
          <w:sz w:val="18"/>
          <w:szCs w:val="18"/>
        </w:rPr>
        <w:t xml:space="preserve">diagnósticos</w:t>
      </w:r>
      <w:r>
        <w:rPr>
          <w:color w:val="334155"/>
          <w:sz w:val="18"/>
          <w:szCs w:val="18"/>
        </w:rPr>
        <w:t xml:space="preserve"> o antecedentes clínicos, ni datos que la persona usuaria no podría ver por su perfil y alcance.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Ejecutar acciones </w:t>
      </w:r>
      <w:r>
        <w:rPr>
          <w:b/>
          <w:bCs/>
          <w:color w:val="0F172A"/>
          <w:sz w:val="18"/>
          <w:szCs w:val="18"/>
        </w:rPr>
        <w:t xml:space="preserve">sin aprobación</w:t>
      </w:r>
      <w:r>
        <w:rPr>
          <w:color w:val="334155"/>
          <w:sz w:val="18"/>
          <w:szCs w:val="18"/>
        </w:rPr>
        <w:t xml:space="preserve"> de una persona, o responder como si fuera una fuente oficial sin citar el documento.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Usar </w:t>
      </w:r>
      <w:r>
        <w:rPr>
          <w:b/>
          <w:bCs/>
          <w:color w:val="0F172A"/>
          <w:sz w:val="18"/>
          <w:szCs w:val="18"/>
        </w:rPr>
        <w:t xml:space="preserve">modelos externos</w:t>
      </w:r>
      <w:r>
        <w:rPr>
          <w:color w:val="334155"/>
          <w:sz w:val="18"/>
          <w:szCs w:val="18"/>
        </w:rPr>
        <w:t xml:space="preserve"> con datos que no sean públicos.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infraestructura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Equipos y modelos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tamaño del modelo que se puede usar depende de la memoria de la GPU.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Comparar las opciones de equipo y los modelos abiertos disponibles.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Cuatro opciones de infraestructura y requerimientos de memoria de modelos cuantizados.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Opciones de infraestructura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600"/>
        <w:gridCol w:w="2600"/>
        <w:gridCol w:w="18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OPCIÓN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EQUIPO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MODELOS POSIBLES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DE REFERENCIA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 · Servidor de TI (CPU)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Máquina virtual existente, sin GPU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8B, lento (segundos a decenas de segundos por respuesta)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B · Estación con GPU 32 GB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RTX 5090 32 GB, 64–128 GB RAM, UPS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8B a 32B con buena velocidad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$7,5 MM [estim.]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 · Servidor con GPU 48 GB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RTX 6000 Ada o L40S 48 GB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Hasta 70B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$12–14 MM [estim.]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 · GPU en nube (fuera de Chile)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AWS g6.xlarge (L4) en EE.UU., 24×7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8B a 14B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$679.000 al mes c/IVA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Valores de referencia de octubre de 2026 (RTX 5090 ≈ $4,9–5,0 MM; RTX 6000 Ada ≈ $9,0 MM; L40S 6.000–8.500 USD; L4 en AWS 0,80 USD/h); se actualizarán al cotizar. La opción D no es recomendable por la transferencia internacional de datos.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Modelos y memoria requerida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2500"/>
        <w:gridCol w:w="2900"/>
        <w:gridCol w:w="15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TAMAÑO DEL MODELO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MEMORIA DE GPU (CUANTIZADO Q4)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 ADECUADO</w:t>
            </w:r>
          </w:p>
        </w:tc>
        <w:tc>
          <w:tcPr>
            <w:tcW w:type="dxa" w:w="1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OPCIÓN MÍNIMA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8B (Qwen3 8B, Llama 3.1 8B)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8 GB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Clasificación, extracción, respuestas breves</w:t>
            </w:r>
          </w:p>
        </w:tc>
        <w:tc>
          <w:tcPr>
            <w:tcW w:type="dxa" w:w="1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 (lento) · 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14B (Qwen3 14B)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12 – 16 GB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Asistente con documentos, resúmenes</w:t>
            </w:r>
          </w:p>
        </w:tc>
        <w:tc>
          <w:tcPr>
            <w:tcW w:type="dxa" w:w="1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32B (Qwen3 32B)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24 – 32 GB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Asistente más preciso, redacción de borradores</w:t>
            </w:r>
          </w:p>
        </w:tc>
        <w:tc>
          <w:tcPr>
            <w:tcW w:type="dxa" w:w="1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70B (Llama 3.x 70B)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48 GB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Calidad cercana a modelos comerciales medianos</w:t>
            </w:r>
          </w:p>
        </w:tc>
        <w:tc>
          <w:tcPr>
            <w:tcW w:type="dxa" w:w="1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Se recomiendan modelos con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licencia Apache-2.0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(familia Qwen3), que permiten uso institucional sin restricciones; el Anexo A detalla las licencias. La búsqueda en documentos usa un modelo de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embeddings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abierto y una base vectorial local.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técnica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técnica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pregunta técnica no es si los modelos funcionan, sino si el equipo alcanza para la carga y la calidad requeridas.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Dimensionar la carga esperada y verificar que el equipo recomendado la soporta.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Estimación de uso por caso, capacidad por opción y componentes de software disponibles.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Carga esperada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4000"/>
        <w:gridCol w:w="244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CASO DE USO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USUARIOS O VOLUMEN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CONSULTAS ESTIMADAS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U1 · Asistente de normativa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15 personas de GDP-SLEP y 36–72 encargados de SLEP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100 – 300 al día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U2 · Errores del Validador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36 SLEP, concentrado en la semana de cierre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200 – 500 en esa semana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U3 · LAYA licencias (36 SLEP)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22.700 – 27.700 licencias al mes; modelo solo en el 10%–20%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110 – 260 al día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U4 · Resúmenes para jefaturas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Jefaturas DEP y GDP-SLEP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10 – 20 al día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Son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cientos de consultas al día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no miles por minuto. Una GPU de 32 GB con un modelo de 14B o 32B responde en pocos segundos y puede atender varias solicitudes en paralelo; en CPU (opción A) cada respuesta toma de varios segundos a decenas de segundos, aceptable solo para el prototipo.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5.2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Componentes de software disponibles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00"/>
        <w:gridCol w:w="4600"/>
        <w:gridCol w:w="2140"/>
      </w:tblGrid>
      <w:tr>
        <w:trPr>
          <w:tblHeader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FUNCIÓN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LICENCIA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modelos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Ollama (prototipo) · vLLM (producción con concurrencia)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 · Apache-2.0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única hacia los modelos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LiteLLM, ya usado por LAYA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Búsqueda en documentos (RAG)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Modelo de embeddings abierto + base vectorial local (pgvector o Qdrant)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 · PostgreSQL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Clasificación de licencias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LAYA (Informe 10)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Integración con el portal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Módulo IA en NestJS con permisos y alcance del usuario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Propio (GPLv3)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software necesario es abierto y maduro, y una estación con GPU de 32 GB cubre con holgura la carga estimada. El servidor de TI sin GPU sirve para el prototipo de diciembre mientras llega el equipo.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operativa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operativa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modelo de IA es un servicio que hay que alojar, cuidar, actualizar y gobernar.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quién opera la IA, con qué reglas y cómo se incorpora al trabajo diario.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Responsables, requisitos de alojamiento y gobernanza mínima.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Responsables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ACTOR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Jefatura GDP-SLEP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Aprueba casos de uso y la política de uso de IA; es dueña funcional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TI de la DEP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Aloja el equipo (espacio, energía, UPS, red), respaldos, seguridad y acceso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Desarrollador / responsable de IA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Integra, evalúa y actualiza modelos; mide calidad; atiende incidentes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Usuarios (GDP-SLEP y SLEP)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Usan el asistente según la política; revisan y aprueban toda propuesta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Comité de IA (jefatura, TI, jurídica)</w:t>
            </w:r>
          </w:p>
        </w:tc>
        <w:tc>
          <w:tcPr>
            <w:tcW w:type="dxa" w:w="6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Revisa nuevos casos de uso, incidentes y evaluaciones de impacto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Requisitos de alojamiento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Espacio ventilado o sala de servidores, con </w:t>
      </w:r>
      <w:r>
        <w:rPr>
          <w:b/>
          <w:bCs/>
          <w:color w:val="0F172A"/>
          <w:sz w:val="18"/>
          <w:szCs w:val="18"/>
        </w:rPr>
        <w:t xml:space="preserve">UPS</w:t>
      </w:r>
      <w:r>
        <w:rPr>
          <w:color w:val="334155"/>
          <w:sz w:val="18"/>
          <w:szCs w:val="18"/>
        </w:rPr>
        <w:t xml:space="preserve"> y circuito eléctrico para un equipo de </w:t>
      </w:r>
      <w:r>
        <w:rPr>
          <w:b/>
          <w:bCs/>
          <w:color w:val="0F172A"/>
          <w:sz w:val="18"/>
          <w:szCs w:val="18"/>
        </w:rPr>
        <w:t xml:space="preserve">≈ 0,6 a 1 kW</w:t>
      </w:r>
      <w:r>
        <w:rPr>
          <w:color w:val="334155"/>
          <w:sz w:val="18"/>
          <w:szCs w:val="18"/>
        </w:rPr>
        <w:t xml:space="preserve"> en carga máxima.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Red interna hacia el servidor del portal; </w:t>
      </w:r>
      <w:r>
        <w:rPr>
          <w:b/>
          <w:bCs/>
          <w:color w:val="0F172A"/>
          <w:sz w:val="18"/>
          <w:szCs w:val="18"/>
        </w:rPr>
        <w:t xml:space="preserve">sin exposición directa a internet</w:t>
      </w:r>
      <w:r>
        <w:rPr>
          <w:color w:val="334155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Respaldo de configuración, índices de documentos y registros; los modelos se descargan de nuevo si fallan.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Continuidad del equipo humano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El portal y la IA son servicios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permanentes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Como advirtió el Informe 00, su operación no debería descansar en un contrato a honorarios: se recomienda definir para 2027 un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cargo de desarrollador o responsable de IA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(mercado: $1,5 a 2,0 MM brutos para 1 a 3 años de experiencia) y un traspaso documentado a TI.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Factible con condiciones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Operable si TI aloja el equipo, se aprueba una política de uso de IA (Anexo B) y se asegura un responsable permanente para 2027.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legal y normativa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Desde el 1 de diciembre de 2026 rige la Ley 21.719; la IA debe cumplirla desde su primer día.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Aplicar a la IA local el marco de IA, datos y compras del Informe 00.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Instrumentos vigentes, en trámite y consecuencias de diseño.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3300"/>
        <w:gridCol w:w="354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INSTRUMENTO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EXIGENCIA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RESPUESTA DE LA IA LOCAL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21.719 (rige desde el 1-dic-2026; verificar prórroga en trámite)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Licitud, minimización, seguridad, evaluación de impacto; art. 8 bis: explicación e intervención humana en decisiones automatizadas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Ninguna decisión automatizada sobre personas; evaluación de impacto antes de U3 y U5; registro de cada propuesta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21.719, Título V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Transferencia internacional de datos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hay transferencia: todo corre en la DEP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Oficio Circular N° 711/2023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ingresar datos personales en IA generativa no contratada; informar qué IA se usa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Modelos propios en equipo propio; publicación interna de los casos de uso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Res. Ex. 372/2024 CPLT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Transparencia algorítmica: finalidad, lógica, datos e intervención humana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Ficha pública o interna por caso de uso (Anexo B)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Proyecto de ley de IA (Boletín 16821-19)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Clasificación por riesgo; obligaciones para alto riesgo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Diseño con evaluación de impacto y humano en el circuito, que anticipa la ley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7/2023 · Ley 21.663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Activo crítico, control de acceso, incidentes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 en infraestructura de TI, sin acceso desde internet, registro de uso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de modelos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Respetar términos de uso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Preferir Apache-2.0 (Qwen3); revisar términos de Llama y otros (Anexo A)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19.886 · Ley 21.634 · DS 661/2024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Procedimiento de compra según monto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 de ≈ $7,5 MM supera 100 UTM: licitación o convenio marco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La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compra ágil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y la licitación simplificada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L1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llegan hasta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100 UTM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(≈ $7,2 MM con la UTM de octubre de 2026). La estación con GPU recomendada queda justo sobre ese umbral, por lo que se tramitaría por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convenio marco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de equipamiento o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licitación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(sobre 100 UTM), con plazos de varias semanas.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Factible con condiciones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La operación local elimina el principal problema legal (transferencia de datos). Queda condicionada a humano en el circuito, evaluación de impacto, transparencia por caso de uso y compra por el procedimiento que corresponda.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económica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Factibilidad económica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IA local cambia un gasto recurrente por una inversión única.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Estimar el costo general de la Fase 3 por escenario y compararlo con la nube.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Valores de referencia de octubre de 2026 (dólar $972,60; IVA 19%); se actualizarán al cotizar. El detalle va en el Informe 13.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 de la Fase 3 (diciembre – enero)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1800"/>
        <w:gridCol w:w="2400"/>
        <w:gridCol w:w="234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ÍTEM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MÍNIMO (A · CPU)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RECOMENDADO (B · GPU 32 GB)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HOLGADO (C · GPU 48 GB)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Desarrollador (2 meses, honorarios brutos)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$2.400.000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$2.400.000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$2.400.000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Equipo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$7.500.000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$12 – 14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Software y modelos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Energía (2 meses)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Marginal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$60.000 – 120.000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$80.000 – 160.000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 Fase 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$2,4 MM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$10,0 MM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$14,5 – 16,6 MM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El desarrollador de diciembre y enero es el mismo presupuesto del portal orquestador (Informe 13): no se suma dos veces. Energía estimada en ≈ $30.000 a 60.000 al mes según uso [estim.].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Comparación con GPU en la nube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3200"/>
        <w:gridCol w:w="3440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ESTACIÓN GPU 32 GB (LOCAL)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GPU L4 EN AWS EE.UU. (24×7)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Inversión inicial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$7,5 MM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mensual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$30.000 – 60.000 (energía)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$679.000 c/IVA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a 1 año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$7,9 – 8,2 MM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$8,2 MM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Costo a 4 años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$8,9 – 10,4 MM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$32,6 MM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Datos fuera de Chile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Sí (requiere cláusulas y evaluación)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El equipo local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iguala el costo de la nube en ≈ 1 año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y a 4 años cuesta cerca de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un tercio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Su vida útil esperada es de 4 a 5 años.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7840"/>
      </w:tblGrid>
      <w:tr>
        <w:trPr>
          <w:tblHeader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Inversión acotada y única (≈ $7,5 MM) que sirve a todas las aplicaciones del portal, sin costo por uso ni transferencia de datos. El escenario mínimo permite empezar con $0 en equipo.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planificación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Planificación: carta Gantt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compra del equipo es el camino crítico: hay que empezar sin esperarlo.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Ordenar en diciembre y enero la gobernanza, la compra, el prototipo y los primeros casos de uso.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Carta Gantt semanal de diciembre de 2026 a enero de 2027.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637"/>
        <w:gridCol w:w="637"/>
        <w:gridCol w:w="637"/>
        <w:gridCol w:w="637"/>
        <w:gridCol w:w="637"/>
        <w:gridCol w:w="637"/>
        <w:gridCol w:w="637"/>
        <w:gridCol w:w="637"/>
        <w:gridCol w:w="644"/>
      </w:tblGrid>
      <w:tr>
        <w:trPr>
          <w:tblHeader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1–4 dic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7–11 dic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14–18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21–25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28 dic–1 ene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4–8 ene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11–15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18–22</w:t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25–29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Factibilidad y gobernanza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12 · este informe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Política de uso de IA y comité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Evaluación de impacto (U1–U4)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Equipo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Especificación, cotización y compra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Recepción e instalación con TI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Construcción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13 · técnico del portal con IA local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Prototipo en CPU: pasarela, modelo 8B y base de normativa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Paso a GPU y modelos de 14B a 32B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Integración en el portal: U1, U2 y U4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LAYA de licencias sobre GPU (U3)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Piloto y cierre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Piloto con el equipo GDP-SLEP y SLEP piloto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Cierre de la Fase 3 y del proyecto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Informe 12 (2-dic) · Informe 13 (mediados de diciembre) · cierre de la Fase 3 (29-ene-2027). Feriados: 8 y 25 de diciembre, 1 de enero. Si el equipo no llega en la primera semana de enero, el piloto se hace con el prototipo en CPU.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de la Fase 3: IA local.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IA agrega riesgos propios: respuestas incorrectas, usos no previstos y dependencia.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Anticiparlos y definir su tratamiento.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700"/>
        <w:gridCol w:w="900"/>
        <w:gridCol w:w="1000"/>
        <w:gridCol w:w="34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Respuestas incorrectas presentadas como ciertas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Respuestas con cita del documento fuente; aviso de verificación; evaluación periódica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Uso para decisiones sobre personas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Política de uso; casos de uso cerrados; registro y revisión del comité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Filtración de datos entre usuarios o SLEP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Pasarela con permisos y alcance; la IA solo ve lo que el usuario puede ver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Instrucciones maliciosas en documentos o textos (inyección)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acciones automáticas; aprobación humana; filtros en la pasarela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compra del equipo se demora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Prototipo en CPU; licitación iniciada en la primera semana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Alza del precio o falta de stock de GPU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Cotizar alternativas (RTX 5090, RTX 6000, L40S); opción C como respaldo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Licencias de modelos con restricciones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Preferir Apache-2.0; revisión del Anexo A antes de usar otro modelo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Nueva ley de IA con obligaciones adicionales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Evaluación de impacto y transparencia desde ahora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I9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Dependencia de una sola persona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Cargo permanente para 2027; documentación y traspaso a TI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Conclusiones y decisiones solicitadas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Terminar con una decisión y con la compra en marcha.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Aprobar la IA local y sus primeras acciones.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de las cuatro dimensiones.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40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DIMENSIÓN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Técnica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Operativa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Legal y normativa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Con condiciones</w:t>
            </w:r>
          </w:p>
        </w:tc>
      </w:tr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Económica</w:t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● Factible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IA local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factible y recomendable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resuelve por diseño la transferencia de datos, cuesta una inversión única cercana 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$7,5 MM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la nube igualaría en un año, y potencia todas las aplicaciones de GDP-SLEP Studio. Su condición principal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gobernarla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casos de uso cerrados, humano en el circuito y un responsable permanente.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Decisiones que se solicitan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Aprobar</w:t>
      </w:r>
      <w:r>
        <w:rPr>
          <w:color w:val="334155"/>
          <w:sz w:val="18"/>
          <w:szCs w:val="18"/>
        </w:rPr>
        <w:t xml:space="preserve"> la IA local con los casos de uso U1 a U4 para enero de 2027 y U5–U6 para después.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Iniciar la compra</w:t>
      </w:r>
      <w:r>
        <w:rPr>
          <w:color w:val="334155"/>
          <w:sz w:val="18"/>
          <w:szCs w:val="18"/>
        </w:rPr>
        <w:t xml:space="preserve"> de una estación con GPU de 32 GB (escenario recomendado) por convenio marco o licitación.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Aprobar</w:t>
      </w:r>
      <w:r>
        <w:rPr>
          <w:color w:val="334155"/>
          <w:sz w:val="18"/>
          <w:szCs w:val="18"/>
        </w:rPr>
        <w:t xml:space="preserve"> la política mínima de uso de IA (Anexo B) y constituir el comité de IA.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Solicitar a TI</w:t>
      </w:r>
      <w:r>
        <w:rPr>
          <w:color w:val="334155"/>
          <w:sz w:val="18"/>
          <w:szCs w:val="18"/>
        </w:rPr>
        <w:t xml:space="preserve"> el espacio, la energía y la red para el equipo, y la máquina virtual para el prototipo.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Iniciar</w:t>
      </w:r>
      <w:r>
        <w:rPr>
          <w:color w:val="334155"/>
          <w:sz w:val="18"/>
          <w:szCs w:val="18"/>
        </w:rPr>
        <w:t xml:space="preserve"> la evaluación de impacto de los casos U1 a U4.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Prever</w:t>
      </w:r>
      <w:r>
        <w:rPr>
          <w:color w:val="334155"/>
          <w:sz w:val="18"/>
          <w:szCs w:val="18"/>
        </w:rPr>
        <w:t xml:space="preserve"> para 2027 un cargo permanente de responsable de IA y del portal.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 FINAL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Aprobar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IA local orquestadora</w:t>
            </w:r>
            <w:r>
              <w:rPr>
                <w:color w:val="334155"/>
                <w:sz w:val="19"/>
                <w:szCs w:val="19"/>
              </w:rPr>
              <w:t xml:space="preserve"> como parte de la Fase 3 de GDP-SLEP Studio, con prototipo en diciembre, equipo con GPU en enero y cierre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29 de enero de 2027</w:t>
            </w:r>
            <w:r>
              <w:rPr>
                <w:color w:val="334155"/>
                <w:sz w:val="19"/>
                <w:szCs w:val="19"/>
              </w:rPr>
              <w:t xml:space="preserve">, según el diseño del Informe 13.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Anexo A · Modelos candidatos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1700"/>
        <w:gridCol w:w="2400"/>
        <w:gridCol w:w="31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MODELO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TAMAÑOS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LICENCIA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Qwen3 (Alibaba)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8B · 14B · 32B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Recomendado: buen español y licencia sin restricciones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Llama 3.1 / 3.3 (Meta)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8B · 70B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Llama Community License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Exige atribución y aceptar política de uso; revisar antes de usar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Mistral (modelos abiertos)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7B · 24B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 (según modelo)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Verificar la licencia de cada versión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Gemma (Google)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Varios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Términos propios de Gemma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Revisar restricciones de uso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Modelos de embeddings abiertos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Apache-2.0 o MIT</w:t>
            </w:r>
          </w:p>
        </w:tc>
        <w:tc>
          <w:tcPr>
            <w:tcW w:type="dxa" w:w="31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Para la búsqueda en documentos (RAG)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La elección final se hará con una </w:t>
      </w:r>
      <w:r>
        <w:rPr>
          <w:rFonts w:ascii="Calibri" w:cs="Calibri" w:eastAsia="Calibri" w:hAnsi="Calibri"/>
          <w:b/>
          <w:bCs/>
          <w:color w:val="0F172A"/>
          <w:sz w:val="17"/>
          <w:szCs w:val="17"/>
        </w:rPr>
        <w:t xml:space="preserve">evaluación propia</w:t>
      </w:r>
      <w:r>
        <w:rPr>
          <w:rFonts w:ascii="Calibri" w:cs="Calibri" w:eastAsia="Calibri" w:hAnsi="Calibri"/>
          <w:color w:val="334155"/>
          <w:sz w:val="17"/>
          <w:szCs w:val="17"/>
        </w:rPr>
        <w:t xml:space="preserve"> en español sobre preguntas reales de GDP-SLEP (precisión, citas correctas, tiempo de respuesta), documentada en el Informe 13.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B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Anexo B · Política mínima de uso de IA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400"/>
        <w:gridCol w:w="56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PRINCIPIO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 LA PRÁCTICA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asiste; las personas deciden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Ninguna acción ni decisión sin aprobación humana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Casos de uso aprobados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los casos U aprobados por la jefatura y el comité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Datos mínimos y locales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diagnóstico; seudónimos cuando corresponda; nada fuera de la DEP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4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Mismos permisos que el usuario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no ve lo que el usuario no puede ver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5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Respuestas verificables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 cita del documento de origen; aviso de verificar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6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Transparencia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Ficha por caso de uso: finalidad, datos, modelo, intervención humana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7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Registro y revisión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Registro de propuestas y decisiones; revisión periódica del comité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8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Reporte de incidentes</w:t>
            </w:r>
          </w:p>
        </w:tc>
        <w:tc>
          <w:tcPr>
            <w:tcW w:type="dxa" w:w="5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Toda respuesta dañina o filtración se reporta según el protocolo de TI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12  ·  FACTIBILIDAD IA LOCAL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12 — Factibilidad de la IA local orquestadora de GDP-SLEP Studio</dc:title>
  <dc:subject>GDP-SLEP Studio</dc:subject>
  <dc:creator>César Torres</dc:creator>
  <dc:description>Factibilidad técnica, operativa, legal y económica de una IA local que asista y orqueste las aplicaciones de GDP-SLEP Studio</dc:description>
  <cp:lastModifiedBy>Un-named</cp:lastModifiedBy>
  <cp:revision>1</cp:revision>
  <dcterms:created xsi:type="dcterms:W3CDTF">2026-10-02T21:13:30.654Z</dcterms:created>
  <dcterms:modified xsi:type="dcterms:W3CDTF">2026-10-02T21:13:30.662Z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