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  <w:r>
        <w:rPr>
          <w:rFonts w:ascii="Consolas" w:cs="Consolas" w:eastAsia="Consolas" w:hAnsi="Consolas"/>
          <w:color w:val="0D9488"/>
          <w:sz w:val="18"/>
          <w:szCs w:val="18"/>
        </w:rPr>
        <w:t xml:space="preserve">&gt; gdp-slep-studio / portal / tecnico-ia-local</w:t>
      </w:r>
    </w:p>
    <w:p>
      <w:pPr>
        <w:spacing w:after="240"/>
      </w:pPr>
      <w:r>
        <w:rPr>
          <w:rFonts w:ascii="Consolas" w:cs="Consolas" w:eastAsia="Consolas" w:hAnsi="Consolas"/>
          <w:b/>
          <w:bCs/>
          <w:color w:val="64748B"/>
          <w:spacing w:val="40"/>
          <w:sz w:val="18"/>
          <w:szCs w:val="18"/>
        </w:rPr>
        <w:t xml:space="preserve">INFORME 13  ·  SERIE DE INFORMES GDP-SLEP STUDIO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0F172A"/>
          <w:sz w:val="80"/>
          <w:szCs w:val="80"/>
        </w:rPr>
        <w:t xml:space="preserve">GDP-SLEP Studio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F172A"/>
          <w:sz w:val="80"/>
          <w:szCs w:val="80"/>
        </w:rPr>
        <w:t xml:space="preserve">con IA local</w:t>
      </w:r>
    </w:p>
    <w:p>
      <w:pPr>
        <w:pBdr>
          <w:bottom w:val="single" w:color="0D9488" w:sz="24" w:space="1"/>
        </w:pBdr>
        <w:spacing w:after="300"/>
        <w:ind w:right="8340"/>
      </w:pPr>
    </w:p>
    <w:p>
      <w:pPr>
        <w:spacing w:after="120"/>
      </w:pPr>
      <w:r>
        <w:rPr>
          <w:rFonts w:ascii="Calibri" w:cs="Calibri" w:eastAsia="Calibri" w:hAnsi="Calibri"/>
          <w:color w:val="0D9488"/>
          <w:sz w:val="30"/>
          <w:szCs w:val="30"/>
        </w:rPr>
        <w:t xml:space="preserve">Informe técnico del portal orquestador y su inteligencia artificial local</w:t>
      </w:r>
    </w:p>
    <w:p>
      <w:pPr>
        <w:spacing w:after="1000" w:line="29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Arquitectura del portal, servicios comunes, integración de aplicaciones, IA local (pasarela, modelos, búsqueda en documentos y acciones propuestas), seguridad, evaluación de calidad, despliegue, carta Gantt y costos completos.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ORGANIZACIÓN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Dirección de Educación Pública (DEP)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UNIDAD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Subdepartamento de Gestión y Desarrollo de Personas para los SLEP (GDP-SLEP)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PROYECTO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GDP-SLEP Studio · Fase 3: Portal orquestador e IA local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TIPO DE INFORME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Informe técnico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César Torres · Desarrollador (honorarios)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DIRIGIDO 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Claudia Manzano · Jefatura directa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DESTINATARIO TÉCNICO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Equipo de TI de la DEP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PERÍODO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Diciembre de 2026 – enero de 2027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FECHA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16 de diciembre de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VERSIÓN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1.0</w:t>
            </w:r>
          </w:p>
        </w:tc>
      </w:tr>
    </w:tbl>
    <w:p>
      <w:pPr>
        <w:spacing w:after="500"/>
      </w:pPr>
    </w:p>
    <w:p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Último informe de la serie. Uso interno.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DOCUMENTO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ficha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Ficha del documento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7340"/>
      </w:tblGrid>
      <w:tr>
        <w:trPr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CAMPO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Título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Informe 13 — Informe técnico de GDP-SLEP Studio con IA local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Serie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Decimotercer y último informe. Detalla la Fase 3 evaluada en el Informe 12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Objeto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Especificar cómo se construye el portal orquestador que reúne las aplicaciones de GDP-SLEP Studio y su IA local, cómo se protege, cómo se evalúa, cómo se instala y cuánto cuesta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Período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Diciembre de 2026 – enero de 2027 (41 días hábiles)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César Torres, Desarrollador a honorarios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Dirigido a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Claudia Manzano, Jefatura directa · copia técnica a TI de la DEP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Reglas de diseño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Un solo portal, un solo ingreso y una sola seguridad para todas las aplicaciones; la IA ve solo lo que ve el usuario y propone, nunca ejecuta sola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Base existente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Validador transformado (Informe 07) · módulo Licencias y orquestador de tareas (Informes 09 a 11) · LAYA (Informe 10)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Informes relacionados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Informe 02 (visión del portal) · Informe 07 · Informes 09 a 11 · Informe 12 (factibilidad de la IA local)</w:t>
            </w:r>
          </w:p>
        </w:tc>
      </w:tr>
    </w:tbl>
    <w:p>
      <w:pPr>
        <w:spacing w:after="120" w:before="0" w:line="12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Lugar de este informe en la serie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850"/>
        <w:gridCol w:w="260"/>
        <w:gridCol w:w="1850"/>
        <w:gridCol w:w="260"/>
        <w:gridCol w:w="1850"/>
        <w:gridCol w:w="260"/>
        <w:gridCol w:w="1850"/>
        <w:gridCol w:w="260"/>
        <w:gridCol w:w="1200"/>
      </w:tblGrid>
      <w:tr>
        <w:trPr>
          <w:cantSplit/>
        </w:trPr>
        <w:tc>
          <w:tcPr>
            <w:tcW w:type="dxa" w:w="18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JUN – JUL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Informes 00–05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Marco, diagnóstico y PMV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18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SEPTIEMBRE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Informes 06–07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Validador institucional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18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OCT – NOV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Informes 08–11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Licencias médicas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185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2 DE DICIEMBRE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 12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Factibilidad IA local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1200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16 DE DICIEMBRE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 13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Portal + IA local</w:t>
            </w:r>
          </w:p>
        </w:tc>
      </w:tr>
    </w:tbl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1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El Informe 13 cierra la serie con el centro del proyecto: el portal.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DOCUMENTO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índice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Índice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874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3"/>
                <w:szCs w:val="23"/>
              </w:rPr>
              <w:t xml:space="preserve">01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Resumen técnico</w:t>
            </w:r>
          </w:p>
          <w:p>
            <w:r>
              <w:rPr>
                <w:color w:val="64748B"/>
                <w:sz w:val="16"/>
                <w:szCs w:val="16"/>
              </w:rPr>
              <w:t xml:space="preserve">El portal con IA local en dos páginas.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3"/>
                <w:szCs w:val="23"/>
              </w:rPr>
              <w:t xml:space="preserve">02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Arquitectura del portal</w:t>
            </w:r>
          </w:p>
          <w:p>
            <w:r>
              <w:rPr>
                <w:color w:val="64748B"/>
                <w:sz w:val="16"/>
                <w:szCs w:val="16"/>
              </w:rPr>
              <w:t xml:space="preserve">Capas, aplicaciones y servicios comunes.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3"/>
                <w:szCs w:val="23"/>
              </w:rPr>
              <w:t xml:space="preserve">03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Servicios comunes</w:t>
            </w:r>
          </w:p>
          <w:p>
            <w:r>
              <w:rPr>
                <w:color w:val="64748B"/>
                <w:sz w:val="16"/>
                <w:szCs w:val="16"/>
              </w:rPr>
              <w:t xml:space="preserve">Lo que comparten todas las aplicaciones.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3"/>
                <w:szCs w:val="23"/>
              </w:rPr>
              <w:t xml:space="preserve">04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Integración de aplicaciones</w:t>
            </w:r>
          </w:p>
          <w:p>
            <w:r>
              <w:rPr>
                <w:color w:val="64748B"/>
                <w:sz w:val="16"/>
                <w:szCs w:val="16"/>
              </w:rPr>
              <w:t xml:space="preserve">Contrato para sumar una aplicación al portal.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3"/>
                <w:szCs w:val="23"/>
              </w:rPr>
              <w:t xml:space="preserve">05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IA local: componentes</w:t>
            </w:r>
          </w:p>
          <w:p>
            <w:r>
              <w:rPr>
                <w:color w:val="64748B"/>
                <w:sz w:val="16"/>
                <w:szCs w:val="16"/>
              </w:rPr>
              <w:t xml:space="preserve">Pasarela, modelos, búsqueda en documentos y LAYA.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3"/>
                <w:szCs w:val="23"/>
              </w:rPr>
              <w:t xml:space="preserve">06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Flujos de la IA</w:t>
            </w:r>
          </w:p>
          <w:p>
            <w:r>
              <w:rPr>
                <w:color w:val="64748B"/>
                <w:sz w:val="16"/>
                <w:szCs w:val="16"/>
              </w:rPr>
              <w:t xml:space="preserve">Una consulta y una acción propuesta, paso a paso.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3"/>
                <w:szCs w:val="23"/>
              </w:rPr>
              <w:t xml:space="preserve">07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Modelo de datos</w:t>
            </w:r>
          </w:p>
          <w:p>
            <w:r>
              <w:rPr>
                <w:color w:val="64748B"/>
                <w:sz w:val="16"/>
                <w:szCs w:val="16"/>
              </w:rPr>
              <w:t xml:space="preserve">Entidades nuevas del portal y de la IA.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3"/>
                <w:szCs w:val="23"/>
              </w:rPr>
              <w:t xml:space="preserve">08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Seguridad y cumplimiento</w:t>
            </w:r>
          </w:p>
          <w:p>
            <w:r>
              <w:rPr>
                <w:color w:val="64748B"/>
                <w:sz w:val="16"/>
                <w:szCs w:val="16"/>
              </w:rPr>
              <w:t xml:space="preserve">Controles y riesgos propios de los modelos de lenguaje.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3"/>
                <w:szCs w:val="23"/>
              </w:rPr>
              <w:t xml:space="preserve">09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Evaluación de calidad</w:t>
            </w:r>
          </w:p>
          <w:p>
            <w:r>
              <w:rPr>
                <w:color w:val="64748B"/>
                <w:sz w:val="16"/>
                <w:szCs w:val="16"/>
              </w:rPr>
              <w:t xml:space="preserve">Cómo se elige el modelo y se controla su calidad.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3"/>
                <w:szCs w:val="23"/>
              </w:rPr>
              <w:t xml:space="preserve">10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Despliegue</w:t>
            </w:r>
          </w:p>
          <w:p>
            <w:r>
              <w:rPr>
                <w:color w:val="64748B"/>
                <w:sz w:val="16"/>
                <w:szCs w:val="16"/>
              </w:rPr>
              <w:t xml:space="preserve">Equipo, software y servicios.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3"/>
                <w:szCs w:val="23"/>
              </w:rPr>
              <w:t xml:space="preserve">11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Carta Gantt detallada</w:t>
            </w:r>
          </w:p>
          <w:p>
            <w:r>
              <w:rPr>
                <w:color w:val="64748B"/>
                <w:sz w:val="16"/>
                <w:szCs w:val="16"/>
              </w:rPr>
              <w:t xml:space="preserve">Diciembre de 2026 – enero de 2027.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3"/>
                <w:szCs w:val="23"/>
              </w:rPr>
              <w:t xml:space="preserve">12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Costos detallados</w:t>
            </w:r>
          </w:p>
          <w:p>
            <w:r>
              <w:rPr>
                <w:color w:val="64748B"/>
                <w:sz w:val="16"/>
                <w:szCs w:val="16"/>
              </w:rPr>
              <w:t xml:space="preserve">Personas, equipo, operación, 5 años y costo total del proyecto.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3"/>
                <w:szCs w:val="23"/>
              </w:rPr>
              <w:t xml:space="preserve">13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Riesgos y mitigaciones</w:t>
            </w:r>
          </w:p>
          <w:p>
            <w:r>
              <w:rPr>
                <w:color w:val="64748B"/>
                <w:sz w:val="16"/>
                <w:szCs w:val="16"/>
              </w:rPr>
              <w:t xml:space="preserve">Riesgos del portal y de la IA.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3"/>
                <w:szCs w:val="23"/>
              </w:rPr>
              <w:t xml:space="preserve">14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Conclusiones y hoja de ruta 2027</w:t>
            </w:r>
          </w:p>
          <w:p>
            <w:r>
              <w:rPr>
                <w:color w:val="64748B"/>
                <w:sz w:val="16"/>
                <w:szCs w:val="16"/>
              </w:rPr>
              <w:t xml:space="preserve">Cierre de la serie.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55"/>
              <w:left w:type="dxa" w:w="0"/>
              <w:bottom w:type="dxa" w:w="55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3"/>
                <w:szCs w:val="23"/>
              </w:rPr>
              <w:t xml:space="preserve">A–B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55"/>
              <w:left w:type="dxa" w:w="110"/>
              <w:bottom w:type="dxa" w:w="5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0F172A"/>
                <w:sz w:val="20"/>
                <w:szCs w:val="20"/>
              </w:rPr>
              <w:t xml:space="preserve">Anexos</w:t>
            </w:r>
          </w:p>
          <w:p>
            <w:r>
              <w:rPr>
                <w:color w:val="64748B"/>
                <w:sz w:val="16"/>
                <w:szCs w:val="16"/>
              </w:rPr>
              <w:t xml:space="preserve">Servicios nuevos · Ficha de transparencia por caso de uso.</w:t>
            </w:r>
          </w:p>
        </w:tc>
      </w:tr>
    </w:tbl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01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resumen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Resumen técnico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Hoy existen aplicaciones separadas; el proyecto siempre tuvo como centro un portal que las reúna y una IA que las conecte.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Especificar cómo construir ese portal y su IA local sobre lo ya hecho.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Portal Angular/NestJS con servicios comunes, aplicaciones como módulos y una IA local detrás de una pasarela con permisos.</w:t>
            </w:r>
          </w:p>
        </w:tc>
      </w:tr>
    </w:tbl>
    <w:p>
      <w:pPr>
        <w:spacing w:after="14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GDP-SLEP Studio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pasa a ser un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portal único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: un ingreso, un menú, una seguridad y un registro para todas las aplicaciones. El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Validador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y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Licencias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se integran como módulos y las futuras aplicaciones se suman con un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contrato de integración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 La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IA local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—modelos abiertos en una estación con GPU de la DEP— funciona detrás de una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pasarela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que aplica los permisos y el alcance del usuario, busca en la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base de conocimiento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de la DEP y solo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propone acciones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que una persona aprueba.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10"/>
        <w:gridCol w:w="2410"/>
        <w:gridCol w:w="2410"/>
        <w:gridCol w:w="2410"/>
      </w:tblGrid>
      <w:tr>
        <w:trPr>
          <w:cantSplit/>
        </w:trPr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1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portal, un ingreso y una seguridad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4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casos de uso de IA en enero (U1–U4)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0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datos fuera de la DEP</w:t>
            </w:r>
          </w:p>
        </w:tc>
        <w:tc>
          <w:tcPr>
            <w:tcW w:type="dxa" w:w="2410"/>
            <w:tcBorders>
              <w:top w:val="single" w:color="0F172A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60"/>
              <w:bottom w:type="dxa" w:w="80"/>
              <w:right w:type="dxa" w:w="11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40"/>
                <w:szCs w:val="40"/>
              </w:rPr>
              <w:t xml:space="preserve">≈ $9,9 MM</w:t>
            </w:r>
          </w:p>
          <w:p>
            <w:pPr>
              <w:spacing w:after="0" w:line="240"/>
            </w:pPr>
            <w:r>
              <w:rPr>
                <w:color w:val="64748B"/>
                <w:sz w:val="16"/>
                <w:szCs w:val="16"/>
              </w:rPr>
              <w:t xml:space="preserve">costo de la Fase 3</w:t>
            </w:r>
          </w:p>
        </w:tc>
      </w:tr>
    </w:tbl>
    <w:p>
      <w:pPr>
        <w:spacing w:after="160" w:before="0" w:line="12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Decisiones de diseño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3800"/>
        <w:gridCol w:w="3540"/>
      </w:tblGrid>
      <w:tr>
        <w:trPr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DECISIÓN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ELECCIÓN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MOTIVO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Estructura del portal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Un solo proyecto Angular y uno NestJS, con una carpeta por aplicación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Un equipo pequeño mantiene un solo código; separación por módulos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Ingreso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Cuenta local hoy; ClaveÚnica (OpenID Connect) cuando TI obtenga las credenciales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DS 9/2023; trámite en curso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Servidor de modelos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Ollama en el prototipo; vLLM en la GPU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vLLM atiende varias consultas a la vez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Modelo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Qwen3 14B o 32B (Apache-2.0), según la evaluación de la sección 09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Licencia sin restricciones; buen español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Búsqueda en documentos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Embeddings abiertos + Qdrant (Apache-2.0)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MySQL no ofrece búsqueda vectorial en la versión usada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Acciones</w:t>
            </w:r>
          </w:p>
        </w:tc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La IA propone; la aplicación ejecuta tras la aprobación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Ley 21.719 art. 8 bis; política de uso (Informe 12)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CONCLUSIÓN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El portal con IA local es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construible en diciembre y enero</w:t>
            </w:r>
            <w:r>
              <w:rPr>
                <w:color w:val="334155"/>
                <w:sz w:val="19"/>
                <w:szCs w:val="19"/>
              </w:rPr>
              <w:t xml:space="preserve"> sobre la base ya existente, con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≈ $2,4 MM</w:t>
            </w:r>
            <w:r>
              <w:rPr>
                <w:color w:val="334155"/>
                <w:sz w:val="19"/>
                <w:szCs w:val="19"/>
              </w:rPr>
              <w:t xml:space="preserve"> de desarrollo y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≈ $7,5 MM</w:t>
            </w:r>
            <w:r>
              <w:rPr>
                <w:color w:val="334155"/>
                <w:sz w:val="19"/>
                <w:szCs w:val="19"/>
              </w:rPr>
              <w:t xml:space="preserve"> de equipo. Al 29 de enero de 2027 quedaría operativo con los casos U1 a U4 y listo para sumar nuevas aplicaciones en 2027.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02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arquitectura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Arquitectura del portal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Si cada aplicación resuelve por su cuenta el ingreso, los permisos y el registro, el ecosistema se fragmenta.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Mostrar cómo el portal concentra lo común y deja a cada aplicación solo lo propio.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Arquitectura en capas sobre el stack aprobado por TI (Informe 07).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700"/>
        <w:gridCol w:w="1980"/>
        <w:gridCol w:w="1980"/>
        <w:gridCol w:w="1980"/>
        <w:gridCol w:w="2000"/>
      </w:tblGrid>
      <w:tr>
        <w:trPr>
          <w:cantSplit/>
        </w:trPr>
        <w:tc>
          <w:tcPr>
            <w:tcW w:type="dxa" w:w="170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CFBF1"/>
                <w:sz w:val="13"/>
                <w:szCs w:val="13"/>
              </w:rPr>
              <w:t xml:space="preserve">CAPA 1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Interfaz</w:t>
            </w:r>
          </w:p>
          <w:p>
            <w:pPr>
              <w:spacing w:after="0" w:line="230"/>
              <w:jc w:val="left"/>
            </w:pPr>
            <w:r>
              <w:rPr>
                <w:color w:val="94A3B8"/>
                <w:sz w:val="14"/>
                <w:szCs w:val="14"/>
              </w:rPr>
              <w:t xml:space="preserve">Angular</w:t>
            </w:r>
          </w:p>
        </w:tc>
        <w:tc>
          <w:tcPr>
            <w:tcW w:type="dxa" w:w="1980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Shell del portal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ingreso, menú, notificaciones, asistente</w:t>
            </w:r>
          </w:p>
        </w:tc>
        <w:tc>
          <w:tcPr>
            <w:tcW w:type="dxa" w:w="19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App Validador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Informes 06–07</w:t>
            </w:r>
          </w:p>
        </w:tc>
        <w:tc>
          <w:tcPr>
            <w:tcW w:type="dxa" w:w="19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App Licencias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Informes 09–11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Apps futuras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solicitudes, nóminas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CFBF1"/>
                <w:sz w:val="13"/>
                <w:szCs w:val="13"/>
              </w:rPr>
              <w:t xml:space="preserve">CAPA 2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Servicios</w:t>
            </w:r>
          </w:p>
          <w:p>
            <w:pPr>
              <w:spacing w:after="0" w:line="230"/>
              <w:jc w:val="left"/>
            </w:pPr>
            <w:r>
              <w:rPr>
                <w:color w:val="94A3B8"/>
                <w:sz w:val="14"/>
                <w:szCs w:val="14"/>
              </w:rPr>
              <w:t xml:space="preserve">NestJS</w:t>
            </w:r>
          </w:p>
        </w:tc>
        <w:tc>
          <w:tcPr>
            <w:tcW w:type="dxa" w:w="3960"/>
            <w:gridSpan w:val="2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Servicios comunes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identidad · usuarios y perfiles · auditoría · notificaciones · archivos · calendario hábil · orquestador de tareas</w:t>
            </w:r>
          </w:p>
        </w:tc>
        <w:tc>
          <w:tcPr>
            <w:tcW w:type="dxa" w:w="19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Módulos de aplicación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validador · licencias · …</w:t>
            </w:r>
          </w:p>
        </w:tc>
        <w:tc>
          <w:tcPr>
            <w:tcW w:type="dxa" w:w="2000"/>
            <w:tcBorders>
              <w:top w:val="single" w:color="0D9488" w:sz="6"/>
              <w:left w:val="single" w:color="0D9488" w:sz="6"/>
              <w:bottom w:val="single" w:color="0D9488" w:sz="6"/>
              <w:right w:val="single" w:color="0D9488" w:sz="6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Pasarela de IA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permisos, filtros, registro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F172A" w:sz="6"/>
              <w:left w:val="single" w:color="0F172A" w:sz="6"/>
              <w:bottom w:val="single" w:color="0F172A" w:sz="6"/>
              <w:right w:val="single" w:color="0F172A" w:sz="6"/>
            </w:tcBorders>
            <w:shd w:fill="0F172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CFBF1"/>
                <w:sz w:val="13"/>
                <w:szCs w:val="13"/>
              </w:rPr>
              <w:t xml:space="preserve">CAPA 3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Datos e IA</w:t>
            </w:r>
          </w:p>
          <w:p>
            <w:pPr>
              <w:spacing w:after="0" w:line="230"/>
              <w:jc w:val="left"/>
            </w:pPr>
            <w:r>
              <w:rPr>
                <w:color w:val="94A3B8"/>
                <w:sz w:val="14"/>
                <w:szCs w:val="14"/>
              </w:rPr>
              <w:t xml:space="preserve">servidor de TI · estación GPU</w:t>
            </w:r>
          </w:p>
        </w:tc>
        <w:tc>
          <w:tcPr>
            <w:tcW w:type="dxa" w:w="19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MySQL 8.4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datos de todas las apps</w:t>
            </w:r>
          </w:p>
        </w:tc>
        <w:tc>
          <w:tcPr>
            <w:tcW w:type="dxa" w:w="19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Qdrant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índice de documentos</w:t>
            </w:r>
          </w:p>
        </w:tc>
        <w:tc>
          <w:tcPr>
            <w:tcW w:type="dxa" w:w="198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Motor de licencias + LAYA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vLLM + Qwen3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estación con GPU</w:t>
            </w:r>
          </w:p>
        </w:tc>
      </w:tr>
    </w:tbl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2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Arquitectura del portal GDP-SLEP Studio con IA local.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2.1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Principios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0F172A"/>
          <w:sz w:val="18"/>
          <w:szCs w:val="18"/>
        </w:rPr>
        <w:t xml:space="preserve">Lo común, una vez:</w:t>
      </w:r>
      <w:r>
        <w:rPr>
          <w:color w:val="334155"/>
          <w:sz w:val="18"/>
          <w:szCs w:val="18"/>
        </w:rPr>
        <w:t xml:space="preserve"> identidad, permisos, auditoría y notificaciones viven en el portal, no en cada aplicación.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0F172A"/>
          <w:sz w:val="18"/>
          <w:szCs w:val="18"/>
        </w:rPr>
        <w:t xml:space="preserve">Aplicaciones como módulos:</w:t>
      </w:r>
      <w:r>
        <w:rPr>
          <w:color w:val="334155"/>
          <w:sz w:val="18"/>
          <w:szCs w:val="18"/>
        </w:rPr>
        <w:t xml:space="preserve"> cada aplicación tiene su carpeta en Angular y en NestJS, y se registra con un manifiesto (sección 04).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0F172A"/>
          <w:sz w:val="18"/>
          <w:szCs w:val="18"/>
        </w:rPr>
        <w:t xml:space="preserve">La IA no es una puerta lateral:</w:t>
      </w:r>
      <w:r>
        <w:rPr>
          <w:color w:val="334155"/>
          <w:sz w:val="18"/>
          <w:szCs w:val="18"/>
        </w:rPr>
        <w:t xml:space="preserve"> consulta datos solo a través de los servicios del portal, con la identidad del usuario.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0F172A"/>
          <w:sz w:val="18"/>
          <w:szCs w:val="18"/>
        </w:rPr>
        <w:t xml:space="preserve">Mismo stack que el Validador:</w:t>
      </w:r>
      <w:r>
        <w:rPr>
          <w:color w:val="334155"/>
          <w:sz w:val="18"/>
          <w:szCs w:val="18"/>
        </w:rPr>
        <w:t xml:space="preserve"> Angular, NestJS, MySQL y Docker, ya revisados por TI; Python solo donde ya existe (motor de licencias y LAYA).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03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servicios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Servicios comunes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Cada servicio común que se construye una vez ahorra trabajo en todas las aplicaciones siguientes.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Definir qué ofrece el portal a cada aplicación.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Catálogo de servicios con su origen y su estado.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00"/>
        <w:gridCol w:w="3700"/>
        <w:gridCol w:w="2000"/>
        <w:gridCol w:w="1840"/>
      </w:tblGrid>
      <w:tr>
        <w:trPr>
          <w:tblHeader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SERVICIO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QUÉ OFRECE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ORIGEN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Identidad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Ingreso con cuenta local; ClaveÚnica por OpenID Connect; sesión con token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Validador (Informe 07)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ClaveÚnica pendiente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Usuarios, perfiles y alcance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Perfil por aplicación y alcance por SLEP; superusuario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Validador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Se generaliza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Auditoría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Registro único de acciones de todas las aplicaciones y de la IA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Nuevo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Se construye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Notificaciones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Avisos en el portal y por correo institucional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Nuevo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Se construye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Archivos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Carga, validación y retención de archivos (Excel, CSV)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Validador y Licencias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Se generaliza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Calendario hábil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Días hábiles, feriados y vencimientos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Licencias (Informe 09)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Se generaliza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Orquestador de tareas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Cola, canales, reintentos y conmutación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Licencias (Informe 11)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Se generaliza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Pasarela de IA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Acceso controlado a modelos, documentos y herramientas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Nuevo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Se construye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3.1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Actualización del stack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Como se planificó en los Informes 06 y 07, en diciembre se actualiza la base a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Angular 21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(soporte hasta mayo de 2027) y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NestJS 11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, antes de construir el portal sobre ella. Se verifica con las mismas pruebas de paridad del Validador.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04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integración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Integración de aplicaciones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portal debe poder crecer sin que cada aplicación nueva sea un proyecto desde cero.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Fijar qué declara una aplicación para sumarse al portal.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Manifiesto de aplicación con rutas, permisos, menú, eventos y herramientas para la IA.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4.1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Manifiesto de aplicación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3700"/>
        <w:gridCol w:w="374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ELEMENTO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CONTENIDO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EJEMPLO (LICENCIAS)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Identificación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Nombre, versión, responsable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licencias · 1.0 · GDP-SLEP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Rutas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Páginas de la interfaz y servicios /api propios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/licencias · /api/licencias/*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Permisos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Permisos que la aplicación define para los perfiles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ver_casos · aprobar_envio · ver_tablero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Menú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Entrada en el menú del portal y su ícono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Licencias médicas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Eventos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Eventos que publica para notificaciones y auditoría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caso_por_vencer · envio_realizado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Herramientas para la IA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Consultas o acciones que la IA puede proponer, con su permiso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casos_por_vencer (consulta) · recordar_encargado (acción)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Datos sensibles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Campos que la pasarela nunca envía al modelo</w:t>
            </w:r>
          </w:p>
        </w:tc>
        <w:tc>
          <w:tcPr>
            <w:tcW w:type="dxa" w:w="3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rut · remuneraciones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4.2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Aplicaciones al cierre de la Fase 3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800"/>
        <w:gridCol w:w="3000"/>
        <w:gridCol w:w="384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APLICACIÓN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HERRAMIENTAS PARA LA IA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Validador de Formularios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Integrado como módulo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estado_del_mes · errores_por_slep · explicar_regla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Licencias médicas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Integrado según el camino elegido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casos_por_vencer · resumen_observacion · recordar_encargado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Asistente de normativa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Nuevo (U1)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buscar_documento · citar_fuente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Solicitudes de datos · nóminas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Planificadas para 2027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—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05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IA local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IA local: componentes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La calidad y la seguridad de la IA dependen más de lo que la rodea que del modelo mismo.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Describir cada componente de la IA local y su función.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Pasarela, servidor de modelos, búsqueda en documentos, herramientas y LAYA.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00"/>
        <w:gridCol w:w="300"/>
        <w:gridCol w:w="2200"/>
        <w:gridCol w:w="300"/>
        <w:gridCol w:w="2200"/>
        <w:gridCol w:w="300"/>
        <w:gridCol w:w="2440"/>
      </w:tblGrid>
      <w:tr>
        <w:trPr>
          <w:cantSplit/>
        </w:trPr>
        <w:tc>
          <w:tcPr>
            <w:tcW w:type="dxa" w:w="19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Usuario en el portal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pregunta o pide ayuda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200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Pasarela de IA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identidad, permisos, filtros de datos, registro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Búsqueda en documentos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Qdrant: fragmentos citables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4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Modelo (vLLM)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redacta la respuesta con citas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Herramientas de las apps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consultas con el permiso del usuario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←</w:t>
            </w:r>
          </w:p>
        </w:tc>
        <w:tc>
          <w:tcPr>
            <w:tcW w:type="dxa" w:w="220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Propuesta de acción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queda pendiente de aprobación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44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Aplicación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ejecuta solo si se aprueba</w:t>
            </w:r>
          </w:p>
        </w:tc>
      </w:tr>
    </w:tbl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3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Componentes de la IA local y sentido de la información.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3000"/>
        <w:gridCol w:w="444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COMPONENTE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TECNOLOGÍA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FUNCIÓN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Pasarela de IA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Módulo NestJS + LiteLLM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Única entrada a los modelos: verifica identidad y alcance, quita datos sensibles, limita uso, registra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Servidor de modelos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Ollama (prototipo) · vLLM (GPU)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Sirve el modelo de lenguaje y el de embeddings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Modelo de lenguaje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Qwen3 14B o 32B cuantizado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Respuestas, resúmenes, clasificación y borradores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Ingesta de documentos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Python: lectura de PDF y Word, división en fragmentos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Normativa, circulares, manuales e informes de la serie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Índice de documentos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Qdrant + modelo de embeddings abierto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Encuentra los fragmentos que responden la pregunta, con su fuente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Herramientas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Declaradas en el manifiesto de cada aplicación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Consultas y acciones con permiso; las acciones quedan como propuesta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LAYA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Motor Python (Informe 10)</w:t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Clasificación de licencias usando el mismo servidor de modelos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06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flujos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Flujos de la IA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Un flujo explícito permite auditar qué vio la IA y qué hizo la persona.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Especificar paso a paso una consulta y una acción propuesta.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Secuencias con su control en cada paso.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6.1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Una consulta al asistente (U1)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"/>
        <w:gridCol w:w="4800"/>
        <w:gridCol w:w="4340"/>
      </w:tblGrid>
      <w:tr>
        <w:trPr>
          <w:tblHeader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PASO</w:t>
            </w:r>
          </w:p>
        </w:tc>
        <w:tc>
          <w:tcPr>
            <w:tcW w:type="dxa" w:w="4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CONTROL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1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El usuario pregunta en el asistente del portal</w:t>
            </w:r>
          </w:p>
        </w:tc>
        <w:tc>
          <w:tcPr>
            <w:tcW w:type="dxa" w:w="4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Sesión válida; caso de uso habilitado para su perfil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2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La pasarela busca fragmentos en el índice de documentos</w:t>
            </w:r>
          </w:p>
        </w:tc>
        <w:tc>
          <w:tcPr>
            <w:tcW w:type="dxa" w:w="4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Solo documentos de colecciones permitidas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3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La pasarela arma la instrucción con la pregunta y los fragmentos</w:t>
            </w:r>
          </w:p>
        </w:tc>
        <w:tc>
          <w:tcPr>
            <w:tcW w:type="dxa" w:w="4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Los documentos se tratan como datos, nunca como instrucciones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4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El modelo redacta la respuesta citando las fuentes</w:t>
            </w:r>
          </w:p>
        </w:tc>
        <w:tc>
          <w:tcPr>
            <w:tcW w:type="dxa" w:w="4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Si no hay fuente suficiente, responde que no sabe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5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El portal muestra la respuesta con enlaces a los documentos</w:t>
            </w:r>
          </w:p>
        </w:tc>
        <w:tc>
          <w:tcPr>
            <w:tcW w:type="dxa" w:w="4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Aviso de verificar; botón para reportar error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6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La pasarela registra pregunta, fuentes, modelo y tiempo</w:t>
            </w:r>
          </w:p>
        </w:tc>
        <w:tc>
          <w:tcPr>
            <w:tcW w:type="dxa" w:w="4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Retención de 90 días; sin datos sensibles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6.2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Una acción propuesta (U6, desde 2027)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0"/>
        <w:gridCol w:w="4800"/>
        <w:gridCol w:w="4340"/>
      </w:tblGrid>
      <w:tr>
        <w:trPr>
          <w:tblHeader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PASO</w:t>
            </w:r>
          </w:p>
        </w:tc>
        <w:tc>
          <w:tcPr>
            <w:tcW w:type="dxa" w:w="4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CONTROL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1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El usuario pide: "recuerda a los SLEP con el mes abierto"</w:t>
            </w:r>
          </w:p>
        </w:tc>
        <w:tc>
          <w:tcPr>
            <w:tcW w:type="dxa" w:w="4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Permiso del usuario sobre la herramienta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2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La IA consulta estado_del_mes con la identidad del usuario</w:t>
            </w:r>
          </w:p>
        </w:tc>
        <w:tc>
          <w:tcPr>
            <w:tcW w:type="dxa" w:w="4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Solo los SLEP de su alcance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3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La IA prepara la propuesta: destinatarios y texto del recordatorio</w:t>
            </w:r>
          </w:p>
        </w:tc>
        <w:tc>
          <w:tcPr>
            <w:tcW w:type="dxa" w:w="4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Queda pendiente; no se envía nada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4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El usuario revisa, corrige y aprueba o descarta</w:t>
            </w:r>
          </w:p>
        </w:tc>
        <w:tc>
          <w:tcPr>
            <w:tcW w:type="dxa" w:w="4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Aprobación explícita</w:t>
            </w:r>
          </w:p>
        </w:tc>
      </w:tr>
      <w:tr>
        <w:trPr>
          <w:cantSplit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5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La aplicación ejecuta la acción y la auditoría la registra</w:t>
            </w:r>
          </w:p>
        </w:tc>
        <w:tc>
          <w:tcPr>
            <w:tcW w:type="dxa" w:w="4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Registro de propuesta, decisión y resultado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07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datos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Modelo de datos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portal y la IA agregan información que también debe gobernarse.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Definir las entidades nuevas y su retención.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Tablas en MySQL e índice en Qdrant.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5100"/>
        <w:gridCol w:w="2240"/>
      </w:tblGrid>
      <w:tr>
        <w:trPr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ENTIDAD</w:t>
            </w:r>
          </w:p>
        </w:tc>
        <w:tc>
          <w:tcPr>
            <w:tcW w:type="dxa" w:w="5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COLUMNAS PRINCIPALES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RETENCIÓN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Aplicacion</w:t>
            </w:r>
          </w:p>
        </w:tc>
        <w:tc>
          <w:tcPr>
            <w:tcW w:type="dxa" w:w="5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id, nombre, versión, manifiesto (JSON), activa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Permanente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PermisoAplicacion</w:t>
            </w:r>
          </w:p>
        </w:tc>
        <w:tc>
          <w:tcPr>
            <w:tcW w:type="dxa" w:w="5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aplicacionId, código, descripción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Permanente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EventoAuditoria</w:t>
            </w:r>
          </w:p>
        </w:tc>
        <w:tc>
          <w:tcPr>
            <w:tcW w:type="dxa" w:w="5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fecha, usuario, aplicación, acción, objeto, resultado, origen (persona o IA)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Según norma de archivo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Notificacion</w:t>
            </w:r>
          </w:p>
        </w:tc>
        <w:tc>
          <w:tcPr>
            <w:tcW w:type="dxa" w:w="5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usuario, aplicación, texto, leída, fecha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1 año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Documento</w:t>
            </w:r>
          </w:p>
        </w:tc>
        <w:tc>
          <w:tcPr>
            <w:tcW w:type="dxa" w:w="5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id, título, colección, fuente, fecha de vigencia, hash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Mientras esté vigente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Fragmento (Qdrant)</w:t>
            </w:r>
          </w:p>
        </w:tc>
        <w:tc>
          <w:tcPr>
            <w:tcW w:type="dxa" w:w="5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documentoId, texto, vector, página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Igual que su documento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ConsultaIA</w:t>
            </w:r>
          </w:p>
        </w:tc>
        <w:tc>
          <w:tcPr>
            <w:tcW w:type="dxa" w:w="5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usuario, caso de uso, pregunta, fuentes citadas, modelo, tiempo, reporte de error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90 días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PropuestaAccion</w:t>
            </w:r>
          </w:p>
        </w:tc>
        <w:tc>
          <w:tcPr>
            <w:tcW w:type="dxa" w:w="5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usuario, herramienta, parámetros, estado (pendiente, aprobada, descartada), resultado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Según norma de archivo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CasoDeUsoIA</w:t>
            </w:r>
          </w:p>
        </w:tc>
        <w:tc>
          <w:tcPr>
            <w:tcW w:type="dxa" w:w="5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código, finalidad, datos, modelo, intervención humana, estado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Permanente (transparencia)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EvaluacionModelo</w:t>
            </w:r>
          </w:p>
        </w:tc>
        <w:tc>
          <w:tcPr>
            <w:tcW w:type="dxa" w:w="5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modelo, versión, fecha, métricas de la sección 09</w:t>
            </w:r>
          </w:p>
        </w:tc>
        <w:tc>
          <w:tcPr>
            <w:tcW w:type="dxa" w:w="2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Permanente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Las preguntas al asistente pueden contener datos personales escritos por el usuario: por eso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ConsultaIA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tiene retención corta y la pasarela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enmascara RUT y correos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antes de guardar y antes de enviar al modelo.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08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seguridad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Seguridad y cumplimiento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Los modelos de lenguaje tienen riesgos propios que los controles tradicionales no cubren.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Mostrar los controles frente a la norma y frente a los riesgos específicos de la IA.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Matriz normativa y contraste con OWASP Top 10 para aplicaciones con modelos de lenguaje (2025).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8.1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Cumplimiento normativo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300"/>
        <w:gridCol w:w="6340"/>
      </w:tblGrid>
      <w:tr>
        <w:trPr>
          <w:tblHeader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NORMA</w:t>
            </w:r>
          </w:p>
        </w:tc>
        <w:tc>
          <w:tcPr>
            <w:tcW w:type="dxa" w:w="6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CONTROL EN EL PORTAL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DS 9/2023 · Res. Ex. 733/2025 (ClaveÚnica)</w:t>
            </w:r>
          </w:p>
        </w:tc>
        <w:tc>
          <w:tcPr>
            <w:tcW w:type="dxa" w:w="6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Cliente OpenID Connect listo; se activa cuando TI obtenga las credenciales de Gobierno Digital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Ley 21.719 (incluido art. 8 bis)</w:t>
            </w:r>
          </w:p>
        </w:tc>
        <w:tc>
          <w:tcPr>
            <w:tcW w:type="dxa" w:w="6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Sin decisiones automatizadas sobre personas; explicación y aprobación humana; evaluación de impacto; retención definida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Oficio Circular 711/2023</w:t>
            </w:r>
          </w:p>
        </w:tc>
        <w:tc>
          <w:tcPr>
            <w:tcW w:type="dxa" w:w="6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IA propia en equipo propio; publicación interna de los casos de uso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Res. Ex. 372/2024 CPLT</w:t>
            </w:r>
          </w:p>
        </w:tc>
        <w:tc>
          <w:tcPr>
            <w:tcW w:type="dxa" w:w="6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Ficha de transparencia por caso de uso (Anexo B)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DS 7/2023 · Ley 21.663</w:t>
            </w:r>
          </w:p>
        </w:tc>
        <w:tc>
          <w:tcPr>
            <w:tcW w:type="dxa" w:w="6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Estación GPU sin acceso desde internet; auditoría centralizada; protocolo de incidentes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Ley 17.336 · licencias</w:t>
            </w:r>
          </w:p>
        </w:tc>
        <w:tc>
          <w:tcPr>
            <w:tcW w:type="dxa" w:w="6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Código propio GPLv3 con cesión de derechos; modelos Apache-2.0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8.2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Riesgos propios de los modelos de lenguaje (OWASP 2025)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300"/>
        <w:gridCol w:w="6340"/>
      </w:tblGrid>
      <w:tr>
        <w:trPr>
          <w:tblHeader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RIESGO</w:t>
            </w:r>
          </w:p>
        </w:tc>
        <w:tc>
          <w:tcPr>
            <w:tcW w:type="dxa" w:w="6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CONTROL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LLM01 Inyección de instrucciones</w:t>
            </w:r>
          </w:p>
        </w:tc>
        <w:tc>
          <w:tcPr>
            <w:tcW w:type="dxa" w:w="6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Documentos y textos tratados como datos; herramientas con permiso; ninguna acción sin aprobación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LLM02 Divulgación de información sensible</w:t>
            </w:r>
          </w:p>
        </w:tc>
        <w:tc>
          <w:tcPr>
            <w:tcW w:type="dxa" w:w="6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Pasarela con alcance del usuario; enmascarado de RUT y correos; campos sensibles declarados por cada app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LLM03 Cadena de suministro</w:t>
            </w:r>
          </w:p>
        </w:tc>
        <w:tc>
          <w:tcPr>
            <w:tcW w:type="dxa" w:w="6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Modelos descargados de fuentes oficiales y verificados por hash; versiones fijadas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LLM04 Envenenamiento de datos</w:t>
            </w:r>
          </w:p>
        </w:tc>
        <w:tc>
          <w:tcPr>
            <w:tcW w:type="dxa" w:w="6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Solo documentos aprobados entran al índice; registro de quién los cargó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LLM05 Manejo inseguro de la salida</w:t>
            </w:r>
          </w:p>
        </w:tc>
        <w:tc>
          <w:tcPr>
            <w:tcW w:type="dxa" w:w="6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La salida del modelo nunca se ejecuta como código ni consulta; se muestra o se convierte en propuesta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LLM06 Autonomía excesiva</w:t>
            </w:r>
          </w:p>
        </w:tc>
        <w:tc>
          <w:tcPr>
            <w:tcW w:type="dxa" w:w="6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Herramientas de acción siempre como propuesta con aprobación humana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LLM07 Exposición de instrucciones del sistema</w:t>
            </w:r>
          </w:p>
        </w:tc>
        <w:tc>
          <w:tcPr>
            <w:tcW w:type="dxa" w:w="6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Las instrucciones no contienen secretos ni datos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LLM08 Debilidades del índice vectorial</w:t>
            </w:r>
          </w:p>
        </w:tc>
        <w:tc>
          <w:tcPr>
            <w:tcW w:type="dxa" w:w="6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Colecciones separadas por permiso; filtrado por alcance en la búsqueda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LLM09 Desinformación</w:t>
            </w:r>
          </w:p>
        </w:tc>
        <w:tc>
          <w:tcPr>
            <w:tcW w:type="dxa" w:w="6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Respuestas con cita; "no sé" cuando no hay fuente; evaluación periódica (sección 09)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LLM10 Consumo sin límites</w:t>
            </w:r>
          </w:p>
        </w:tc>
        <w:tc>
          <w:tcPr>
            <w:tcW w:type="dxa" w:w="6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Límite de consultas por usuario y de largo de respuesta en la pasarela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09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evaluación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Evaluación de calidad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Elegir un modelo por su fama no garantiza que responda bien sobre la normativa de la DEP.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Definir cómo se elige el modelo y cómo se vigila su calidad en el tiempo.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Banco de preguntas propias, métricas con umbrales y evaluación en cada cambio.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9.1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Banco de evaluación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1400"/>
        <w:gridCol w:w="5040"/>
      </w:tblGrid>
      <w:tr>
        <w:trPr>
          <w:tblHeader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GRUPO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PREGUNTAS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EJEMPLO DE TEMA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Licencias médicas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30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Plazo de la zona C, sábados inhábiles, recuperación del subsidio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Sumarios y Contraloría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20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Qué informa cada campo del formulario y sus reglas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Estatuto y personal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20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Normas de personal aplicables a los SLEP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Uso del portal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15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Cómo agregar un mes, interpretar un error del Validador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Preguntas sin respuesta en los documentos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15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El modelo debe decir que no sabe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Las respuestas esperadas las valida el equipo GDP-SLEP. El banco crece con los errores reportados por los usuarios.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9.2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Métricas y umbrales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0"/>
        <w:gridCol w:w="3640"/>
      </w:tblGrid>
      <w:tr>
        <w:trPr>
          <w:tblHeader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MÉTRICA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UMBRAL PARA PRODUCCIÓN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Respuestas correctas según el equipo GDP-SLEP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≥ 85%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Respuestas con cita correcta de la fuente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≥ 90%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"No sé" correcto en preguntas sin respuesta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≥ 90%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Respuestas con datos que el usuario no debía ver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Tiempo de respuesta (percentil 90) en la GPU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≤ 10 segundos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9.3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Elección del modelo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Se evalúan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Qwen3 14B y Qwen3 32B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con el mismo banco. Se elige el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más pequeño que cumpla todos los umbrales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, porque responde más rápido y deja memoria libre para LAYA. Cada cambio de modelo, de instrucciones o de documentos se vuelve a evaluar antes de pasar a producción.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10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despliegue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Despliegue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TI debe recibir un sistema que pueda instalar, respaldar y recuperar.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Especificar el equipo, el software y los servicios.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Estación GPU en la red interna y servicios en contenedores junto al Validador.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10.1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Estación con GPU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4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COMPONENTE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ESPECIFICACIÓN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GPU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NVIDIA RTX 5090, 32 GB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Procesador y placa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16 núcleos o más, placa con PCIe 5.0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Memoria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128 GB DDR5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Almacenamiento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2 × 2 TB NVMe en espejo (RAID 1)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Energía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Fuente 1.200 W certificada; UPS de 2 kVA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Sistema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Ubuntu Server 24.04 LTS · controlador NVIDIA · Docker con NVIDIA Container Toolkit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10.2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Servicios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2500"/>
        <w:gridCol w:w="2940"/>
      </w:tblGrid>
      <w:tr>
        <w:trPr>
          <w:tblHeader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SERVICIO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DÓNDE CORRE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EXPUESTO</w:t>
            </w:r>
          </w:p>
        </w:tc>
      </w:tr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web (Nginx + portal Angular)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Servidor de TI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Sí · red interna (HTTPS)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api (NestJS: portal, apps, pasarela de IA)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Servidor de TI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db (MySQL 8.4)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Servidor de TI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motor de licencias + LAYA (Python)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Servidor de TI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qdrant (índice de documentos)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Servidor de TI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vllm (modelo de lenguaje y embeddings)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Estación GPU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No · solo desde la api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Respaldo diario de MySQL, Qdrant y la configuración; los modelos no se respaldan (se descargan de nuevo). Si la estación GPU falla, la pasarela pasa a </w:t>
      </w: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Ollama en CPU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 con un modelo de 8B y avisa que el servicio es lento: el portal sigue funcionando.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11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planificación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Carta Gantt detallada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Diciembre trae tres feriados y la compra del equipo; enero concentra la integración.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Planificar la Fase 3 hasta el 29 de enero de 2027.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Base del portal en diciembre, IA en CPU mientras llega la GPU, integración y piloto en enero.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900"/>
        <w:gridCol w:w="637"/>
        <w:gridCol w:w="637"/>
        <w:gridCol w:w="637"/>
        <w:gridCol w:w="637"/>
        <w:gridCol w:w="637"/>
        <w:gridCol w:w="637"/>
        <w:gridCol w:w="637"/>
        <w:gridCol w:w="637"/>
        <w:gridCol w:w="644"/>
      </w:tblGrid>
      <w:tr>
        <w:trPr>
          <w:tblHeader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ACTIVIDAD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S1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1–4 dic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S2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7–11 dic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S3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14–18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S4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21–25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S5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28 dic–1 ene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S6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4–8 ene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S7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11–15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S8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18–22</w:t>
            </w:r>
          </w:p>
        </w:tc>
        <w:tc>
          <w:tcPr>
            <w:tcW w:type="dxa" w:w="6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50"/>
              <w:left w:type="dxa" w:w="20"/>
              <w:bottom w:type="dxa" w:w="50"/>
              <w:right w:type="dxa" w:w="2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4"/>
                <w:szCs w:val="14"/>
              </w:rPr>
              <w:t xml:space="preserve">S9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94A3B8"/>
                <w:sz w:val="12"/>
                <w:szCs w:val="12"/>
              </w:rPr>
              <w:t xml:space="preserve">25–29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Diseño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Informe 12 · factibilidad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Informe 13 · este informe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Base del portal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Actualización a Angular 21 y NestJS 11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Servicios comunes: shell, auditoría, notificaciones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Validador y Licencias como aplicaciones del portal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IA local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Compra de la estación GPU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Prototipo en CPU: pasarela y modelo 8B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Ingesta de documentos e índice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Instalación de la GPU y vLLM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Evaluación de Qwen3 14B y 32B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Herramientas de las apps y propuestas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LAYA sobre la GPU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ClaveÚnica (si TI obtiene las credenciales)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B45309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B45309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color="auto" w:val="clear"/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/>
                <w:bCs/>
                <w:color w:val="0F172A"/>
                <w:sz w:val="16"/>
                <w:szCs w:val="16"/>
              </w:rPr>
              <w:t xml:space="preserve">Piloto y cierre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Pruebas de seguridad (OWASP LLM)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Piloto con GDP-SLEP y SLEP piloto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10"/>
              <w:bottom w:type="dxa" w:w="45"/>
              <w:right w:type="dxa" w:w="110"/>
            </w:tcMar>
            <w:vAlign w:val="top"/>
          </w:tcPr>
          <w:p>
            <w:pPr>
              <w:spacing w:after="0" w:line="230"/>
            </w:pPr>
            <w:r>
              <w:rPr>
                <w:b w:val="false"/>
                <w:bCs w:val="false"/>
                <w:color w:val="334155"/>
                <w:sz w:val="15"/>
                <w:szCs w:val="15"/>
              </w:rPr>
              <w:t xml:space="preserve">Traspaso a TI y cierre del proyecto</w:t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2F2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37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4"/>
                <w:szCs w:val="14"/>
              </w:rPr>
              <w:t xml:space="preserve"/>
            </w:r>
          </w:p>
        </w:tc>
        <w:tc>
          <w:tcPr>
            <w:tcW w:type="dxa" w:w="644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color="auto" w:val="clear"/>
            <w:tcMar>
              <w:top w:type="dxa" w:w="45"/>
              <w:left w:type="dxa" w:w="10"/>
              <w:bottom w:type="dxa" w:w="45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◆</w:t>
            </w:r>
          </w:p>
        </w:tc>
      </w:tr>
    </w:tbl>
    <w:p>
      <w:pPr>
        <w:spacing w:after="40" w:before="60"/>
      </w:pPr>
      <w:r>
        <w:rPr>
          <w:color w:val="64748B"/>
          <w:sz w:val="15"/>
          <w:szCs w:val="15"/>
        </w:rPr>
        <w:t xml:space="preserve">◆ Hitos: Informe 12 (2-dic) · Informe 13 (16-dic) · cierre (29-ene-2027). Feriados: 8 y 25 de diciembre, 1 de enero. En ámbar, actividad condicionada a TI.</w:t>
      </w:r>
    </w:p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4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Carta Gantt de la Fase 3: portal con IA local.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12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costos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Costos detallados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último informe técnico debe dejar el costo de la Fase 3 y el del proyecto completo.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Detallar personas, equipo, operación, costo a 5 años y costo acumulado de GDP-SLEP Studio.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Valores de referencia de octubre de 2026 (dólar $972,60; IVA 19%) y honorarios $1.200.000 brutos/mes; el equipo se actualiza al cotizar.</w:t>
            </w:r>
          </w:p>
        </w:tc>
      </w:tr>
    </w:tbl>
    <w:p>
      <w:pPr>
        <w:spacing w:after="14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12.1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Personas y esfuerzo (diciembre – enero)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0"/>
        <w:gridCol w:w="1300"/>
        <w:gridCol w:w="2340"/>
      </w:tblGrid>
      <w:tr>
        <w:trPr>
          <w:tblHeader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BLOQUE DE TRABAJO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HORAS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COSTO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Diseño técnico e Informe 13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24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$175.610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Actualización a Angular 21 y NestJS 11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32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$234.146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Servicios comunes del portal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40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$292.683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Integración de Validador y Licencias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32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$234.146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Pasarela de IA y controles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40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$292.683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Ingesta de documentos e índice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40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$292.683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Herramientas de las apps y propuestas de acción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24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$175.610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Evaluación de modelos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24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$175.610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Instalación del equipo y despliegue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24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$175.610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Pruebas de seguridad y piloto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32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$234.146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Documentación, capacitación y traspaso a TI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16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$117.073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Total diciembre–enero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328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$2.400.000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41 días hábiles × 8 h; valor hora bruto $7.317; retención (15,25%) $366.000; líquido $2.034.000.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12.2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Equipo (estimación con IVA)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0"/>
        <w:gridCol w:w="3640"/>
      </w:tblGrid>
      <w:tr>
        <w:trPr>
          <w:tblHeader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COMPONENTE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COSTO ESTIMADO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GPU NVIDIA RTX 5090 32 GB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$4.950.000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Procesador de 16 núcleos o más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$550.000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Placa madre PCIe 5.0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$300.000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Memoria 128 GB DDR5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$600.000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2 × 2 TB NVMe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$300.000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Fuente 1.200 W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$220.000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Gabinete y refrigeración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$180.000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UPS 2 kVA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$400.000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Total estación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≈ $7.500.000</w:t>
            </w:r>
          </w:p>
        </w:tc>
      </w:tr>
    </w:tbl>
    <w:p>
      <w:pPr>
        <w:spacing w:after="12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7"/>
          <w:szCs w:val="17"/>
        </w:rPr>
        <w:t xml:space="preserve">Estimación por componentes [estim.]; el precio final depende del procedimiento (convenio marco o licitación) y puede incluir garantía e instalación.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12.3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Software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$0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: Angular, NestJS, MySQL, Qdrant, vLLM, Ollama, LiteLLM, LAYA y los modelos Qwen3 son de licencia abierta. Sin licencias recurrentes en la Fase 3.</w:t>
      </w: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12.4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Operación anual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200"/>
        <w:gridCol w:w="3400"/>
        <w:gridCol w:w="2040"/>
      </w:tblGrid>
      <w:tr>
        <w:trPr>
          <w:tblHeader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CONCEPTO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BASE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COSTO ANUAL</w:t>
            </w:r>
          </w:p>
        </w:tc>
      </w:tr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Energía de la estación GPU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0,35 kW promedio × 730 h/mes × ≈ $180/kWh [estim.]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$552.000</w:t>
            </w:r>
          </w:p>
        </w:tc>
      </w:tr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Mantención de modelos, índice y evaluaciones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8 h al mes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$702.000</w:t>
            </w:r>
          </w:p>
        </w:tc>
      </w:tr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Responsable permanente del portal y la IA (desde 2027)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$1,5–2,0 MM brutos al mes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$18 – 24 MM</w:t>
            </w:r>
          </w:p>
        </w:tc>
      </w:tr>
      <w:tr>
        <w:trPr>
          <w:cantSplit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Renovación de la estación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Vida útil de 4 a 5 años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$1,5 – 1,9 MM al año (provisión)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12.5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Costo a 5 años del portal con IA local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0"/>
        <w:gridCol w:w="3640"/>
      </w:tblGrid>
      <w:tr>
        <w:trPr>
          <w:tblHeader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CONCEPTO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5 AÑOS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Estación GPU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$7,5 MM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Energía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$2,8 MM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Mantención técnica (si no hay cargo permanente)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$3,5 MM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Total sin personal permanente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≈ $13,8 MM</w:t>
            </w:r>
          </w:p>
        </w:tc>
      </w:tr>
      <w:tr>
        <w:trPr>
          <w:cantSplit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Responsable permanente (alternativa a la mantención)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$90 – 120 MM</w:t>
            </w:r>
          </w:p>
        </w:tc>
      </w:tr>
    </w:tbl>
    <w:p>
      <w:pPr>
        <w:spacing w:after="120" w:before="0" w:line="120"/>
      </w:pPr>
    </w:p>
    <w:p>
      <w:pPr>
        <w:pageBreakBefore/>
        <w:spacing w:after="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12.6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Costo total del proyecto GDP-SLEP Studio (junio 2026 – enero 2027)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100"/>
        <w:gridCol w:w="1900"/>
        <w:gridCol w:w="1700"/>
        <w:gridCol w:w="2940"/>
      </w:tblGrid>
      <w:tr>
        <w:trPr>
          <w:tblHeader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ETAPA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PERÍODO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DESEMBOLSO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NOTA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Diagnóstico y PMV (práctica)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jun – jul 2026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$0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Valorizado ≈ $1,2 MM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Transformación del Validador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sep 2026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$1.200.000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Informe 07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Automatización de licencias (piloto)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oct – nov 2026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$2.400.000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Más licencias del robot y operador según el camino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Portal orquestador e IA local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dic 2026 – ene 2027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$2.400.000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Este informe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Estación GPU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ene 2027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≈ $7.500.000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Inversión única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Total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≈ $13,5 MM</w:t>
            </w:r>
          </w:p>
        </w:tc>
        <w:tc>
          <w:tcPr>
            <w:tcW w:type="dxa" w:w="2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Más operador LME y licencias del robot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COHERENCIA CON EL INFORME 02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El total ejecutado (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≈ $13,5 MM</w:t>
            </w:r>
            <w:r>
              <w:rPr>
                <w:color w:val="334155"/>
                <w:sz w:val="19"/>
                <w:szCs w:val="19"/>
              </w:rPr>
              <w:t xml:space="preserve">) coincide con el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escenario mínimo</w:t>
            </w:r>
            <w:r>
              <w:rPr>
                <w:color w:val="334155"/>
                <w:sz w:val="19"/>
                <w:szCs w:val="19"/>
              </w:rPr>
              <w:t xml:space="preserve"> estimado en julio en el Informe 02 (≈ $13,5 MM; medio ≈ $17,9 MM; holgado ≈ $24,1 MM). Las diferencias futuras dependen del camino de licencias elegido y del cobro del operador.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13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riesgos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Riesgos y mitigaciones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portal concentra todo: su caída o su mal uso afecta a todas las aplicaciones.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Identificar los riesgos del portal y de la IA.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Matriz de probabilidad e impacto.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700"/>
        <w:gridCol w:w="900"/>
        <w:gridCol w:w="1000"/>
        <w:gridCol w:w="3440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RIESGO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PROB.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IMPACTO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MITIGACIÓN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P1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La estación GPU no llega en enero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Prototipo en CPU; piloto con modelo 8B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P2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El modelo no alcanza los umbrales de calidad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Probar 32B; mejorar documentos e instrucciones; limitar casos de uso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P3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Una falla del portal detiene todas las aplicaciones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Baja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Respaldo diario, procedimiento de recuperación, monitoreo de TI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P4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Un usuario obtiene por la IA datos fuera de su alcance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Baja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Pasarela con alcance; pruebas OWASP LLM02 y LLM08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P5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Uso de la IA para decisiones sobre personas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Política de uso; casos cerrados; auditoría y comité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P6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La actualización a Angular 21 rompe funciones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Media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Pruebas de paridad del Validador antes y después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P7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ClaveÚnica no se obtiene en el período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Baja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Cuenta local; cliente OpenID Connect listo para activar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P8</w:t>
            </w:r>
          </w:p>
        </w:tc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Dependencia de una sola persona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91C1C"/>
                <w:sz w:val="15"/>
                <w:szCs w:val="15"/>
              </w:rPr>
              <w:t xml:space="preserve">Alta</w:t>
            </w:r>
          </w:p>
        </w:tc>
        <w:tc>
          <w:tcPr>
            <w:tcW w:type="dxa" w:w="3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Cargo permanente en 2027; documentación y traspaso a TI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14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cierre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Conclusiones y hoja de ruta 2027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último informe debe cerrar lo hecho y dejar claro lo que sigue.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Resumir la Fase 3 y proponer la hoja de ruta de 2027.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Síntesis técnica y próximos pasos.</w:t>
            </w:r>
          </w:p>
        </w:tc>
      </w:tr>
    </w:tbl>
    <w:p>
      <w:pPr>
        <w:spacing w:after="14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Con este informe,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GDP-SLEP Studio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queda especificado como lo que siempre fue su centro: un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portal único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que reúne las aplicaciones, comparte identidad, permisos, auditoría y tareas, y suma una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IA local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que asiste a las personas sin sacar datos de la DEP ni decidir por ellas. Se construye en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diciembre y enero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sobre el Validador y el módulo de licencias ya existentes, con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≈ $9,9 MM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en la Fase 3 y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≈ $13,5 MM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en todo el proyecto.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Hoja de ruta 2027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7640"/>
      </w:tblGrid>
      <w:tr>
        <w:trPr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TRIMESTRE</w:t>
            </w:r>
          </w:p>
        </w:tc>
        <w:tc>
          <w:tcPr>
            <w:tcW w:type="dxa" w:w="7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HITO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1er trimestre</w:t>
            </w:r>
          </w:p>
        </w:tc>
        <w:tc>
          <w:tcPr>
            <w:tcW w:type="dxa" w:w="7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ClaveÚnica en el portal · cargo permanente de responsable · anexo comparativo y escalamiento de licencias a más SLEP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2º trimestre</w:t>
            </w:r>
          </w:p>
        </w:tc>
        <w:tc>
          <w:tcPr>
            <w:tcW w:type="dxa" w:w="7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Casos de uso U5 (solicitudes y correos) y U6 (acciones propuestas) · aplicación de solicitudes de datos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3er trimestre</w:t>
            </w:r>
          </w:p>
        </w:tc>
        <w:tc>
          <w:tcPr>
            <w:tcW w:type="dxa" w:w="7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Aplicación de consolidación de nóminas · evaluación de la ley de IA, si se promulga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4º trimestre</w:t>
            </w:r>
          </w:p>
        </w:tc>
        <w:tc>
          <w:tcPr>
            <w:tcW w:type="dxa" w:w="76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Licencias en los 36 SLEP · revisión de capacidad de la GPU · actualización de versiones con soporte</w:t>
            </w:r>
          </w:p>
        </w:tc>
      </w:tr>
    </w:tbl>
    <w:p>
      <w:pPr>
        <w:spacing w:after="120" w:before="0" w:line="12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Decisiones que se solicitan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0F172A"/>
          <w:sz w:val="18"/>
          <w:szCs w:val="18"/>
        </w:rPr>
        <w:t xml:space="preserve">Aprobar</w:t>
      </w:r>
      <w:r>
        <w:rPr>
          <w:color w:val="334155"/>
          <w:sz w:val="18"/>
          <w:szCs w:val="18"/>
        </w:rPr>
        <w:t xml:space="preserve"> la arquitectura del portal y de la IA local descrita en este informe.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0F172A"/>
          <w:sz w:val="18"/>
          <w:szCs w:val="18"/>
        </w:rPr>
        <w:t xml:space="preserve">Confirmar la compra</w:t>
      </w:r>
      <w:r>
        <w:rPr>
          <w:color w:val="334155"/>
          <w:sz w:val="18"/>
          <w:szCs w:val="18"/>
        </w:rPr>
        <w:t xml:space="preserve"> de la estación GPU y su alojamiento con TI.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0F172A"/>
          <w:sz w:val="18"/>
          <w:szCs w:val="18"/>
        </w:rPr>
        <w:t xml:space="preserve">Aprobar</w:t>
      </w:r>
      <w:r>
        <w:rPr>
          <w:color w:val="334155"/>
          <w:sz w:val="18"/>
          <w:szCs w:val="18"/>
        </w:rPr>
        <w:t xml:space="preserve"> los casos de uso U1 a U4 con su ficha de transparencia (Anexo B).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0F172A"/>
          <w:sz w:val="18"/>
          <w:szCs w:val="18"/>
        </w:rPr>
        <w:t xml:space="preserve">Gestionar</w:t>
      </w:r>
      <w:r>
        <w:rPr>
          <w:color w:val="334155"/>
          <w:sz w:val="18"/>
          <w:szCs w:val="18"/>
        </w:rPr>
        <w:t xml:space="preserve"> con TI las credenciales de ClaveÚnica y el </w:t>
      </w:r>
      <w:r>
        <w:rPr>
          <w:b/>
          <w:bCs/>
          <w:color w:val="0F172A"/>
          <w:sz w:val="18"/>
          <w:szCs w:val="18"/>
        </w:rPr>
        <w:t xml:space="preserve">cargo permanente</w:t>
      </w:r>
      <w:r>
        <w:rPr>
          <w:color w:val="334155"/>
          <w:sz w:val="18"/>
          <w:szCs w:val="18"/>
        </w:rPr>
        <w:t xml:space="preserve"> para 2027.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b/>
          <w:bCs/>
          <w:color w:val="0F172A"/>
          <w:sz w:val="18"/>
          <w:szCs w:val="18"/>
        </w:rPr>
        <w:t xml:space="preserve">Programar</w:t>
      </w:r>
      <w:r>
        <w:rPr>
          <w:color w:val="334155"/>
          <w:sz w:val="18"/>
          <w:szCs w:val="18"/>
        </w:rPr>
        <w:t xml:space="preserve"> el anexo comparativo de los caminos de licencias, pendiente desde octubre.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CIERRE DE LA SERIE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Los Informes 00 a 13 documentan GDP-SLEP Studio desde el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marco legal</w:t>
            </w:r>
            <w:r>
              <w:rPr>
                <w:color w:val="334155"/>
                <w:sz w:val="19"/>
                <w:szCs w:val="19"/>
              </w:rPr>
              <w:t xml:space="preserve"> y el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diagnóstico</w:t>
            </w:r>
            <w:r>
              <w:rPr>
                <w:color w:val="334155"/>
                <w:sz w:val="19"/>
                <w:szCs w:val="19"/>
              </w:rPr>
              <w:t xml:space="preserve"> de junio de 2026 hasta el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portal con IA local</w:t>
            </w:r>
            <w:r>
              <w:rPr>
                <w:color w:val="334155"/>
                <w:sz w:val="19"/>
                <w:szCs w:val="19"/>
              </w:rPr>
              <w:t xml:space="preserve"> de enero de 2027. Quedan pendientes el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anexo comparativo</w:t>
            </w:r>
            <w:r>
              <w:rPr>
                <w:color w:val="334155"/>
                <w:sz w:val="19"/>
                <w:szCs w:val="19"/>
              </w:rPr>
              <w:t xml:space="preserve"> de los caminos de licencias y la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hoja de ruta 2027</w:t>
            </w:r>
            <w:r>
              <w:rPr>
                <w:color w:val="334155"/>
                <w:sz w:val="19"/>
                <w:szCs w:val="19"/>
              </w:rPr>
              <w:t xml:space="preserve">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A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anexo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Anexo A · Servicios nuevos del portal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00"/>
        <w:gridCol w:w="3200"/>
        <w:gridCol w:w="3300"/>
        <w:gridCol w:w="1740"/>
      </w:tblGrid>
      <w:tr>
        <w:trPr>
          <w:tblHeader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MÉTODO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SERVICIO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USO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ACCESO</w:t>
            </w:r>
          </w:p>
        </w:tc>
      </w:tr>
      <w:tr>
        <w:trPr>
          <w:cantSplit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GET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/api/portal/aplicaciones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Aplicaciones y menú según permisos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Sesión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GET · PATCH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/api/portal/notificaciones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Avisos del usuario; marcar como leído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Sesión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GET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/api/portal/auditoria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Consulta de eventos con filtros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Superusuario · comité</w:t>
            </w:r>
          </w:p>
        </w:tc>
      </w:tr>
      <w:tr>
        <w:trPr>
          <w:cantSplit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POST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/api/ia/consultas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Preguntar al asistente (U1, U2, U4)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Permiso del caso de uso</w:t>
            </w:r>
          </w:p>
        </w:tc>
      </w:tr>
      <w:tr>
        <w:trPr>
          <w:cantSplit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GET · POST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/api/ia/documentos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Listar y cargar documentos al índice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Administrador de contenidos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GET · PATCH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/api/ia/propuestas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Ver, aprobar o descartar acciones propuestas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Permiso de la herramienta</w:t>
            </w:r>
          </w:p>
        </w:tc>
      </w:tr>
      <w:tr>
        <w:trPr>
          <w:cantSplit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POST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/api/ia/reportes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Reportar una respuesta incorrecta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Sesión</w:t>
            </w:r>
          </w:p>
        </w:tc>
      </w:tr>
      <w:tr>
        <w:trPr>
          <w:cantSplit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GET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/api/ia/casos-de-uso</w:t>
            </w:r>
          </w:p>
        </w:tc>
        <w:tc>
          <w:tcPr>
            <w:tcW w:type="dxa" w:w="3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Fichas de transparencia</w:t>
            </w:r>
          </w:p>
        </w:tc>
        <w:tc>
          <w:tcPr>
            <w:tcW w:type="dxa" w:w="1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Sesión</w:t>
            </w:r>
          </w:p>
        </w:tc>
      </w:tr>
    </w:tbl>
    <w:p>
      <w:pPr>
        <w:spacing w:after="120" w:before="0" w:line="120"/>
      </w:pPr>
    </w:p>
    <w:p>
      <w:pPr>
        <w:pStyle w:val="Heading2"/>
        <w:keepNext/>
        <w:spacing w:after="120" w:before="260"/>
      </w:pPr>
      <w:r>
        <w:rPr>
          <w:rFonts w:ascii="Consolas" w:cs="Consolas" w:eastAsia="Consolas" w:hAnsi="Consolas"/>
          <w:b/>
          <w:bCs/>
          <w:color w:val="0D9488"/>
          <w:sz w:val="22"/>
          <w:szCs w:val="22"/>
        </w:rPr>
        <w:t xml:space="preserve">B  </w:t>
      </w:r>
      <w:r>
        <w:rPr>
          <w:rFonts w:ascii="Calibri" w:cs="Calibri" w:eastAsia="Calibri" w:hAnsi="Calibri"/>
          <w:b/>
          <w:bCs/>
          <w:color w:val="0F172A"/>
          <w:sz w:val="25"/>
          <w:szCs w:val="25"/>
        </w:rPr>
        <w:t xml:space="preserve">Anexo B · Ficha de transparencia por caso de uso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400"/>
        <w:gridCol w:w="724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CAMPO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EJEMPLO: U1 · ASISTENTE DE NORMATIVA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Finalidad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Responder consultas sobre normativa y procedimientos de personal de los SLEP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Usuarios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Equipo GDP-SLEP y encargados de los SLEP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Datos que usa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Normativa pública, circulares, manuales e informes de la serie; sin datos personales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Modelo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Qwen3 (versión según evaluación), local, en equipo de la DEP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Lógica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Busca fragmentos en los documentos y redacta una respuesta citándolos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Intervención humana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La respuesta es orientativa; no reemplaza un pronunciamiento oficial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Límites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No responde sobre casos de personas; dice "no sé" si no hay fuente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Evaluación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Banco de 100 preguntas; umbrales de la sección 09; revisión trimestral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Contacto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Subdepartamento GDP-SLEP</w:t>
            </w:r>
          </w:p>
        </w:tc>
      </w:tr>
    </w:tbl>
    <w:p>
      <w:pPr>
        <w:spacing w:after="120" w:before="0" w:line="120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250" w:right="1300" w:bottom="1150" w:left="1300" w:header="600" w:footer="5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40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DEP · Subdepartamento GDP-SLEP · Uso interno</w:t>
    </w:r>
    <w:r>
      <w:rPr>
        <w:rFonts w:ascii="Consolas" w:cs="Consolas" w:eastAsia="Consolas" w:hAnsi="Consolas"/>
        <w:color w:val="94A3B8"/>
        <w:sz w:val="14"/>
        <w:szCs w:val="14"/>
      </w:rPr>
      <w:t xml:space="preserve">	pág. </w:t>
    </w:r>
    <w:r>
      <w:rPr>
        <w:rFonts w:ascii="Consolas" w:cs="Consolas" w:eastAsia="Consolas" w:hAnsi="Consolas"/>
        <w:b/>
        <w:bCs/>
        <w:color w:val="0F172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6"/>
      </w:pBdr>
      <w:tabs>
        <w:tab w:val="right" w:pos="9640"/>
      </w:tabs>
    </w:pPr>
    <w:r>
      <w:rPr>
        <w:rFonts w:ascii="Consolas" w:cs="Consolas" w:eastAsia="Consolas" w:hAnsi="Consolas"/>
        <w:b/>
        <w:bCs/>
        <w:color w:val="0D9488"/>
        <w:spacing w:val="20"/>
        <w:sz w:val="14"/>
        <w:szCs w:val="14"/>
      </w:rPr>
      <w:t xml:space="preserve">GDP - SLEP STUDIO</w:t>
    </w:r>
    <w:r>
      <w:rPr>
        <w:rFonts w:ascii="Consolas" w:cs="Consolas" w:eastAsia="Consolas" w:hAnsi="Consolas"/>
        <w:color w:val="94A3B8"/>
        <w:spacing w:val="10"/>
        <w:sz w:val="14"/>
        <w:szCs w:val="14"/>
      </w:rPr>
      <w:t xml:space="preserve">	INFORME 13  ·  TÉCNICO PORTAL + IA LOCAL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D948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  <w:rPr>
        <w:b/>
        <w:bCs/>
        <w:color w:val="0D948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Calibri" w:cs="Calibri" w:eastAsia="Calibri" w:hAnsi="Calibri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F172A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13 — Informe técnico de GDP-SLEP Studio con IA local</dc:title>
  <dc:subject>GDP-SLEP Studio</dc:subject>
  <dc:creator>César Torres</dc:creator>
  <dc:description>Arquitectura del portal orquestador, servicios comunes, IA local, seguridad, evaluación, despliegue, Gantt y costos detallados</dc:description>
  <cp:lastModifiedBy>Un-named</cp:lastModifiedBy>
  <cp:revision>1</cp:revision>
  <dcterms:created xsi:type="dcterms:W3CDTF">2026-10-02T21:20:12.947Z</dcterms:created>
  <dcterms:modified xsi:type="dcterms:W3CDTF">2026-10-02T21:20:12.947Z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