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cs="宋体"/>
          <w:b/>
          <w:color w:val="auto"/>
          <w:szCs w:val="21"/>
          <w:highlight w:val="none"/>
        </w:rPr>
      </w:pPr>
    </w:p>
    <w:p>
      <w:pPr>
        <w:jc w:val="center"/>
        <w:rPr>
          <w:rFonts w:ascii="宋体" w:hAnsi="宋体" w:cs="宋体"/>
          <w:b/>
          <w:color w:val="auto"/>
          <w:szCs w:val="21"/>
          <w:highlight w:val="none"/>
        </w:rPr>
      </w:pPr>
    </w:p>
    <w:p>
      <w:pPr>
        <w:jc w:val="center"/>
        <w:rPr>
          <w:rFonts w:ascii="宋体" w:hAnsi="宋体" w:cs="宋体"/>
          <w:b/>
          <w:color w:val="auto"/>
          <w:szCs w:val="21"/>
          <w:highlight w:val="none"/>
        </w:rPr>
      </w:pPr>
    </w:p>
    <w:p>
      <w:pPr>
        <w:jc w:val="center"/>
        <w:rPr>
          <w:rFonts w:ascii="宋体" w:hAnsi="宋体" w:cs="宋体"/>
          <w:b/>
          <w:color w:val="auto"/>
          <w:szCs w:val="21"/>
          <w:highlight w:val="none"/>
        </w:rPr>
      </w:pPr>
    </w:p>
    <w:p>
      <w:pPr>
        <w:jc w:val="center"/>
        <w:rPr>
          <w:rFonts w:ascii="宋体" w:hAnsi="宋体" w:cs="宋体"/>
          <w:b/>
          <w:color w:val="auto"/>
          <w:szCs w:val="21"/>
          <w:highlight w:val="none"/>
        </w:rPr>
      </w:pPr>
    </w:p>
    <w:p>
      <w:pPr>
        <w:jc w:val="center"/>
        <w:rPr>
          <w:rFonts w:ascii="宋体" w:hAnsi="宋体" w:cs="宋体"/>
          <w:b/>
          <w:color w:val="auto"/>
          <w:szCs w:val="21"/>
          <w:highlight w:val="none"/>
        </w:rPr>
      </w:pPr>
    </w:p>
    <w:p>
      <w:pPr>
        <w:jc w:val="center"/>
        <w:rPr>
          <w:rFonts w:ascii="宋体" w:hAnsi="宋体" w:cs="宋体"/>
          <w:b/>
          <w:color w:val="auto"/>
          <w:szCs w:val="21"/>
          <w:highlight w:val="none"/>
        </w:rPr>
      </w:pPr>
    </w:p>
    <w:p>
      <w:pPr>
        <w:jc w:val="center"/>
        <w:rPr>
          <w:rFonts w:ascii="宋体" w:hAnsi="宋体" w:cs="宋体"/>
          <w:b/>
          <w:color w:val="auto"/>
          <w:szCs w:val="21"/>
          <w:highlight w:val="none"/>
        </w:rPr>
      </w:pPr>
    </w:p>
    <w:p>
      <w:pPr>
        <w:spacing w:before="156" w:beforeLines="50" w:after="312" w:afterLines="100"/>
        <w:jc w:val="center"/>
        <w:rPr>
          <w:rFonts w:ascii="宋体" w:hAnsi="宋体" w:cs="宋体"/>
          <w:b/>
          <w:color w:val="auto"/>
          <w:spacing w:val="40"/>
          <w:sz w:val="72"/>
          <w:highlight w:val="none"/>
        </w:rPr>
      </w:pPr>
      <w:r>
        <w:rPr>
          <w:rFonts w:hint="eastAsia" w:ascii="宋体" w:hAnsi="宋体" w:cs="宋体"/>
          <w:b/>
          <w:color w:val="auto"/>
          <w:spacing w:val="40"/>
          <w:sz w:val="72"/>
          <w:highlight w:val="none"/>
        </w:rPr>
        <w:t>政 府 采 购</w:t>
      </w:r>
    </w:p>
    <w:p>
      <w:pPr>
        <w:jc w:val="center"/>
        <w:rPr>
          <w:rFonts w:ascii="宋体" w:hAnsi="宋体" w:cs="宋体"/>
          <w:b/>
          <w:color w:val="auto"/>
          <w:spacing w:val="-80"/>
          <w:sz w:val="72"/>
          <w:highlight w:val="none"/>
        </w:rPr>
      </w:pPr>
      <w:r>
        <w:rPr>
          <w:rFonts w:hint="eastAsia" w:ascii="宋体" w:hAnsi="宋体" w:cs="宋体"/>
          <w:b/>
          <w:color w:val="auto"/>
          <w:spacing w:val="-80"/>
          <w:sz w:val="72"/>
          <w:highlight w:val="none"/>
        </w:rPr>
        <w:t>服 务 公 开 招 标 文 件</w:t>
      </w:r>
    </w:p>
    <w:p>
      <w:pPr>
        <w:jc w:val="center"/>
        <w:rPr>
          <w:rFonts w:ascii="宋体" w:hAnsi="宋体" w:cs="宋体"/>
          <w:b/>
          <w:color w:val="auto"/>
          <w:sz w:val="52"/>
          <w:highlight w:val="none"/>
        </w:rPr>
      </w:pPr>
    </w:p>
    <w:p>
      <w:pPr>
        <w:spacing w:before="156" w:beforeLines="50"/>
        <w:jc w:val="center"/>
        <w:rPr>
          <w:rFonts w:ascii="宋体" w:hAnsi="宋体" w:cs="宋体"/>
          <w:b/>
          <w:color w:val="auto"/>
          <w:sz w:val="52"/>
          <w:highlight w:val="none"/>
        </w:rPr>
      </w:pPr>
      <w:r>
        <w:rPr>
          <w:rFonts w:hint="eastAsia" w:ascii="宋体" w:hAnsi="宋体" w:cs="宋体"/>
          <w:b/>
          <w:color w:val="auto"/>
          <w:sz w:val="52"/>
          <w:highlight w:val="none"/>
        </w:rPr>
        <w:t>（第一册）</w:t>
      </w:r>
    </w:p>
    <w:p>
      <w:pPr>
        <w:ind w:firstLine="3213" w:firstLineChars="1000"/>
        <w:rPr>
          <w:rFonts w:ascii="宋体" w:hAnsi="宋体" w:cs="宋体"/>
          <w:b/>
          <w:color w:val="auto"/>
          <w:sz w:val="32"/>
          <w:highlight w:val="none"/>
        </w:rPr>
      </w:pPr>
    </w:p>
    <w:p>
      <w:pPr>
        <w:rPr>
          <w:rFonts w:ascii="宋体" w:hAnsi="宋体" w:cs="宋体"/>
          <w:b/>
          <w:color w:val="auto"/>
          <w:sz w:val="32"/>
          <w:highlight w:val="none"/>
        </w:rPr>
      </w:pPr>
    </w:p>
    <w:p>
      <w:pPr>
        <w:rPr>
          <w:rFonts w:ascii="宋体" w:hAnsi="宋体" w:cs="宋体"/>
          <w:b/>
          <w:color w:val="auto"/>
          <w:sz w:val="32"/>
          <w:szCs w:val="32"/>
          <w:highlight w:val="none"/>
          <w:u w:val="single"/>
        </w:rPr>
      </w:pPr>
      <w:r>
        <w:rPr>
          <w:rFonts w:hint="eastAsia" w:ascii="宋体" w:hAnsi="宋体" w:cs="宋体"/>
          <w:b/>
          <w:color w:val="auto"/>
          <w:sz w:val="32"/>
          <w:szCs w:val="32"/>
          <w:highlight w:val="none"/>
        </w:rPr>
        <w:t xml:space="preserve">  招标编号：0686-1841B1521183Z/01</w:t>
      </w:r>
    </w:p>
    <w:p>
      <w:pPr>
        <w:rPr>
          <w:rFonts w:ascii="宋体" w:hAnsi="宋体" w:cs="宋体"/>
          <w:b/>
          <w:color w:val="auto"/>
          <w:sz w:val="32"/>
          <w:szCs w:val="32"/>
          <w:highlight w:val="none"/>
        </w:rPr>
      </w:pPr>
      <w:r>
        <w:rPr>
          <w:rFonts w:hint="eastAsia" w:ascii="宋体" w:hAnsi="宋体" w:cs="宋体"/>
          <w:b/>
          <w:color w:val="auto"/>
          <w:sz w:val="52"/>
          <w:szCs w:val="52"/>
          <w:highlight w:val="none"/>
        </w:rPr>
        <w:t xml:space="preserve"> </w:t>
      </w:r>
      <w:r>
        <w:rPr>
          <w:rFonts w:hint="eastAsia" w:ascii="宋体" w:hAnsi="宋体" w:cs="宋体"/>
          <w:b/>
          <w:color w:val="auto"/>
          <w:sz w:val="32"/>
          <w:szCs w:val="32"/>
          <w:highlight w:val="none"/>
        </w:rPr>
        <w:t>项目名称：北京市福彩综合业务系统升级改造项目</w:t>
      </w:r>
    </w:p>
    <w:p>
      <w:pPr>
        <w:rPr>
          <w:rFonts w:ascii="宋体" w:hAnsi="宋体" w:cs="宋体"/>
          <w:b/>
          <w:color w:val="auto"/>
          <w:sz w:val="32"/>
          <w:szCs w:val="32"/>
          <w:highlight w:val="none"/>
        </w:rPr>
      </w:pPr>
      <w:r>
        <w:rPr>
          <w:rFonts w:hint="eastAsia" w:ascii="宋体" w:hAnsi="宋体" w:cs="宋体"/>
          <w:b/>
          <w:color w:val="auto"/>
          <w:sz w:val="32"/>
          <w:szCs w:val="32"/>
          <w:highlight w:val="none"/>
        </w:rPr>
        <w:t xml:space="preserve">  第一包：北京市福彩综合业务系统升级改造系统</w:t>
      </w:r>
    </w:p>
    <w:p>
      <w:pPr>
        <w:rPr>
          <w:rFonts w:ascii="宋体" w:hAnsi="宋体" w:cs="宋体"/>
          <w:b/>
          <w:color w:val="auto"/>
          <w:sz w:val="32"/>
          <w:szCs w:val="32"/>
          <w:highlight w:val="none"/>
        </w:rPr>
      </w:pPr>
      <w:r>
        <w:rPr>
          <w:rFonts w:hint="eastAsia" w:ascii="宋体" w:hAnsi="宋体" w:cs="宋体"/>
          <w:b/>
          <w:color w:val="auto"/>
          <w:sz w:val="32"/>
          <w:szCs w:val="32"/>
          <w:highlight w:val="none"/>
        </w:rPr>
        <w:t xml:space="preserve">  采购代理机构：北京国际贸易公司</w:t>
      </w:r>
    </w:p>
    <w:p>
      <w:pPr>
        <w:spacing w:before="120" w:after="360" w:line="360" w:lineRule="auto"/>
        <w:jc w:val="center"/>
        <w:rPr>
          <w:rFonts w:ascii="宋体" w:hAnsi="宋体" w:cs="宋体"/>
          <w:b/>
          <w:color w:val="auto"/>
          <w:sz w:val="32"/>
          <w:szCs w:val="32"/>
          <w:highlight w:val="none"/>
          <w:u w:val="single"/>
          <w:shd w:val="clear" w:color="auto" w:fill="FFFF00"/>
        </w:rPr>
      </w:pPr>
    </w:p>
    <w:p>
      <w:pPr>
        <w:spacing w:before="120" w:after="360" w:line="360" w:lineRule="auto"/>
        <w:jc w:val="center"/>
        <w:rPr>
          <w:rFonts w:ascii="宋体" w:hAnsi="宋体" w:cs="宋体"/>
          <w:b/>
          <w:color w:val="auto"/>
          <w:sz w:val="32"/>
          <w:szCs w:val="32"/>
          <w:highlight w:val="none"/>
          <w:u w:val="single"/>
          <w:shd w:val="clear" w:color="auto" w:fill="FFFF00"/>
        </w:rPr>
      </w:pPr>
    </w:p>
    <w:p>
      <w:pPr>
        <w:spacing w:before="120" w:line="360" w:lineRule="auto"/>
        <w:jc w:val="center"/>
        <w:rPr>
          <w:rFonts w:ascii="宋体" w:hAnsi="宋体" w:cs="宋体"/>
          <w:b/>
          <w:color w:val="auto"/>
          <w:sz w:val="32"/>
          <w:szCs w:val="32"/>
          <w:highlight w:val="none"/>
        </w:rPr>
      </w:pPr>
      <w:r>
        <w:rPr>
          <w:rFonts w:hint="eastAsia" w:ascii="宋体" w:hAnsi="宋体" w:cs="宋体"/>
          <w:b/>
          <w:color w:val="auto"/>
          <w:sz w:val="32"/>
          <w:szCs w:val="32"/>
          <w:highlight w:val="none"/>
        </w:rPr>
        <w:t>2018年</w:t>
      </w:r>
      <w:r>
        <w:rPr>
          <w:rFonts w:hint="eastAsia" w:ascii="宋体" w:hAnsi="宋体" w:cs="宋体"/>
          <w:b/>
          <w:color w:val="auto"/>
          <w:sz w:val="32"/>
          <w:szCs w:val="32"/>
          <w:highlight w:val="none"/>
          <w:lang w:val="en-US" w:eastAsia="zh-CN"/>
        </w:rPr>
        <w:t>8</w:t>
      </w:r>
      <w:r>
        <w:rPr>
          <w:rFonts w:hint="eastAsia" w:ascii="宋体" w:hAnsi="宋体" w:cs="宋体"/>
          <w:b/>
          <w:color w:val="auto"/>
          <w:sz w:val="32"/>
          <w:szCs w:val="32"/>
          <w:highlight w:val="none"/>
        </w:rPr>
        <w:t>月</w:t>
      </w:r>
      <w:r>
        <w:rPr>
          <w:rFonts w:hint="eastAsia" w:ascii="宋体" w:hAnsi="宋体" w:cs="宋体"/>
          <w:b/>
          <w:color w:val="auto"/>
          <w:sz w:val="32"/>
          <w:szCs w:val="32"/>
          <w:highlight w:val="none"/>
        </w:rPr>
        <w:br w:type="page"/>
      </w:r>
    </w:p>
    <w:p>
      <w:pPr>
        <w:spacing w:before="120" w:line="360" w:lineRule="auto"/>
        <w:jc w:val="center"/>
        <w:rPr>
          <w:rFonts w:ascii="宋体" w:hAnsi="宋体" w:cs="宋体"/>
          <w:b/>
          <w:color w:val="auto"/>
          <w:sz w:val="32"/>
          <w:szCs w:val="32"/>
          <w:highlight w:val="none"/>
        </w:rPr>
      </w:pPr>
      <w:r>
        <w:rPr>
          <w:rFonts w:hint="eastAsia" w:ascii="宋体" w:hAnsi="宋体" w:cs="宋体"/>
          <w:b/>
          <w:color w:val="auto"/>
          <w:sz w:val="32"/>
          <w:szCs w:val="32"/>
          <w:highlight w:val="none"/>
        </w:rPr>
        <w:t>目      录</w:t>
      </w:r>
    </w:p>
    <w:p>
      <w:pPr>
        <w:spacing w:before="120" w:line="360" w:lineRule="auto"/>
        <w:jc w:val="center"/>
        <w:rPr>
          <w:rFonts w:ascii="宋体" w:hAnsi="宋体" w:cs="宋体"/>
          <w:b/>
          <w:color w:val="auto"/>
          <w:sz w:val="32"/>
          <w:szCs w:val="32"/>
          <w:highlight w:val="none"/>
        </w:rPr>
      </w:pPr>
    </w:p>
    <w:p>
      <w:pPr>
        <w:spacing w:line="360" w:lineRule="auto"/>
        <w:rPr>
          <w:rFonts w:ascii="宋体" w:hAnsi="宋体" w:cs="宋体"/>
          <w:color w:val="auto"/>
          <w:highlight w:val="none"/>
        </w:rPr>
      </w:pPr>
    </w:p>
    <w:p>
      <w:pPr>
        <w:pStyle w:val="16"/>
        <w:tabs>
          <w:tab w:val="right" w:leader="dot" w:pos="8306"/>
        </w:tabs>
        <w:rPr>
          <w:rFonts w:ascii="宋体" w:hAnsi="宋体" w:cs="宋体"/>
          <w:color w:val="auto"/>
          <w:sz w:val="21"/>
          <w:szCs w:val="21"/>
          <w:highlight w:val="none"/>
        </w:rPr>
      </w:pPr>
      <w:r>
        <w:rPr>
          <w:rFonts w:hint="eastAsia" w:ascii="宋体" w:hAnsi="宋体" w:cs="宋体"/>
          <w:bCs w:val="0"/>
          <w:color w:val="auto"/>
          <w:sz w:val="21"/>
          <w:szCs w:val="21"/>
          <w:highlight w:val="none"/>
        </w:rPr>
        <w:fldChar w:fldCharType="begin"/>
      </w:r>
      <w:r>
        <w:rPr>
          <w:rFonts w:hint="eastAsia" w:ascii="宋体" w:hAnsi="宋体" w:cs="宋体"/>
          <w:bCs w:val="0"/>
          <w:color w:val="auto"/>
          <w:sz w:val="21"/>
          <w:szCs w:val="21"/>
          <w:highlight w:val="none"/>
        </w:rPr>
        <w:instrText xml:space="preserve"> TOC \o "1-4" \h \z \u </w:instrText>
      </w:r>
      <w:r>
        <w:rPr>
          <w:rFonts w:hint="eastAsia" w:ascii="宋体" w:hAnsi="宋体" w:cs="宋体"/>
          <w:bCs w:val="0"/>
          <w:color w:val="auto"/>
          <w:sz w:val="21"/>
          <w:szCs w:val="21"/>
          <w:highlight w:val="none"/>
        </w:rPr>
        <w:fldChar w:fldCharType="separate"/>
      </w:r>
      <w:r>
        <w:rPr>
          <w:color w:val="auto"/>
          <w:highlight w:val="none"/>
        </w:rPr>
        <w:fldChar w:fldCharType="begin"/>
      </w:r>
      <w:r>
        <w:rPr>
          <w:color w:val="auto"/>
          <w:highlight w:val="none"/>
        </w:rPr>
        <w:instrText xml:space="preserve"> HYPERLINK \l "_Toc26588" </w:instrText>
      </w:r>
      <w:r>
        <w:rPr>
          <w:color w:val="auto"/>
          <w:highlight w:val="none"/>
        </w:rPr>
        <w:fldChar w:fldCharType="separate"/>
      </w:r>
      <w:r>
        <w:rPr>
          <w:rFonts w:hint="eastAsia" w:ascii="宋体" w:hAnsi="宋体" w:cs="宋体"/>
          <w:color w:val="auto"/>
          <w:sz w:val="21"/>
          <w:szCs w:val="21"/>
          <w:highlight w:val="none"/>
        </w:rPr>
        <w:t>第一章  供应商须知</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_Toc26588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5</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20"/>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"_Toc23690" </w:instrText>
      </w:r>
      <w:r>
        <w:rPr>
          <w:color w:val="auto"/>
          <w:highlight w:val="none"/>
        </w:rPr>
        <w:fldChar w:fldCharType="separate"/>
      </w:r>
      <w:r>
        <w:rPr>
          <w:rFonts w:hint="eastAsia" w:ascii="宋体" w:hAnsi="宋体" w:cs="宋体"/>
          <w:color w:val="auto"/>
          <w:sz w:val="21"/>
          <w:szCs w:val="21"/>
          <w:highlight w:val="none"/>
        </w:rPr>
        <w:t>一 说  明</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_Toc23690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5</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"_Toc27616" </w:instrText>
      </w:r>
      <w:r>
        <w:rPr>
          <w:color w:val="auto"/>
          <w:highlight w:val="none"/>
        </w:rPr>
        <w:fldChar w:fldCharType="separate"/>
      </w:r>
      <w:r>
        <w:rPr>
          <w:rFonts w:hint="eastAsia" w:ascii="宋体" w:hAnsi="宋体" w:cs="宋体"/>
          <w:i w:val="0"/>
          <w:iCs w:val="0"/>
          <w:color w:val="auto"/>
          <w:sz w:val="21"/>
          <w:szCs w:val="21"/>
          <w:highlight w:val="none"/>
        </w:rPr>
        <w:t>1.招标采购单位及合格的供应商</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_Toc27616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5</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"_Toc9391" </w:instrText>
      </w:r>
      <w:r>
        <w:rPr>
          <w:color w:val="auto"/>
          <w:highlight w:val="none"/>
        </w:rPr>
        <w:fldChar w:fldCharType="separate"/>
      </w:r>
      <w:r>
        <w:rPr>
          <w:rFonts w:hint="eastAsia" w:ascii="宋体" w:hAnsi="宋体" w:cs="宋体"/>
          <w:i w:val="0"/>
          <w:iCs w:val="0"/>
          <w:color w:val="auto"/>
          <w:sz w:val="21"/>
          <w:szCs w:val="21"/>
          <w:highlight w:val="none"/>
        </w:rPr>
        <w:t>2.资金来源</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_Toc9391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7</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"_Toc30969" </w:instrText>
      </w:r>
      <w:r>
        <w:rPr>
          <w:color w:val="auto"/>
          <w:highlight w:val="none"/>
        </w:rPr>
        <w:fldChar w:fldCharType="separate"/>
      </w:r>
      <w:r>
        <w:rPr>
          <w:rFonts w:hint="eastAsia" w:ascii="宋体" w:hAnsi="宋体" w:cs="宋体"/>
          <w:i w:val="0"/>
          <w:iCs w:val="0"/>
          <w:color w:val="auto"/>
          <w:sz w:val="21"/>
          <w:szCs w:val="21"/>
          <w:highlight w:val="none"/>
        </w:rPr>
        <w:t>3.投标费用</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_Toc30969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7</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"_Toc9832" </w:instrText>
      </w:r>
      <w:r>
        <w:rPr>
          <w:color w:val="auto"/>
          <w:highlight w:val="none"/>
        </w:rPr>
        <w:fldChar w:fldCharType="separate"/>
      </w:r>
      <w:r>
        <w:rPr>
          <w:rFonts w:hint="eastAsia" w:ascii="宋体" w:hAnsi="宋体" w:cs="宋体"/>
          <w:i w:val="0"/>
          <w:iCs w:val="0"/>
          <w:color w:val="auto"/>
          <w:sz w:val="21"/>
          <w:szCs w:val="21"/>
          <w:highlight w:val="none"/>
        </w:rPr>
        <w:t>4.适用法律</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_Toc9832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7</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20"/>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"_Toc27624" </w:instrText>
      </w:r>
      <w:r>
        <w:rPr>
          <w:color w:val="auto"/>
          <w:highlight w:val="none"/>
        </w:rPr>
        <w:fldChar w:fldCharType="separate"/>
      </w:r>
      <w:r>
        <w:rPr>
          <w:rFonts w:hint="eastAsia" w:ascii="宋体" w:hAnsi="宋体" w:cs="宋体"/>
          <w:color w:val="auto"/>
          <w:sz w:val="21"/>
          <w:szCs w:val="21"/>
          <w:highlight w:val="none"/>
        </w:rPr>
        <w:t>二 招标文件</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_Toc27624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8</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"_Toc3055" </w:instrText>
      </w:r>
      <w:r>
        <w:rPr>
          <w:color w:val="auto"/>
          <w:highlight w:val="none"/>
        </w:rPr>
        <w:fldChar w:fldCharType="separate"/>
      </w:r>
      <w:r>
        <w:rPr>
          <w:rFonts w:hint="eastAsia" w:ascii="宋体" w:hAnsi="宋体" w:cs="宋体"/>
          <w:i w:val="0"/>
          <w:iCs w:val="0"/>
          <w:color w:val="auto"/>
          <w:sz w:val="21"/>
          <w:szCs w:val="21"/>
          <w:highlight w:val="none"/>
        </w:rPr>
        <w:t>5.招标文件构成</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_Toc3055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8</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"_Toc3190" </w:instrText>
      </w:r>
      <w:r>
        <w:rPr>
          <w:color w:val="auto"/>
          <w:highlight w:val="none"/>
        </w:rPr>
        <w:fldChar w:fldCharType="separate"/>
      </w:r>
      <w:r>
        <w:rPr>
          <w:rFonts w:hint="eastAsia" w:ascii="宋体" w:hAnsi="宋体" w:cs="宋体"/>
          <w:i w:val="0"/>
          <w:iCs w:val="0"/>
          <w:color w:val="auto"/>
          <w:sz w:val="21"/>
          <w:szCs w:val="21"/>
          <w:highlight w:val="none"/>
        </w:rPr>
        <w:t>6.招标文件的澄清或者修改</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_Toc3190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8</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"_Toc4734" </w:instrText>
      </w:r>
      <w:r>
        <w:rPr>
          <w:color w:val="auto"/>
          <w:highlight w:val="none"/>
        </w:rPr>
        <w:fldChar w:fldCharType="separate"/>
      </w:r>
      <w:r>
        <w:rPr>
          <w:rFonts w:hint="eastAsia" w:ascii="宋体" w:hAnsi="宋体" w:cs="宋体"/>
          <w:i w:val="0"/>
          <w:iCs w:val="0"/>
          <w:color w:val="auto"/>
          <w:sz w:val="21"/>
          <w:szCs w:val="21"/>
          <w:highlight w:val="none"/>
        </w:rPr>
        <w:t>7.投标截止时间和开标时间的延期</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_Toc4734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9</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20"/>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"_Toc11582" </w:instrText>
      </w:r>
      <w:r>
        <w:rPr>
          <w:color w:val="auto"/>
          <w:highlight w:val="none"/>
        </w:rPr>
        <w:fldChar w:fldCharType="separate"/>
      </w:r>
      <w:r>
        <w:rPr>
          <w:rFonts w:hint="eastAsia" w:ascii="宋体" w:hAnsi="宋体" w:cs="宋体"/>
          <w:color w:val="auto"/>
          <w:sz w:val="21"/>
          <w:szCs w:val="21"/>
          <w:highlight w:val="none"/>
        </w:rPr>
        <w:t>三 投标文件的编制</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_Toc11582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9</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"_Toc19300" </w:instrText>
      </w:r>
      <w:r>
        <w:rPr>
          <w:color w:val="auto"/>
          <w:highlight w:val="none"/>
        </w:rPr>
        <w:fldChar w:fldCharType="separate"/>
      </w:r>
      <w:r>
        <w:rPr>
          <w:rFonts w:hint="eastAsia" w:ascii="宋体" w:hAnsi="宋体" w:cs="宋体"/>
          <w:i w:val="0"/>
          <w:iCs w:val="0"/>
          <w:color w:val="auto"/>
          <w:sz w:val="21"/>
          <w:szCs w:val="21"/>
          <w:highlight w:val="none"/>
        </w:rPr>
        <w:t>8.投标范围及投标文件中计量单位的使用</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_Toc19300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9</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"_Toc1776" </w:instrText>
      </w:r>
      <w:r>
        <w:rPr>
          <w:color w:val="auto"/>
          <w:highlight w:val="none"/>
        </w:rPr>
        <w:fldChar w:fldCharType="separate"/>
      </w:r>
      <w:r>
        <w:rPr>
          <w:rFonts w:hint="eastAsia" w:ascii="宋体" w:hAnsi="宋体" w:cs="宋体"/>
          <w:i w:val="0"/>
          <w:iCs w:val="0"/>
          <w:color w:val="auto"/>
          <w:sz w:val="21"/>
          <w:szCs w:val="21"/>
          <w:highlight w:val="none"/>
        </w:rPr>
        <w:t>9.投标文件构成</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_Toc1776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9</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"_Toc11973" </w:instrText>
      </w:r>
      <w:r>
        <w:rPr>
          <w:color w:val="auto"/>
          <w:highlight w:val="none"/>
        </w:rPr>
        <w:fldChar w:fldCharType="separate"/>
      </w:r>
      <w:r>
        <w:rPr>
          <w:rFonts w:hint="eastAsia" w:ascii="宋体" w:hAnsi="宋体" w:cs="宋体"/>
          <w:i w:val="0"/>
          <w:iCs w:val="0"/>
          <w:color w:val="auto"/>
          <w:sz w:val="21"/>
          <w:szCs w:val="21"/>
          <w:highlight w:val="none"/>
        </w:rPr>
        <w:t>10.投标报价</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_Toc11973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10</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"_Toc4742" </w:instrText>
      </w:r>
      <w:r>
        <w:rPr>
          <w:color w:val="auto"/>
          <w:highlight w:val="none"/>
        </w:rPr>
        <w:fldChar w:fldCharType="separate"/>
      </w:r>
      <w:r>
        <w:rPr>
          <w:rFonts w:hint="eastAsia" w:ascii="宋体" w:hAnsi="宋体" w:cs="宋体"/>
          <w:i w:val="0"/>
          <w:iCs w:val="0"/>
          <w:color w:val="auto"/>
          <w:sz w:val="21"/>
          <w:szCs w:val="21"/>
          <w:highlight w:val="none"/>
        </w:rPr>
        <w:t>11.投标保证金</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_Toc4742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11</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"_Toc21879" </w:instrText>
      </w:r>
      <w:r>
        <w:rPr>
          <w:color w:val="auto"/>
          <w:highlight w:val="none"/>
        </w:rPr>
        <w:fldChar w:fldCharType="separate"/>
      </w:r>
      <w:r>
        <w:rPr>
          <w:rFonts w:hint="eastAsia" w:ascii="宋体" w:hAnsi="宋体" w:cs="宋体"/>
          <w:i w:val="0"/>
          <w:iCs w:val="0"/>
          <w:color w:val="auto"/>
          <w:sz w:val="21"/>
          <w:szCs w:val="21"/>
          <w:highlight w:val="none"/>
        </w:rPr>
        <w:t>12.投标有效期</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_Toc21879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11</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"_Toc573" </w:instrText>
      </w:r>
      <w:r>
        <w:rPr>
          <w:color w:val="auto"/>
          <w:highlight w:val="none"/>
        </w:rPr>
        <w:fldChar w:fldCharType="separate"/>
      </w:r>
      <w:r>
        <w:rPr>
          <w:rFonts w:hint="eastAsia" w:ascii="宋体" w:hAnsi="宋体" w:cs="宋体"/>
          <w:i w:val="0"/>
          <w:iCs w:val="0"/>
          <w:color w:val="auto"/>
          <w:sz w:val="21"/>
          <w:szCs w:val="21"/>
          <w:highlight w:val="none"/>
        </w:rPr>
        <w:t>13.投标文件的签署及规定</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_Toc573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12</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20"/>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"_Toc6799" </w:instrText>
      </w:r>
      <w:r>
        <w:rPr>
          <w:color w:val="auto"/>
          <w:highlight w:val="none"/>
        </w:rPr>
        <w:fldChar w:fldCharType="separate"/>
      </w:r>
      <w:r>
        <w:rPr>
          <w:rFonts w:hint="eastAsia" w:ascii="宋体" w:hAnsi="宋体" w:cs="宋体"/>
          <w:color w:val="auto"/>
          <w:sz w:val="21"/>
          <w:szCs w:val="21"/>
          <w:highlight w:val="none"/>
        </w:rPr>
        <w:t>四 投标文件的递交</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_Toc6799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13</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"_Toc14170" </w:instrText>
      </w:r>
      <w:r>
        <w:rPr>
          <w:color w:val="auto"/>
          <w:highlight w:val="none"/>
        </w:rPr>
        <w:fldChar w:fldCharType="separate"/>
      </w:r>
      <w:r>
        <w:rPr>
          <w:rFonts w:hint="eastAsia" w:ascii="宋体" w:hAnsi="宋体" w:cs="宋体"/>
          <w:i w:val="0"/>
          <w:iCs w:val="0"/>
          <w:color w:val="auto"/>
          <w:sz w:val="21"/>
          <w:szCs w:val="21"/>
          <w:highlight w:val="none"/>
        </w:rPr>
        <w:t>14.投标文件的密封和标记</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_Toc14170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13</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"_Toc10914" </w:instrText>
      </w:r>
      <w:r>
        <w:rPr>
          <w:color w:val="auto"/>
          <w:highlight w:val="none"/>
        </w:rPr>
        <w:fldChar w:fldCharType="separate"/>
      </w:r>
      <w:r>
        <w:rPr>
          <w:rFonts w:hint="eastAsia" w:ascii="宋体" w:hAnsi="宋体" w:cs="宋体"/>
          <w:i w:val="0"/>
          <w:iCs w:val="0"/>
          <w:color w:val="auto"/>
          <w:sz w:val="21"/>
          <w:szCs w:val="21"/>
          <w:highlight w:val="none"/>
        </w:rPr>
        <w:t>15.投标截止期限</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_Toc10914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13</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"_Toc17149" </w:instrText>
      </w:r>
      <w:r>
        <w:rPr>
          <w:color w:val="auto"/>
          <w:highlight w:val="none"/>
        </w:rPr>
        <w:fldChar w:fldCharType="separate"/>
      </w:r>
      <w:r>
        <w:rPr>
          <w:rFonts w:hint="eastAsia" w:ascii="宋体" w:hAnsi="宋体" w:cs="宋体"/>
          <w:i w:val="0"/>
          <w:iCs w:val="0"/>
          <w:color w:val="auto"/>
          <w:sz w:val="21"/>
          <w:szCs w:val="21"/>
          <w:highlight w:val="none"/>
        </w:rPr>
        <w:t>16.投标文件的修改与撤回</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_Toc17149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14</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20"/>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"_Toc30152" </w:instrText>
      </w:r>
      <w:r>
        <w:rPr>
          <w:color w:val="auto"/>
          <w:highlight w:val="none"/>
        </w:rPr>
        <w:fldChar w:fldCharType="separate"/>
      </w:r>
      <w:r>
        <w:rPr>
          <w:rFonts w:hint="eastAsia" w:ascii="宋体" w:hAnsi="宋体" w:cs="宋体"/>
          <w:color w:val="auto"/>
          <w:sz w:val="21"/>
          <w:szCs w:val="21"/>
          <w:highlight w:val="none"/>
        </w:rPr>
        <w:t>五 开标及评标</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_Toc30152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14</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"_Toc12935" </w:instrText>
      </w:r>
      <w:r>
        <w:rPr>
          <w:color w:val="auto"/>
          <w:highlight w:val="none"/>
        </w:rPr>
        <w:fldChar w:fldCharType="separate"/>
      </w:r>
      <w:r>
        <w:rPr>
          <w:rFonts w:hint="eastAsia" w:ascii="宋体" w:hAnsi="宋体" w:cs="宋体"/>
          <w:i w:val="0"/>
          <w:iCs w:val="0"/>
          <w:color w:val="auto"/>
          <w:sz w:val="21"/>
          <w:szCs w:val="21"/>
          <w:highlight w:val="none"/>
        </w:rPr>
        <w:t>17.开标</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_Toc12935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14</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"_Toc25302" </w:instrText>
      </w:r>
      <w:r>
        <w:rPr>
          <w:color w:val="auto"/>
          <w:highlight w:val="none"/>
        </w:rPr>
        <w:fldChar w:fldCharType="separate"/>
      </w:r>
      <w:r>
        <w:rPr>
          <w:rFonts w:hint="eastAsia" w:ascii="宋体" w:hAnsi="宋体" w:cs="宋体"/>
          <w:bCs/>
          <w:i w:val="0"/>
          <w:iCs w:val="0"/>
          <w:color w:val="auto"/>
          <w:kern w:val="0"/>
          <w:sz w:val="21"/>
          <w:szCs w:val="21"/>
          <w:highlight w:val="none"/>
        </w:rPr>
        <w:t>18.组建评标委员会</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_Toc25302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15</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"_Toc11377" </w:instrText>
      </w:r>
      <w:r>
        <w:rPr>
          <w:color w:val="auto"/>
          <w:highlight w:val="none"/>
        </w:rPr>
        <w:fldChar w:fldCharType="separate"/>
      </w:r>
      <w:r>
        <w:rPr>
          <w:rFonts w:hint="eastAsia" w:ascii="宋体" w:hAnsi="宋体" w:cs="宋体"/>
          <w:bCs/>
          <w:i w:val="0"/>
          <w:iCs w:val="0"/>
          <w:color w:val="auto"/>
          <w:sz w:val="21"/>
          <w:szCs w:val="21"/>
          <w:highlight w:val="none"/>
        </w:rPr>
        <w:t>19.投标文件的初审与澄清</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_Toc11377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15</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"_Toc21883" </w:instrText>
      </w:r>
      <w:r>
        <w:rPr>
          <w:color w:val="auto"/>
          <w:highlight w:val="none"/>
        </w:rPr>
        <w:fldChar w:fldCharType="separate"/>
      </w:r>
      <w:r>
        <w:rPr>
          <w:rFonts w:hint="eastAsia" w:ascii="宋体" w:hAnsi="宋体" w:cs="宋体"/>
          <w:i w:val="0"/>
          <w:iCs w:val="0"/>
          <w:color w:val="auto"/>
          <w:sz w:val="21"/>
          <w:szCs w:val="21"/>
          <w:highlight w:val="none"/>
        </w:rPr>
        <w:t>20.投标偏离与非实质性响应</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_Toc21883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16</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"_Toc18554" </w:instrText>
      </w:r>
      <w:r>
        <w:rPr>
          <w:color w:val="auto"/>
          <w:highlight w:val="none"/>
        </w:rPr>
        <w:fldChar w:fldCharType="separate"/>
      </w:r>
      <w:r>
        <w:rPr>
          <w:rFonts w:hint="eastAsia" w:ascii="宋体" w:hAnsi="宋体" w:cs="宋体"/>
          <w:bCs/>
          <w:i w:val="0"/>
          <w:iCs w:val="0"/>
          <w:color w:val="auto"/>
          <w:sz w:val="21"/>
          <w:szCs w:val="21"/>
          <w:highlight w:val="none"/>
        </w:rPr>
        <w:t>21.比较与评价</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_Toc18554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17</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"_Toc26138" </w:instrText>
      </w:r>
      <w:r>
        <w:rPr>
          <w:color w:val="auto"/>
          <w:highlight w:val="none"/>
        </w:rPr>
        <w:fldChar w:fldCharType="separate"/>
      </w:r>
      <w:r>
        <w:rPr>
          <w:rFonts w:hint="eastAsia" w:ascii="宋体" w:hAnsi="宋体" w:cs="宋体"/>
          <w:i w:val="0"/>
          <w:iCs w:val="0"/>
          <w:color w:val="auto"/>
          <w:kern w:val="0"/>
          <w:sz w:val="21"/>
          <w:szCs w:val="21"/>
          <w:highlight w:val="none"/>
        </w:rPr>
        <w:t>22</w:t>
      </w:r>
      <w:r>
        <w:rPr>
          <w:rFonts w:hint="eastAsia" w:ascii="宋体" w:hAnsi="宋体" w:cs="宋体"/>
          <w:bCs/>
          <w:i w:val="0"/>
          <w:iCs w:val="0"/>
          <w:color w:val="auto"/>
          <w:sz w:val="21"/>
          <w:szCs w:val="21"/>
          <w:highlight w:val="none"/>
        </w:rPr>
        <w:t>.</w:t>
      </w:r>
      <w:r>
        <w:rPr>
          <w:rFonts w:hint="eastAsia" w:ascii="宋体" w:hAnsi="宋体" w:cs="宋体"/>
          <w:i w:val="0"/>
          <w:iCs w:val="0"/>
          <w:color w:val="auto"/>
          <w:kern w:val="0"/>
          <w:sz w:val="21"/>
          <w:szCs w:val="21"/>
          <w:highlight w:val="none"/>
        </w:rPr>
        <w:t>评标过程及保密原则</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_Toc26138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17</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20"/>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"_Toc9873" </w:instrText>
      </w:r>
      <w:r>
        <w:rPr>
          <w:color w:val="auto"/>
          <w:highlight w:val="none"/>
        </w:rPr>
        <w:fldChar w:fldCharType="separate"/>
      </w:r>
      <w:r>
        <w:rPr>
          <w:rFonts w:hint="eastAsia" w:ascii="宋体" w:hAnsi="宋体" w:cs="宋体"/>
          <w:color w:val="auto"/>
          <w:sz w:val="21"/>
          <w:szCs w:val="21"/>
          <w:highlight w:val="none"/>
        </w:rPr>
        <w:t>六 确定中标</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_Toc9873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18</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"_Toc24983" </w:instrText>
      </w:r>
      <w:r>
        <w:rPr>
          <w:color w:val="auto"/>
          <w:highlight w:val="none"/>
        </w:rPr>
        <w:fldChar w:fldCharType="separate"/>
      </w:r>
      <w:r>
        <w:rPr>
          <w:rFonts w:hint="eastAsia" w:ascii="宋体" w:hAnsi="宋体" w:cs="宋体"/>
          <w:i w:val="0"/>
          <w:iCs w:val="0"/>
          <w:color w:val="auto"/>
          <w:kern w:val="0"/>
          <w:sz w:val="21"/>
          <w:szCs w:val="21"/>
          <w:highlight w:val="none"/>
        </w:rPr>
        <w:t>23</w:t>
      </w:r>
      <w:r>
        <w:rPr>
          <w:rFonts w:hint="eastAsia" w:ascii="宋体" w:hAnsi="宋体" w:cs="宋体"/>
          <w:bCs/>
          <w:i w:val="0"/>
          <w:iCs w:val="0"/>
          <w:color w:val="auto"/>
          <w:sz w:val="21"/>
          <w:szCs w:val="21"/>
          <w:highlight w:val="none"/>
        </w:rPr>
        <w:t>.</w:t>
      </w:r>
      <w:r>
        <w:rPr>
          <w:rFonts w:hint="eastAsia" w:ascii="宋体" w:hAnsi="宋体" w:cs="宋体"/>
          <w:i w:val="0"/>
          <w:iCs w:val="0"/>
          <w:color w:val="auto"/>
          <w:kern w:val="0"/>
          <w:sz w:val="21"/>
          <w:szCs w:val="21"/>
          <w:highlight w:val="none"/>
        </w:rPr>
        <w:t>中标候选供应商的确定原则及标准</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_Toc24983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18</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"_Toc8693" </w:instrText>
      </w:r>
      <w:r>
        <w:rPr>
          <w:color w:val="auto"/>
          <w:highlight w:val="none"/>
        </w:rPr>
        <w:fldChar w:fldCharType="separate"/>
      </w:r>
      <w:r>
        <w:rPr>
          <w:rFonts w:hint="eastAsia" w:ascii="宋体" w:hAnsi="宋体" w:cs="宋体"/>
          <w:i w:val="0"/>
          <w:iCs w:val="0"/>
          <w:color w:val="auto"/>
          <w:kern w:val="0"/>
          <w:sz w:val="21"/>
          <w:szCs w:val="21"/>
          <w:highlight w:val="none"/>
        </w:rPr>
        <w:t>24</w:t>
      </w:r>
      <w:r>
        <w:rPr>
          <w:rFonts w:hint="eastAsia" w:ascii="宋体" w:hAnsi="宋体" w:cs="宋体"/>
          <w:bCs/>
          <w:i w:val="0"/>
          <w:iCs w:val="0"/>
          <w:color w:val="auto"/>
          <w:sz w:val="21"/>
          <w:szCs w:val="21"/>
          <w:highlight w:val="none"/>
        </w:rPr>
        <w:t>.</w:t>
      </w:r>
      <w:r>
        <w:rPr>
          <w:rFonts w:hint="eastAsia" w:ascii="宋体" w:hAnsi="宋体" w:cs="宋体"/>
          <w:i w:val="0"/>
          <w:iCs w:val="0"/>
          <w:color w:val="auto"/>
          <w:kern w:val="0"/>
          <w:sz w:val="21"/>
          <w:szCs w:val="21"/>
          <w:highlight w:val="none"/>
        </w:rPr>
        <w:t>确定中标供应商</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_Toc8693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18</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"_Toc6262" </w:instrText>
      </w:r>
      <w:r>
        <w:rPr>
          <w:color w:val="auto"/>
          <w:highlight w:val="none"/>
        </w:rPr>
        <w:fldChar w:fldCharType="separate"/>
      </w:r>
      <w:r>
        <w:rPr>
          <w:rFonts w:hint="eastAsia" w:ascii="宋体" w:hAnsi="宋体" w:cs="宋体"/>
          <w:i w:val="0"/>
          <w:iCs w:val="0"/>
          <w:color w:val="auto"/>
          <w:sz w:val="21"/>
          <w:szCs w:val="21"/>
          <w:highlight w:val="none"/>
        </w:rPr>
        <w:t>25</w:t>
      </w:r>
      <w:r>
        <w:rPr>
          <w:rFonts w:hint="eastAsia" w:ascii="宋体" w:hAnsi="宋体" w:cs="宋体"/>
          <w:bCs/>
          <w:i w:val="0"/>
          <w:iCs w:val="0"/>
          <w:color w:val="auto"/>
          <w:sz w:val="21"/>
          <w:szCs w:val="21"/>
          <w:highlight w:val="none"/>
        </w:rPr>
        <w:t>.</w:t>
      </w:r>
      <w:r>
        <w:rPr>
          <w:rFonts w:hint="eastAsia" w:ascii="宋体" w:hAnsi="宋体" w:cs="宋体"/>
          <w:i w:val="0"/>
          <w:iCs w:val="0"/>
          <w:color w:val="auto"/>
          <w:sz w:val="21"/>
          <w:szCs w:val="21"/>
          <w:highlight w:val="none"/>
        </w:rPr>
        <w:t>接受或拒绝投标的权利</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_Toc6262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18</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"_Toc10840" </w:instrText>
      </w:r>
      <w:r>
        <w:rPr>
          <w:color w:val="auto"/>
          <w:highlight w:val="none"/>
        </w:rPr>
        <w:fldChar w:fldCharType="separate"/>
      </w:r>
      <w:r>
        <w:rPr>
          <w:rFonts w:hint="eastAsia" w:ascii="宋体" w:hAnsi="宋体" w:cs="宋体"/>
          <w:i w:val="0"/>
          <w:iCs w:val="0"/>
          <w:color w:val="auto"/>
          <w:kern w:val="0"/>
          <w:sz w:val="21"/>
          <w:szCs w:val="21"/>
          <w:highlight w:val="none"/>
        </w:rPr>
        <w:t>26</w:t>
      </w:r>
      <w:r>
        <w:rPr>
          <w:rFonts w:hint="eastAsia" w:ascii="宋体" w:hAnsi="宋体" w:cs="宋体"/>
          <w:bCs/>
          <w:i w:val="0"/>
          <w:iCs w:val="0"/>
          <w:color w:val="auto"/>
          <w:sz w:val="21"/>
          <w:szCs w:val="21"/>
          <w:highlight w:val="none"/>
        </w:rPr>
        <w:t>.</w:t>
      </w:r>
      <w:r>
        <w:rPr>
          <w:rFonts w:hint="eastAsia" w:ascii="宋体" w:hAnsi="宋体" w:cs="宋体"/>
          <w:i w:val="0"/>
          <w:iCs w:val="0"/>
          <w:color w:val="auto"/>
          <w:kern w:val="0"/>
          <w:sz w:val="21"/>
          <w:szCs w:val="21"/>
          <w:highlight w:val="none"/>
        </w:rPr>
        <w:t>中标通知书</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_Toc10840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18</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"_Toc32756" </w:instrText>
      </w:r>
      <w:r>
        <w:rPr>
          <w:color w:val="auto"/>
          <w:highlight w:val="none"/>
        </w:rPr>
        <w:fldChar w:fldCharType="separate"/>
      </w:r>
      <w:r>
        <w:rPr>
          <w:rFonts w:hint="eastAsia" w:ascii="宋体" w:hAnsi="宋体" w:cs="宋体"/>
          <w:i w:val="0"/>
          <w:iCs w:val="0"/>
          <w:color w:val="auto"/>
          <w:kern w:val="0"/>
          <w:sz w:val="21"/>
          <w:szCs w:val="21"/>
          <w:highlight w:val="none"/>
        </w:rPr>
        <w:t>27</w:t>
      </w:r>
      <w:r>
        <w:rPr>
          <w:rFonts w:hint="eastAsia" w:ascii="宋体" w:hAnsi="宋体" w:cs="宋体"/>
          <w:bCs/>
          <w:i w:val="0"/>
          <w:iCs w:val="0"/>
          <w:color w:val="auto"/>
          <w:sz w:val="21"/>
          <w:szCs w:val="21"/>
          <w:highlight w:val="none"/>
        </w:rPr>
        <w:t>.</w:t>
      </w:r>
      <w:r>
        <w:rPr>
          <w:rFonts w:hint="eastAsia" w:ascii="宋体" w:hAnsi="宋体" w:cs="宋体"/>
          <w:i w:val="0"/>
          <w:iCs w:val="0"/>
          <w:color w:val="auto"/>
          <w:kern w:val="0"/>
          <w:sz w:val="21"/>
          <w:szCs w:val="21"/>
          <w:highlight w:val="none"/>
        </w:rPr>
        <w:t>签订合同</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_Toc32756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19</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"_Toc23303" </w:instrText>
      </w:r>
      <w:r>
        <w:rPr>
          <w:color w:val="auto"/>
          <w:highlight w:val="none"/>
        </w:rPr>
        <w:fldChar w:fldCharType="separate"/>
      </w:r>
      <w:r>
        <w:rPr>
          <w:rFonts w:hint="eastAsia" w:ascii="宋体" w:hAnsi="宋体" w:cs="宋体"/>
          <w:i w:val="0"/>
          <w:iCs w:val="0"/>
          <w:color w:val="auto"/>
          <w:kern w:val="0"/>
          <w:sz w:val="21"/>
          <w:szCs w:val="21"/>
          <w:highlight w:val="none"/>
        </w:rPr>
        <w:t>28</w:t>
      </w:r>
      <w:r>
        <w:rPr>
          <w:rFonts w:hint="eastAsia" w:ascii="宋体" w:hAnsi="宋体" w:cs="宋体"/>
          <w:bCs/>
          <w:i w:val="0"/>
          <w:iCs w:val="0"/>
          <w:color w:val="auto"/>
          <w:sz w:val="21"/>
          <w:szCs w:val="21"/>
          <w:highlight w:val="none"/>
        </w:rPr>
        <w:t>.</w:t>
      </w:r>
      <w:r>
        <w:rPr>
          <w:rFonts w:hint="eastAsia" w:ascii="宋体" w:hAnsi="宋体" w:cs="宋体"/>
          <w:i w:val="0"/>
          <w:iCs w:val="0"/>
          <w:color w:val="auto"/>
          <w:kern w:val="0"/>
          <w:sz w:val="21"/>
          <w:szCs w:val="21"/>
          <w:highlight w:val="none"/>
        </w:rPr>
        <w:t>履约保证金</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_Toc23303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19</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"_Toc32015" </w:instrText>
      </w:r>
      <w:r>
        <w:rPr>
          <w:color w:val="auto"/>
          <w:highlight w:val="none"/>
        </w:rPr>
        <w:fldChar w:fldCharType="separate"/>
      </w:r>
      <w:r>
        <w:rPr>
          <w:rFonts w:hint="eastAsia" w:ascii="宋体" w:hAnsi="宋体" w:cs="宋体"/>
          <w:i w:val="0"/>
          <w:iCs w:val="0"/>
          <w:color w:val="auto"/>
          <w:kern w:val="0"/>
          <w:sz w:val="21"/>
          <w:szCs w:val="21"/>
          <w:highlight w:val="none"/>
        </w:rPr>
        <w:t>29</w:t>
      </w:r>
      <w:r>
        <w:rPr>
          <w:rFonts w:hint="eastAsia" w:ascii="宋体" w:hAnsi="宋体" w:cs="宋体"/>
          <w:bCs/>
          <w:i w:val="0"/>
          <w:iCs w:val="0"/>
          <w:color w:val="auto"/>
          <w:sz w:val="21"/>
          <w:szCs w:val="21"/>
          <w:highlight w:val="none"/>
        </w:rPr>
        <w:t>.</w:t>
      </w:r>
      <w:r>
        <w:rPr>
          <w:rFonts w:hint="eastAsia" w:ascii="宋体" w:hAnsi="宋体" w:cs="宋体"/>
          <w:i w:val="0"/>
          <w:iCs w:val="0"/>
          <w:color w:val="auto"/>
          <w:kern w:val="0"/>
          <w:sz w:val="21"/>
          <w:szCs w:val="21"/>
          <w:highlight w:val="none"/>
        </w:rPr>
        <w:t>保密和披露</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_Toc32015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19</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"_Toc26723" </w:instrText>
      </w:r>
      <w:r>
        <w:rPr>
          <w:color w:val="auto"/>
          <w:highlight w:val="none"/>
        </w:rPr>
        <w:fldChar w:fldCharType="separate"/>
      </w:r>
      <w:r>
        <w:rPr>
          <w:rFonts w:hint="eastAsia" w:ascii="宋体" w:hAnsi="宋体" w:cs="宋体"/>
          <w:i w:val="0"/>
          <w:iCs w:val="0"/>
          <w:color w:val="auto"/>
          <w:kern w:val="0"/>
          <w:sz w:val="21"/>
          <w:szCs w:val="21"/>
          <w:highlight w:val="none"/>
        </w:rPr>
        <w:t>30</w:t>
      </w:r>
      <w:r>
        <w:rPr>
          <w:rFonts w:hint="eastAsia" w:ascii="宋体" w:hAnsi="宋体" w:cs="宋体"/>
          <w:bCs/>
          <w:i w:val="0"/>
          <w:iCs w:val="0"/>
          <w:color w:val="auto"/>
          <w:sz w:val="21"/>
          <w:szCs w:val="21"/>
          <w:highlight w:val="none"/>
        </w:rPr>
        <w:t>.</w:t>
      </w:r>
      <w:r>
        <w:rPr>
          <w:rFonts w:hint="eastAsia" w:ascii="宋体" w:hAnsi="宋体" w:cs="宋体"/>
          <w:i w:val="0"/>
          <w:iCs w:val="0"/>
          <w:color w:val="auto"/>
          <w:kern w:val="0"/>
          <w:sz w:val="21"/>
          <w:szCs w:val="21"/>
          <w:highlight w:val="none"/>
        </w:rPr>
        <w:t>腐败和欺诈行为</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_Toc26723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19</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"_Toc12433" </w:instrText>
      </w:r>
      <w:r>
        <w:rPr>
          <w:color w:val="auto"/>
          <w:highlight w:val="none"/>
        </w:rPr>
        <w:fldChar w:fldCharType="separate"/>
      </w:r>
      <w:r>
        <w:rPr>
          <w:rFonts w:hint="eastAsia" w:ascii="宋体" w:hAnsi="宋体" w:cs="宋体"/>
          <w:i w:val="0"/>
          <w:iCs w:val="0"/>
          <w:color w:val="auto"/>
          <w:sz w:val="21"/>
          <w:szCs w:val="21"/>
          <w:highlight w:val="none"/>
        </w:rPr>
        <w:t>31</w:t>
      </w:r>
      <w:r>
        <w:rPr>
          <w:rFonts w:hint="eastAsia" w:ascii="宋体" w:hAnsi="宋体" w:cs="宋体"/>
          <w:bCs/>
          <w:i w:val="0"/>
          <w:iCs w:val="0"/>
          <w:color w:val="auto"/>
          <w:sz w:val="21"/>
          <w:szCs w:val="21"/>
          <w:highlight w:val="none"/>
        </w:rPr>
        <w:t>.</w:t>
      </w:r>
      <w:r>
        <w:rPr>
          <w:rFonts w:hint="eastAsia" w:ascii="宋体" w:hAnsi="宋体" w:cs="宋体"/>
          <w:i w:val="0"/>
          <w:iCs w:val="0"/>
          <w:color w:val="auto"/>
          <w:sz w:val="21"/>
          <w:szCs w:val="21"/>
          <w:highlight w:val="none"/>
        </w:rPr>
        <w:t>质疑与投诉</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_Toc12433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20</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"_Toc32314" </w:instrText>
      </w:r>
      <w:r>
        <w:rPr>
          <w:color w:val="auto"/>
          <w:highlight w:val="none"/>
        </w:rPr>
        <w:fldChar w:fldCharType="separate"/>
      </w:r>
      <w:r>
        <w:rPr>
          <w:rFonts w:hint="eastAsia" w:ascii="宋体" w:hAnsi="宋体" w:cs="宋体"/>
          <w:i w:val="0"/>
          <w:iCs w:val="0"/>
          <w:color w:val="auto"/>
          <w:kern w:val="0"/>
          <w:sz w:val="21"/>
          <w:szCs w:val="21"/>
          <w:highlight w:val="none"/>
        </w:rPr>
        <w:t>32</w:t>
      </w:r>
      <w:r>
        <w:rPr>
          <w:rFonts w:hint="eastAsia" w:ascii="宋体" w:hAnsi="宋体" w:cs="宋体"/>
          <w:bCs/>
          <w:i w:val="0"/>
          <w:iCs w:val="0"/>
          <w:color w:val="auto"/>
          <w:sz w:val="21"/>
          <w:szCs w:val="21"/>
          <w:highlight w:val="none"/>
        </w:rPr>
        <w:t>.</w:t>
      </w:r>
      <w:r>
        <w:rPr>
          <w:rFonts w:hint="eastAsia" w:ascii="宋体" w:hAnsi="宋体" w:cs="宋体"/>
          <w:i w:val="0"/>
          <w:iCs w:val="0"/>
          <w:color w:val="auto"/>
          <w:kern w:val="0"/>
          <w:sz w:val="21"/>
          <w:szCs w:val="21"/>
          <w:highlight w:val="none"/>
        </w:rPr>
        <w:t>中标服务费</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_Toc32314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20</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6"/>
        <w:tabs>
          <w:tab w:val="right" w:leader="dot" w:pos="830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"_Toc5267" </w:instrText>
      </w:r>
      <w:r>
        <w:rPr>
          <w:color w:val="auto"/>
          <w:highlight w:val="none"/>
        </w:rPr>
        <w:fldChar w:fldCharType="separate"/>
      </w:r>
      <w:r>
        <w:rPr>
          <w:rFonts w:hint="eastAsia" w:ascii="宋体" w:hAnsi="宋体" w:cs="宋体"/>
          <w:color w:val="auto"/>
          <w:sz w:val="21"/>
          <w:szCs w:val="21"/>
          <w:highlight w:val="none"/>
        </w:rPr>
        <w:t>第二章  合同格式及条款</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_Toc5267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22</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6"/>
        <w:tabs>
          <w:tab w:val="right" w:leader="dot" w:pos="830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"_Toc12197" </w:instrText>
      </w:r>
      <w:r>
        <w:rPr>
          <w:color w:val="auto"/>
          <w:highlight w:val="none"/>
        </w:rPr>
        <w:fldChar w:fldCharType="separate"/>
      </w:r>
      <w:r>
        <w:rPr>
          <w:rFonts w:hint="eastAsia" w:ascii="宋体" w:hAnsi="宋体" w:cs="宋体"/>
          <w:color w:val="auto"/>
          <w:sz w:val="21"/>
          <w:szCs w:val="21"/>
          <w:highlight w:val="none"/>
        </w:rPr>
        <w:t>第三章  投标文件格式</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_Toc12197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22</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20"/>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"_Toc21869" </w:instrText>
      </w:r>
      <w:r>
        <w:rPr>
          <w:color w:val="auto"/>
          <w:highlight w:val="none"/>
        </w:rPr>
        <w:fldChar w:fldCharType="separate"/>
      </w:r>
      <w:r>
        <w:rPr>
          <w:rFonts w:hint="eastAsia" w:ascii="宋体" w:hAnsi="宋体" w:cs="宋体"/>
          <w:color w:val="auto"/>
          <w:sz w:val="21"/>
          <w:szCs w:val="21"/>
          <w:highlight w:val="none"/>
        </w:rPr>
        <w:t>1、供应商提交文件须知</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_Toc21869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41</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20"/>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"_Toc1528" </w:instrText>
      </w:r>
      <w:r>
        <w:rPr>
          <w:color w:val="auto"/>
          <w:highlight w:val="none"/>
        </w:rPr>
        <w:fldChar w:fldCharType="separate"/>
      </w:r>
      <w:r>
        <w:rPr>
          <w:rFonts w:hint="eastAsia" w:ascii="宋体" w:hAnsi="宋体" w:cs="宋体"/>
          <w:color w:val="auto"/>
          <w:sz w:val="21"/>
          <w:szCs w:val="21"/>
          <w:highlight w:val="none"/>
        </w:rPr>
        <w:t>2、附件目录</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_Toc1528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41</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0"/>
        <w:tabs>
          <w:tab w:val="right" w:leader="dot" w:pos="8306"/>
          <w:tab w:val="clear" w:pos="8296"/>
        </w:tabs>
        <w:rPr>
          <w:rFonts w:ascii="宋体" w:hAnsi="宋体" w:cs="宋体"/>
          <w:bCs/>
          <w:i w:val="0"/>
          <w:iCs w:val="0"/>
          <w:color w:val="auto"/>
          <w:sz w:val="21"/>
          <w:szCs w:val="21"/>
          <w:highlight w:val="none"/>
        </w:rPr>
      </w:pPr>
      <w:r>
        <w:rPr>
          <w:color w:val="auto"/>
          <w:highlight w:val="none"/>
        </w:rPr>
        <w:fldChar w:fldCharType="begin"/>
      </w:r>
      <w:r>
        <w:rPr>
          <w:color w:val="auto"/>
          <w:highlight w:val="none"/>
        </w:rPr>
        <w:instrText xml:space="preserve"> HYPERLINK \l "_Toc26532" </w:instrText>
      </w:r>
      <w:r>
        <w:rPr>
          <w:color w:val="auto"/>
          <w:highlight w:val="none"/>
        </w:rPr>
        <w:fldChar w:fldCharType="separate"/>
      </w:r>
      <w:r>
        <w:rPr>
          <w:rFonts w:hint="eastAsia" w:ascii="宋体" w:hAnsi="宋体" w:cs="宋体"/>
          <w:i w:val="0"/>
          <w:iCs w:val="0"/>
          <w:color w:val="auto"/>
          <w:sz w:val="21"/>
          <w:szCs w:val="21"/>
          <w:highlight w:val="none"/>
        </w:rPr>
        <w:t>附件1  投标书</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_Toc26532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43</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"_Toc13733" </w:instrText>
      </w:r>
      <w:r>
        <w:rPr>
          <w:color w:val="auto"/>
          <w:highlight w:val="none"/>
        </w:rPr>
        <w:fldChar w:fldCharType="separate"/>
      </w:r>
      <w:r>
        <w:rPr>
          <w:rFonts w:hint="eastAsia" w:ascii="宋体" w:hAnsi="宋体" w:cs="宋体"/>
          <w:i w:val="0"/>
          <w:iCs w:val="0"/>
          <w:color w:val="auto"/>
          <w:sz w:val="21"/>
          <w:szCs w:val="21"/>
          <w:highlight w:val="none"/>
        </w:rPr>
        <w:t>附件2  开标一览表</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t>4</w:t>
      </w:r>
      <w:r>
        <w:rPr>
          <w:rFonts w:hint="eastAsia" w:ascii="宋体" w:hAnsi="宋体" w:cs="宋体"/>
          <w:bCs/>
          <w:i w:val="0"/>
          <w:iCs w:val="0"/>
          <w:color w:val="auto"/>
          <w:sz w:val="21"/>
          <w:szCs w:val="21"/>
          <w:highlight w:val="none"/>
        </w:rPr>
        <w:t>4</w:t>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"_Toc7660" </w:instrText>
      </w:r>
      <w:r>
        <w:rPr>
          <w:color w:val="auto"/>
          <w:highlight w:val="none"/>
        </w:rPr>
        <w:fldChar w:fldCharType="separate"/>
      </w:r>
      <w:r>
        <w:rPr>
          <w:rFonts w:hint="eastAsia" w:ascii="宋体" w:hAnsi="宋体" w:cs="宋体"/>
          <w:i w:val="0"/>
          <w:iCs w:val="0"/>
          <w:color w:val="auto"/>
          <w:sz w:val="21"/>
          <w:szCs w:val="21"/>
          <w:highlight w:val="none"/>
        </w:rPr>
        <w:t>附件3　投标分项报价说明表</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_Toc7660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46</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"_Toc2459" </w:instrText>
      </w:r>
      <w:r>
        <w:rPr>
          <w:color w:val="auto"/>
          <w:highlight w:val="none"/>
        </w:rPr>
        <w:fldChar w:fldCharType="separate"/>
      </w:r>
      <w:r>
        <w:rPr>
          <w:rFonts w:hint="eastAsia" w:ascii="宋体" w:hAnsi="宋体" w:cs="宋体"/>
          <w:i w:val="0"/>
          <w:iCs w:val="0"/>
          <w:color w:val="auto"/>
          <w:sz w:val="21"/>
          <w:szCs w:val="21"/>
          <w:highlight w:val="none"/>
        </w:rPr>
        <w:t>附件4　供应商技术服务项目偏离表</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_Toc2459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47</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"_Toc31142" </w:instrText>
      </w:r>
      <w:r>
        <w:rPr>
          <w:color w:val="auto"/>
          <w:highlight w:val="none"/>
        </w:rPr>
        <w:fldChar w:fldCharType="separate"/>
      </w:r>
      <w:r>
        <w:rPr>
          <w:rFonts w:hint="eastAsia" w:ascii="宋体" w:hAnsi="宋体" w:cs="宋体"/>
          <w:i w:val="0"/>
          <w:iCs w:val="0"/>
          <w:color w:val="auto"/>
          <w:sz w:val="21"/>
          <w:szCs w:val="21"/>
          <w:highlight w:val="none"/>
        </w:rPr>
        <w:t>附件5　商务条款偏离表</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_Toc31142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48</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"_Toc13356" </w:instrText>
      </w:r>
      <w:r>
        <w:rPr>
          <w:color w:val="auto"/>
          <w:highlight w:val="none"/>
        </w:rPr>
        <w:fldChar w:fldCharType="separate"/>
      </w:r>
      <w:r>
        <w:rPr>
          <w:rFonts w:hint="eastAsia" w:ascii="宋体" w:hAnsi="宋体" w:cs="宋体"/>
          <w:i w:val="0"/>
          <w:iCs w:val="0"/>
          <w:color w:val="auto"/>
          <w:sz w:val="21"/>
          <w:szCs w:val="21"/>
          <w:highlight w:val="none"/>
        </w:rPr>
        <w:t>附件6　履约保证金保函（格式）</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_Toc13356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49</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"_Toc14548" </w:instrText>
      </w:r>
      <w:r>
        <w:rPr>
          <w:color w:val="auto"/>
          <w:highlight w:val="none"/>
        </w:rPr>
        <w:fldChar w:fldCharType="separate"/>
      </w:r>
      <w:r>
        <w:rPr>
          <w:rFonts w:hint="eastAsia" w:ascii="宋体" w:hAnsi="宋体" w:cs="宋体"/>
          <w:i w:val="0"/>
          <w:iCs w:val="0"/>
          <w:color w:val="auto"/>
          <w:sz w:val="21"/>
          <w:szCs w:val="21"/>
          <w:highlight w:val="none"/>
        </w:rPr>
        <w:t>附件7　资格证明文件（格式）</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_Toc14548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51</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7"/>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"_Toc20895" </w:instrText>
      </w:r>
      <w:r>
        <w:rPr>
          <w:color w:val="auto"/>
          <w:highlight w:val="none"/>
        </w:rPr>
        <w:fldChar w:fldCharType="separate"/>
      </w:r>
      <w:r>
        <w:rPr>
          <w:rFonts w:hint="eastAsia" w:ascii="宋体" w:hAnsi="宋体" w:cs="宋体"/>
          <w:color w:val="auto"/>
          <w:sz w:val="21"/>
          <w:szCs w:val="21"/>
          <w:highlight w:val="none"/>
        </w:rPr>
        <w:t>附件7-1   法人营业执照副本</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_Toc20895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52</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7"/>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"_Toc2217" </w:instrText>
      </w:r>
      <w:r>
        <w:rPr>
          <w:color w:val="auto"/>
          <w:highlight w:val="none"/>
        </w:rPr>
        <w:fldChar w:fldCharType="separate"/>
      </w:r>
      <w:r>
        <w:rPr>
          <w:rFonts w:hint="eastAsia" w:ascii="宋体" w:hAnsi="宋体" w:cs="宋体"/>
          <w:bCs/>
          <w:color w:val="auto"/>
          <w:sz w:val="21"/>
          <w:szCs w:val="21"/>
          <w:highlight w:val="none"/>
        </w:rPr>
        <w:t>附件7-2   法定代表人的授权委托书(格式)</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_Toc2217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53</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7"/>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"_Toc15930" </w:instrText>
      </w:r>
      <w:r>
        <w:rPr>
          <w:color w:val="auto"/>
          <w:highlight w:val="none"/>
        </w:rPr>
        <w:fldChar w:fldCharType="separate"/>
      </w:r>
      <w:r>
        <w:rPr>
          <w:rFonts w:hint="eastAsia" w:ascii="宋体" w:hAnsi="宋体" w:cs="宋体"/>
          <w:bCs/>
          <w:color w:val="auto"/>
          <w:sz w:val="21"/>
          <w:szCs w:val="21"/>
          <w:highlight w:val="none"/>
        </w:rPr>
        <w:t>附件7-3   供应商基本情况表　(格式)</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_Toc15930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54</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7"/>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"_Toc12457" </w:instrText>
      </w:r>
      <w:r>
        <w:rPr>
          <w:color w:val="auto"/>
          <w:highlight w:val="none"/>
        </w:rPr>
        <w:fldChar w:fldCharType="separate"/>
      </w:r>
      <w:r>
        <w:rPr>
          <w:rFonts w:hint="eastAsia" w:ascii="宋体" w:hAnsi="宋体" w:cs="宋体"/>
          <w:color w:val="auto"/>
          <w:sz w:val="21"/>
          <w:szCs w:val="21"/>
          <w:highlight w:val="none"/>
        </w:rPr>
        <w:t>附件7-4　 供应商财务状况证明文件</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_Toc12457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55</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7"/>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"_Toc30308" </w:instrText>
      </w:r>
      <w:r>
        <w:rPr>
          <w:color w:val="auto"/>
          <w:highlight w:val="none"/>
        </w:rPr>
        <w:fldChar w:fldCharType="separate"/>
      </w:r>
      <w:r>
        <w:rPr>
          <w:rFonts w:hint="eastAsia" w:ascii="宋体" w:hAnsi="宋体" w:cs="宋体"/>
          <w:color w:val="auto"/>
          <w:sz w:val="21"/>
          <w:szCs w:val="21"/>
          <w:highlight w:val="none"/>
        </w:rPr>
        <w:t>附件7-5   社会保障资金缴纳记录证明文件</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_Toc30308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56</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7"/>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"_Toc2765" </w:instrText>
      </w:r>
      <w:r>
        <w:rPr>
          <w:color w:val="auto"/>
          <w:highlight w:val="none"/>
        </w:rPr>
        <w:fldChar w:fldCharType="separate"/>
      </w:r>
      <w:r>
        <w:rPr>
          <w:rFonts w:hint="eastAsia" w:ascii="宋体" w:hAnsi="宋体" w:cs="宋体"/>
          <w:color w:val="auto"/>
          <w:sz w:val="21"/>
          <w:szCs w:val="21"/>
          <w:highlight w:val="none"/>
        </w:rPr>
        <w:t>附件7-6   依法缴纳税收记录证明文件</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_Toc2765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57</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7"/>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"_Toc9908" </w:instrText>
      </w:r>
      <w:r>
        <w:rPr>
          <w:color w:val="auto"/>
          <w:highlight w:val="none"/>
        </w:rPr>
        <w:fldChar w:fldCharType="separate"/>
      </w:r>
      <w:r>
        <w:rPr>
          <w:rFonts w:hint="eastAsia" w:ascii="宋体" w:hAnsi="宋体" w:cs="宋体"/>
          <w:color w:val="auto"/>
          <w:sz w:val="21"/>
          <w:szCs w:val="21"/>
          <w:highlight w:val="none"/>
        </w:rPr>
        <w:t xml:space="preserve">附件7-7   参加本次政府采购活动前三年内，在经营活动中没有重大违法记录的书面声明 </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_Toc9908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58</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7"/>
        <w:tabs>
          <w:tab w:val="right" w:leader="dot" w:pos="8306"/>
          <w:tab w:val="clear" w:pos="8296"/>
        </w:tabs>
        <w:rPr>
          <w:rFonts w:ascii="宋体" w:hAnsi="宋体" w:cs="宋体"/>
          <w:color w:val="auto"/>
          <w:sz w:val="21"/>
          <w:szCs w:val="21"/>
          <w:highlight w:val="none"/>
        </w:rPr>
      </w:pPr>
      <w:r>
        <w:rPr>
          <w:color w:val="auto"/>
          <w:highlight w:val="none"/>
        </w:rPr>
        <w:fldChar w:fldCharType="begin"/>
      </w:r>
      <w:r>
        <w:rPr>
          <w:color w:val="auto"/>
          <w:highlight w:val="none"/>
        </w:rPr>
        <w:instrText xml:space="preserve"> HYPERLINK \l "_Toc27080" </w:instrText>
      </w:r>
      <w:r>
        <w:rPr>
          <w:color w:val="auto"/>
          <w:highlight w:val="none"/>
        </w:rPr>
        <w:fldChar w:fldCharType="separate"/>
      </w:r>
      <w:r>
        <w:rPr>
          <w:rFonts w:hint="eastAsia" w:ascii="宋体" w:hAnsi="宋体" w:cs="宋体"/>
          <w:color w:val="auto"/>
          <w:sz w:val="21"/>
          <w:szCs w:val="21"/>
          <w:highlight w:val="none"/>
        </w:rPr>
        <w:t>附件7-8   招标文件要求的其他资格证明文件</w:t>
      </w:r>
      <w:r>
        <w:rPr>
          <w:rFonts w:hint="eastAsia" w:ascii="宋体" w:hAnsi="宋体" w:cs="宋体"/>
          <w:color w:val="auto"/>
          <w:sz w:val="21"/>
          <w:szCs w:val="21"/>
          <w:highlight w:val="none"/>
        </w:rPr>
        <w:tab/>
      </w:r>
      <w:r>
        <w:rPr>
          <w:rFonts w:hint="eastAsia" w:ascii="宋体" w:hAnsi="宋体" w:cs="宋体"/>
          <w:color w:val="auto"/>
          <w:sz w:val="21"/>
          <w:szCs w:val="21"/>
          <w:highlight w:val="none"/>
        </w:rPr>
        <w:fldChar w:fldCharType="begin"/>
      </w:r>
      <w:r>
        <w:rPr>
          <w:rFonts w:hint="eastAsia" w:ascii="宋体" w:hAnsi="宋体" w:cs="宋体"/>
          <w:color w:val="auto"/>
          <w:sz w:val="21"/>
          <w:szCs w:val="21"/>
          <w:highlight w:val="none"/>
        </w:rPr>
        <w:instrText xml:space="preserve"> PAGEREF _Toc27080 </w:instrText>
      </w:r>
      <w:r>
        <w:rPr>
          <w:rFonts w:hint="eastAsia" w:ascii="宋体" w:hAnsi="宋体" w:cs="宋体"/>
          <w:color w:val="auto"/>
          <w:sz w:val="21"/>
          <w:szCs w:val="21"/>
          <w:highlight w:val="none"/>
        </w:rPr>
        <w:fldChar w:fldCharType="separate"/>
      </w:r>
      <w:r>
        <w:rPr>
          <w:rFonts w:hint="eastAsia" w:ascii="宋体" w:hAnsi="宋体" w:cs="宋体"/>
          <w:color w:val="auto"/>
          <w:sz w:val="21"/>
          <w:szCs w:val="21"/>
          <w:highlight w:val="none"/>
        </w:rPr>
        <w:t>59</w:t>
      </w:r>
      <w:r>
        <w:rPr>
          <w:rFonts w:hint="eastAsia" w:ascii="宋体" w:hAnsi="宋体" w:cs="宋体"/>
          <w:color w:val="auto"/>
          <w:sz w:val="21"/>
          <w:szCs w:val="21"/>
          <w:highlight w:val="none"/>
        </w:rPr>
        <w:fldChar w:fldCharType="end"/>
      </w:r>
      <w:r>
        <w:rPr>
          <w:rFonts w:hint="eastAsia" w:ascii="宋体" w:hAnsi="宋体" w:cs="宋体"/>
          <w:color w:val="auto"/>
          <w:sz w:val="21"/>
          <w:szCs w:val="21"/>
          <w:highlight w:val="none"/>
        </w:rPr>
        <w:fldChar w:fldCharType="end"/>
      </w:r>
    </w:p>
    <w:p>
      <w:pPr>
        <w:pStyle w:val="10"/>
        <w:tabs>
          <w:tab w:val="right" w:leader="dot" w:pos="8306"/>
          <w:tab w:val="clear" w:pos="8296"/>
        </w:tabs>
        <w:rPr>
          <w:rFonts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"_Toc13733" </w:instrText>
      </w:r>
      <w:r>
        <w:rPr>
          <w:color w:val="auto"/>
          <w:highlight w:val="none"/>
        </w:rPr>
        <w:fldChar w:fldCharType="separate"/>
      </w:r>
      <w:r>
        <w:rPr>
          <w:rFonts w:hint="eastAsia" w:ascii="宋体" w:hAnsi="宋体" w:cs="宋体"/>
          <w:i w:val="0"/>
          <w:iCs w:val="0"/>
          <w:color w:val="auto"/>
          <w:sz w:val="21"/>
          <w:szCs w:val="21"/>
          <w:highlight w:val="none"/>
        </w:rPr>
        <w:t>附件8   服务明细表</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_Toc13733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60</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pStyle w:val="10"/>
        <w:tabs>
          <w:tab w:val="right" w:leader="dot" w:pos="8306"/>
          <w:tab w:val="clear" w:pos="8296"/>
        </w:tabs>
        <w:rPr>
          <w:rFonts w:hint="eastAsia" w:ascii="宋体" w:hAnsi="宋体" w:cs="宋体"/>
          <w:i w:val="0"/>
          <w:iCs w:val="0"/>
          <w:color w:val="auto"/>
          <w:sz w:val="21"/>
          <w:szCs w:val="21"/>
          <w:highlight w:val="none"/>
        </w:rPr>
      </w:pPr>
      <w:r>
        <w:rPr>
          <w:color w:val="auto"/>
          <w:highlight w:val="none"/>
        </w:rPr>
        <w:fldChar w:fldCharType="begin"/>
      </w:r>
      <w:r>
        <w:rPr>
          <w:color w:val="auto"/>
          <w:highlight w:val="none"/>
        </w:rPr>
        <w:instrText xml:space="preserve"> HYPERLINK \l "_Toc18036" </w:instrText>
      </w:r>
      <w:r>
        <w:rPr>
          <w:color w:val="auto"/>
          <w:highlight w:val="none"/>
        </w:rPr>
        <w:fldChar w:fldCharType="separate"/>
      </w:r>
      <w:r>
        <w:rPr>
          <w:rFonts w:hint="eastAsia" w:ascii="宋体" w:hAnsi="宋体" w:cs="宋体"/>
          <w:i w:val="0"/>
          <w:iCs w:val="0"/>
          <w:color w:val="auto"/>
          <w:sz w:val="21"/>
          <w:szCs w:val="21"/>
          <w:highlight w:val="none"/>
        </w:rPr>
        <w:t>附件9   招标代理费承诺书</w:t>
      </w:r>
      <w:r>
        <w:rPr>
          <w:rFonts w:hint="eastAsia" w:ascii="宋体" w:hAnsi="宋体" w:cs="宋体"/>
          <w:i w:val="0"/>
          <w:iCs w:val="0"/>
          <w:color w:val="auto"/>
          <w:sz w:val="21"/>
          <w:szCs w:val="21"/>
          <w:highlight w:val="none"/>
        </w:rPr>
        <w:tab/>
      </w:r>
      <w:r>
        <w:rPr>
          <w:rFonts w:hint="eastAsia" w:ascii="宋体" w:hAnsi="宋体" w:cs="宋体"/>
          <w:i w:val="0"/>
          <w:iCs w:val="0"/>
          <w:color w:val="auto"/>
          <w:sz w:val="21"/>
          <w:szCs w:val="21"/>
          <w:highlight w:val="none"/>
        </w:rPr>
        <w:fldChar w:fldCharType="begin"/>
      </w:r>
      <w:r>
        <w:rPr>
          <w:rFonts w:hint="eastAsia" w:ascii="宋体" w:hAnsi="宋体" w:cs="宋体"/>
          <w:i w:val="0"/>
          <w:iCs w:val="0"/>
          <w:color w:val="auto"/>
          <w:sz w:val="21"/>
          <w:szCs w:val="21"/>
          <w:highlight w:val="none"/>
        </w:rPr>
        <w:instrText xml:space="preserve"> PAGEREF _Toc18036 </w:instrText>
      </w:r>
      <w:r>
        <w:rPr>
          <w:rFonts w:hint="eastAsia" w:ascii="宋体" w:hAnsi="宋体" w:cs="宋体"/>
          <w:i w:val="0"/>
          <w:iCs w:val="0"/>
          <w:color w:val="auto"/>
          <w:sz w:val="21"/>
          <w:szCs w:val="21"/>
          <w:highlight w:val="none"/>
        </w:rPr>
        <w:fldChar w:fldCharType="separate"/>
      </w:r>
      <w:r>
        <w:rPr>
          <w:rFonts w:hint="eastAsia" w:ascii="宋体" w:hAnsi="宋体" w:cs="宋体"/>
          <w:i w:val="0"/>
          <w:iCs w:val="0"/>
          <w:color w:val="auto"/>
          <w:sz w:val="21"/>
          <w:szCs w:val="21"/>
          <w:highlight w:val="none"/>
        </w:rPr>
        <w:t>61</w:t>
      </w:r>
      <w:r>
        <w:rPr>
          <w:rFonts w:hint="eastAsia" w:ascii="宋体" w:hAnsi="宋体" w:cs="宋体"/>
          <w:i w:val="0"/>
          <w:iCs w:val="0"/>
          <w:color w:val="auto"/>
          <w:sz w:val="21"/>
          <w:szCs w:val="21"/>
          <w:highlight w:val="none"/>
        </w:rPr>
        <w:fldChar w:fldCharType="end"/>
      </w:r>
      <w:r>
        <w:rPr>
          <w:rFonts w:hint="eastAsia" w:ascii="宋体" w:hAnsi="宋体" w:cs="宋体"/>
          <w:i w:val="0"/>
          <w:iCs w:val="0"/>
          <w:color w:val="auto"/>
          <w:sz w:val="21"/>
          <w:szCs w:val="21"/>
          <w:highlight w:val="none"/>
        </w:rPr>
        <w:fldChar w:fldCharType="end"/>
      </w:r>
    </w:p>
    <w:p>
      <w:pPr>
        <w:rPr>
          <w:rFonts w:hint="eastAsia" w:eastAsia="宋体"/>
          <w:color w:val="auto"/>
          <w:highlight w:val="none"/>
          <w:lang w:val="en-US" w:eastAsia="zh-CN"/>
        </w:rPr>
      </w:pPr>
      <w:r>
        <w:rPr>
          <w:rFonts w:hint="eastAsia" w:ascii="宋体" w:hAnsi="宋体" w:cs="宋体"/>
          <w:i w:val="0"/>
          <w:iCs w:val="0"/>
          <w:color w:val="auto"/>
          <w:sz w:val="21"/>
          <w:szCs w:val="21"/>
          <w:highlight w:val="none"/>
          <w:lang w:val="en-US" w:eastAsia="zh-CN"/>
        </w:rPr>
        <w:t xml:space="preserve">      </w:t>
      </w:r>
    </w:p>
    <w:p>
      <w:pPr>
        <w:spacing w:before="360" w:after="240" w:line="360" w:lineRule="auto"/>
        <w:jc w:val="center"/>
        <w:outlineLvl w:val="0"/>
        <w:rPr>
          <w:rFonts w:ascii="宋体" w:hAnsi="宋体" w:cs="宋体"/>
          <w:b/>
          <w:color w:val="auto"/>
          <w:sz w:val="28"/>
          <w:szCs w:val="28"/>
          <w:highlight w:val="none"/>
        </w:rPr>
      </w:pPr>
      <w:r>
        <w:rPr>
          <w:rFonts w:hint="eastAsia" w:ascii="宋体" w:hAnsi="宋体" w:cs="宋体"/>
          <w:bCs/>
          <w:color w:val="auto"/>
          <w:szCs w:val="21"/>
          <w:highlight w:val="none"/>
        </w:rPr>
        <w:fldChar w:fldCharType="end"/>
      </w:r>
      <w:bookmarkStart w:id="0" w:name="_Toc26588"/>
      <w:bookmarkStart w:id="301" w:name="_GoBack"/>
      <w:bookmarkEnd w:id="301"/>
      <w:r>
        <w:rPr>
          <w:rFonts w:hint="eastAsia" w:ascii="宋体" w:hAnsi="宋体" w:cs="宋体"/>
          <w:bCs/>
          <w:color w:val="auto"/>
          <w:szCs w:val="21"/>
          <w:highlight w:val="none"/>
        </w:rPr>
        <w:br w:type="page"/>
      </w:r>
      <w:bookmarkStart w:id="1" w:name="_Toc332807964"/>
      <w:r>
        <w:rPr>
          <w:rFonts w:hint="eastAsia" w:ascii="宋体" w:hAnsi="宋体" w:cs="宋体"/>
          <w:b/>
          <w:color w:val="auto"/>
          <w:sz w:val="28"/>
          <w:szCs w:val="28"/>
          <w:highlight w:val="none"/>
        </w:rPr>
        <w:t>第一章  供应商须知</w:t>
      </w:r>
      <w:bookmarkEnd w:id="0"/>
      <w:bookmarkEnd w:id="1"/>
      <w:bookmarkStart w:id="2" w:name="_Toc109542333"/>
      <w:bookmarkStart w:id="3" w:name="_Toc109543153"/>
      <w:bookmarkStart w:id="4" w:name="_Toc520356143"/>
    </w:p>
    <w:p>
      <w:pPr>
        <w:spacing w:before="120" w:line="360" w:lineRule="auto"/>
        <w:jc w:val="center"/>
        <w:outlineLvl w:val="1"/>
        <w:rPr>
          <w:rFonts w:ascii="宋体" w:hAnsi="宋体" w:cs="宋体"/>
          <w:b/>
          <w:color w:val="auto"/>
          <w:sz w:val="28"/>
          <w:szCs w:val="28"/>
          <w:highlight w:val="none"/>
        </w:rPr>
      </w:pPr>
      <w:bookmarkStart w:id="5" w:name="_Toc332807965"/>
      <w:bookmarkStart w:id="6" w:name="_Toc1872"/>
      <w:bookmarkStart w:id="7" w:name="_Toc23690"/>
      <w:r>
        <w:rPr>
          <w:rFonts w:hint="eastAsia" w:ascii="宋体" w:hAnsi="宋体" w:cs="宋体"/>
          <w:b/>
          <w:color w:val="auto"/>
          <w:sz w:val="28"/>
          <w:szCs w:val="28"/>
          <w:highlight w:val="none"/>
        </w:rPr>
        <w:t>一 说  明</w:t>
      </w:r>
      <w:bookmarkEnd w:id="2"/>
      <w:bookmarkEnd w:id="3"/>
      <w:bookmarkEnd w:id="4"/>
      <w:bookmarkEnd w:id="5"/>
      <w:bookmarkEnd w:id="6"/>
      <w:bookmarkEnd w:id="7"/>
    </w:p>
    <w:p>
      <w:pPr>
        <w:spacing w:line="520" w:lineRule="exact"/>
        <w:rPr>
          <w:rFonts w:ascii="宋体" w:hAnsi="宋体" w:cs="宋体"/>
          <w:b/>
          <w:color w:val="auto"/>
          <w:sz w:val="28"/>
          <w:highlight w:val="none"/>
        </w:rPr>
      </w:pPr>
      <w:bookmarkStart w:id="8" w:name="_Toc109542334"/>
      <w:bookmarkStart w:id="9" w:name="_Toc109543154"/>
      <w:bookmarkStart w:id="10" w:name="_Toc520356144"/>
    </w:p>
    <w:p>
      <w:pPr>
        <w:spacing w:before="360" w:after="240" w:line="360" w:lineRule="auto"/>
        <w:outlineLvl w:val="2"/>
        <w:rPr>
          <w:rFonts w:ascii="宋体" w:hAnsi="宋体" w:cs="宋体"/>
          <w:b/>
          <w:color w:val="auto"/>
          <w:sz w:val="24"/>
          <w:highlight w:val="none"/>
        </w:rPr>
      </w:pPr>
      <w:bookmarkStart w:id="11" w:name="_Toc27616"/>
      <w:bookmarkStart w:id="12" w:name="_Toc19681"/>
      <w:bookmarkStart w:id="13" w:name="_Toc332807966"/>
      <w:r>
        <w:rPr>
          <w:rFonts w:hint="eastAsia" w:ascii="宋体" w:hAnsi="宋体" w:cs="宋体"/>
          <w:b/>
          <w:color w:val="auto"/>
          <w:sz w:val="24"/>
          <w:highlight w:val="none"/>
        </w:rPr>
        <w:t>1.招标采购单位及合格的供应商</w:t>
      </w:r>
      <w:bookmarkEnd w:id="8"/>
      <w:bookmarkEnd w:id="9"/>
      <w:bookmarkEnd w:id="10"/>
      <w:bookmarkEnd w:id="11"/>
      <w:bookmarkEnd w:id="12"/>
      <w:bookmarkEnd w:id="13"/>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1.1     招标采购单位：系指采购人及其委托的采购代理机构。采购代理机构系指依法从事采购代理业务的社会中介机构。本次采购的采购代理机构为北京国际贸易公司。</w:t>
      </w:r>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1.1.1   采购人详见《供应商须知资料表》</w:t>
      </w:r>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1.1.2  “采购服务”指本招标文件中所述所有相关服务。</w:t>
      </w:r>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1.1.3  “潜在供应商”指符合招标文件规定的合格供应商。</w:t>
      </w:r>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1.1.4  “供应商”指符合本招标文件规定并参加投标的供应商。</w:t>
      </w:r>
    </w:p>
    <w:p>
      <w:pPr>
        <w:spacing w:before="120" w:line="360" w:lineRule="auto"/>
        <w:rPr>
          <w:rFonts w:ascii="宋体" w:hAnsi="宋体" w:cs="宋体"/>
          <w:b/>
          <w:bCs/>
          <w:color w:val="auto"/>
          <w:sz w:val="24"/>
          <w:highlight w:val="none"/>
        </w:rPr>
      </w:pPr>
      <w:r>
        <w:rPr>
          <w:rFonts w:hint="eastAsia" w:ascii="宋体" w:hAnsi="宋体" w:cs="宋体"/>
          <w:b/>
          <w:bCs/>
          <w:color w:val="auto"/>
          <w:sz w:val="24"/>
          <w:highlight w:val="none"/>
        </w:rPr>
        <w:t>1.2</w:t>
      </w:r>
      <w:r>
        <w:rPr>
          <w:rFonts w:hint="eastAsia" w:ascii="宋体" w:hAnsi="宋体" w:cs="宋体"/>
          <w:b/>
          <w:bCs/>
          <w:color w:val="auto"/>
          <w:sz w:val="24"/>
          <w:highlight w:val="none"/>
        </w:rPr>
        <w:tab/>
      </w:r>
      <w:r>
        <w:rPr>
          <w:rFonts w:hint="eastAsia" w:ascii="宋体" w:hAnsi="宋体" w:cs="宋体"/>
          <w:b/>
          <w:bCs/>
          <w:color w:val="auto"/>
          <w:sz w:val="24"/>
          <w:highlight w:val="none"/>
        </w:rPr>
        <w:t xml:space="preserve">    供应商是指向采购人提供货物、工程或者服务的法人、其他组织或者</w:t>
      </w:r>
    </w:p>
    <w:p>
      <w:pPr>
        <w:spacing w:before="120" w:line="360" w:lineRule="auto"/>
        <w:ind w:left="1063" w:hanging="1063" w:hangingChars="441"/>
        <w:rPr>
          <w:rFonts w:ascii="宋体" w:hAnsi="宋体" w:cs="宋体"/>
          <w:b/>
          <w:bCs/>
          <w:color w:val="auto"/>
          <w:sz w:val="24"/>
          <w:highlight w:val="none"/>
        </w:rPr>
      </w:pPr>
      <w:r>
        <w:rPr>
          <w:rFonts w:hint="eastAsia" w:ascii="宋体" w:hAnsi="宋体" w:cs="宋体"/>
          <w:b/>
          <w:bCs/>
          <w:color w:val="auto"/>
          <w:sz w:val="24"/>
          <w:highlight w:val="none"/>
        </w:rPr>
        <w:t xml:space="preserve">        自然人，满足以下全部条件的供应商方可参加本次采购，否则其投标</w:t>
      </w:r>
    </w:p>
    <w:p>
      <w:pPr>
        <w:spacing w:before="120" w:line="360" w:lineRule="auto"/>
        <w:ind w:left="1063" w:hanging="1063" w:hangingChars="441"/>
        <w:rPr>
          <w:rFonts w:ascii="宋体" w:hAnsi="宋体" w:cs="宋体"/>
          <w:b/>
          <w:bCs/>
          <w:color w:val="auto"/>
          <w:sz w:val="24"/>
          <w:highlight w:val="none"/>
        </w:rPr>
      </w:pPr>
      <w:r>
        <w:rPr>
          <w:rFonts w:hint="eastAsia" w:ascii="宋体" w:hAnsi="宋体" w:cs="宋体"/>
          <w:b/>
          <w:bCs/>
          <w:color w:val="auto"/>
          <w:sz w:val="24"/>
          <w:highlight w:val="none"/>
        </w:rPr>
        <w:t xml:space="preserve">        将被拒绝：</w:t>
      </w:r>
    </w:p>
    <w:p>
      <w:pPr>
        <w:spacing w:before="120" w:line="360" w:lineRule="auto"/>
        <w:ind w:left="964" w:hanging="964" w:hangingChars="400"/>
        <w:jc w:val="left"/>
        <w:rPr>
          <w:rFonts w:ascii="宋体" w:hAnsi="宋体" w:cs="宋体"/>
          <w:b/>
          <w:bCs/>
          <w:color w:val="auto"/>
          <w:sz w:val="24"/>
          <w:highlight w:val="none"/>
        </w:rPr>
      </w:pPr>
      <w:r>
        <w:rPr>
          <w:rFonts w:hint="eastAsia" w:ascii="宋体" w:hAnsi="宋体" w:cs="宋体"/>
          <w:b/>
          <w:bCs/>
          <w:color w:val="auto"/>
          <w:sz w:val="24"/>
          <w:highlight w:val="none"/>
        </w:rPr>
        <w:t>1.2.1</w:t>
      </w:r>
      <w:r>
        <w:rPr>
          <w:rFonts w:hint="eastAsia" w:ascii="宋体" w:hAnsi="宋体" w:cs="宋体"/>
          <w:b/>
          <w:bCs/>
          <w:color w:val="auto"/>
          <w:sz w:val="24"/>
          <w:highlight w:val="none"/>
        </w:rPr>
        <w:tab/>
      </w:r>
      <w:r>
        <w:rPr>
          <w:rFonts w:hint="eastAsia" w:ascii="宋体" w:hAnsi="宋体" w:cs="宋体"/>
          <w:b/>
          <w:bCs/>
          <w:color w:val="auto"/>
          <w:sz w:val="24"/>
          <w:highlight w:val="none"/>
        </w:rPr>
        <w:t>供应商须在中华人民共和国境内注册；</w:t>
      </w:r>
    </w:p>
    <w:p>
      <w:pPr>
        <w:spacing w:before="120" w:line="360" w:lineRule="auto"/>
        <w:ind w:left="964" w:hanging="964" w:hangingChars="400"/>
        <w:jc w:val="left"/>
        <w:rPr>
          <w:rFonts w:ascii="宋体" w:hAnsi="宋体" w:cs="宋体"/>
          <w:b/>
          <w:bCs/>
          <w:color w:val="auto"/>
          <w:sz w:val="24"/>
          <w:highlight w:val="none"/>
        </w:rPr>
      </w:pPr>
      <w:r>
        <w:rPr>
          <w:rFonts w:hint="eastAsia" w:ascii="宋体" w:hAnsi="宋体" w:cs="宋体"/>
          <w:b/>
          <w:bCs/>
          <w:color w:val="auto"/>
          <w:sz w:val="24"/>
          <w:highlight w:val="none"/>
        </w:rPr>
        <w:t>1.2.2</w:t>
      </w:r>
      <w:r>
        <w:rPr>
          <w:rFonts w:hint="eastAsia" w:ascii="宋体" w:hAnsi="宋体" w:cs="宋体"/>
          <w:b/>
          <w:bCs/>
          <w:color w:val="auto"/>
          <w:sz w:val="24"/>
          <w:highlight w:val="none"/>
        </w:rPr>
        <w:tab/>
      </w:r>
      <w:r>
        <w:rPr>
          <w:rFonts w:hint="eastAsia" w:ascii="宋体" w:hAnsi="宋体" w:cs="宋体"/>
          <w:b/>
          <w:bCs/>
          <w:color w:val="auto"/>
          <w:sz w:val="24"/>
          <w:highlight w:val="none"/>
        </w:rPr>
        <w:t>供应商须具有独立承担民事责任的能力；</w:t>
      </w:r>
    </w:p>
    <w:p>
      <w:pPr>
        <w:spacing w:before="120" w:line="360" w:lineRule="auto"/>
        <w:jc w:val="left"/>
        <w:rPr>
          <w:rFonts w:ascii="宋体" w:hAnsi="宋体" w:cs="宋体"/>
          <w:b/>
          <w:bCs/>
          <w:color w:val="auto"/>
          <w:sz w:val="24"/>
          <w:highlight w:val="none"/>
        </w:rPr>
      </w:pPr>
      <w:r>
        <w:rPr>
          <w:rFonts w:hint="eastAsia" w:ascii="宋体" w:hAnsi="宋体" w:cs="宋体"/>
          <w:b/>
          <w:bCs/>
          <w:color w:val="auto"/>
          <w:sz w:val="24"/>
          <w:highlight w:val="none"/>
        </w:rPr>
        <w:t>1.2.3   供应商须具有良好的商业信誉和健全的财务会计制度；</w:t>
      </w:r>
    </w:p>
    <w:p>
      <w:pPr>
        <w:spacing w:before="120" w:line="360" w:lineRule="auto"/>
        <w:jc w:val="left"/>
        <w:rPr>
          <w:rFonts w:ascii="宋体" w:hAnsi="宋体" w:cs="宋体"/>
          <w:b/>
          <w:bCs/>
          <w:color w:val="auto"/>
          <w:sz w:val="24"/>
          <w:highlight w:val="none"/>
        </w:rPr>
      </w:pPr>
      <w:r>
        <w:rPr>
          <w:rFonts w:hint="eastAsia" w:ascii="宋体" w:hAnsi="宋体" w:cs="宋体"/>
          <w:b/>
          <w:bCs/>
          <w:color w:val="auto"/>
          <w:sz w:val="24"/>
          <w:highlight w:val="none"/>
        </w:rPr>
        <w:t>1.2.4   供应商须具有履行合同所必需的设备和专业技术能力；</w:t>
      </w:r>
    </w:p>
    <w:p>
      <w:pPr>
        <w:spacing w:before="120" w:line="360" w:lineRule="auto"/>
        <w:jc w:val="left"/>
        <w:rPr>
          <w:rFonts w:ascii="宋体" w:hAnsi="宋体" w:cs="宋体"/>
          <w:b/>
          <w:bCs/>
          <w:color w:val="auto"/>
          <w:sz w:val="24"/>
          <w:highlight w:val="none"/>
        </w:rPr>
      </w:pPr>
      <w:r>
        <w:rPr>
          <w:rFonts w:hint="eastAsia" w:ascii="宋体" w:hAnsi="宋体" w:cs="宋体"/>
          <w:b/>
          <w:bCs/>
          <w:color w:val="auto"/>
          <w:sz w:val="24"/>
          <w:highlight w:val="none"/>
        </w:rPr>
        <w:t>1.2.5   供应商须具有依法缴纳税收和社会保障资金的良好记录；</w:t>
      </w:r>
    </w:p>
    <w:p>
      <w:pPr>
        <w:spacing w:before="120" w:line="360" w:lineRule="auto"/>
        <w:ind w:left="860" w:hanging="860" w:hangingChars="357"/>
        <w:jc w:val="left"/>
        <w:rPr>
          <w:rFonts w:ascii="宋体" w:hAnsi="宋体" w:cs="宋体"/>
          <w:b/>
          <w:bCs/>
          <w:color w:val="auto"/>
          <w:sz w:val="24"/>
          <w:highlight w:val="none"/>
        </w:rPr>
      </w:pPr>
      <w:r>
        <w:rPr>
          <w:rFonts w:hint="eastAsia" w:ascii="宋体" w:hAnsi="宋体" w:cs="宋体"/>
          <w:b/>
          <w:bCs/>
          <w:color w:val="auto"/>
          <w:sz w:val="24"/>
          <w:highlight w:val="none"/>
        </w:rPr>
        <w:t>1.2.6   供应商在参加政府采购活动前三年内，在经营活动中没有重大违法记</w:t>
      </w:r>
    </w:p>
    <w:p>
      <w:pPr>
        <w:spacing w:before="120" w:line="360" w:lineRule="auto"/>
        <w:jc w:val="left"/>
        <w:rPr>
          <w:rFonts w:ascii="宋体" w:hAnsi="宋体" w:cs="宋体"/>
          <w:b/>
          <w:bCs/>
          <w:color w:val="auto"/>
          <w:sz w:val="24"/>
          <w:highlight w:val="none"/>
        </w:rPr>
      </w:pPr>
      <w:r>
        <w:rPr>
          <w:rFonts w:hint="eastAsia" w:ascii="宋体" w:hAnsi="宋体" w:cs="宋体"/>
          <w:b/>
          <w:bCs/>
          <w:color w:val="auto"/>
          <w:sz w:val="24"/>
          <w:highlight w:val="none"/>
        </w:rPr>
        <w:t xml:space="preserve">        录；</w:t>
      </w:r>
    </w:p>
    <w:p>
      <w:pPr>
        <w:spacing w:before="120" w:line="360" w:lineRule="auto"/>
        <w:ind w:left="900" w:hanging="900"/>
        <w:rPr>
          <w:rFonts w:ascii="宋体" w:hAnsi="宋体" w:cs="宋体"/>
          <w:b/>
          <w:bCs/>
          <w:color w:val="auto"/>
          <w:sz w:val="24"/>
          <w:highlight w:val="none"/>
        </w:rPr>
      </w:pPr>
      <w:r>
        <w:rPr>
          <w:rFonts w:hint="eastAsia" w:ascii="宋体" w:hAnsi="宋体" w:cs="宋体"/>
          <w:b/>
          <w:bCs/>
          <w:color w:val="auto"/>
          <w:sz w:val="24"/>
          <w:highlight w:val="none"/>
        </w:rPr>
        <w:t>1.2.7   供应商应当信用良好，在政府采购活动中无严重违法失信行为，未被</w:t>
      </w:r>
    </w:p>
    <w:p>
      <w:pPr>
        <w:spacing w:before="120" w:line="360" w:lineRule="auto"/>
        <w:ind w:left="1060" w:hanging="1060" w:hangingChars="440"/>
        <w:rPr>
          <w:rFonts w:ascii="宋体" w:hAnsi="宋体" w:cs="宋体"/>
          <w:b/>
          <w:bCs/>
          <w:color w:val="auto"/>
          <w:sz w:val="24"/>
          <w:highlight w:val="none"/>
        </w:rPr>
      </w:pPr>
      <w:r>
        <w:rPr>
          <w:rFonts w:hint="eastAsia" w:ascii="宋体" w:hAnsi="宋体" w:cs="宋体"/>
          <w:b/>
          <w:bCs/>
          <w:color w:val="auto"/>
          <w:sz w:val="24"/>
          <w:highlight w:val="none"/>
        </w:rPr>
        <w:t xml:space="preserve">        列入</w:t>
      </w:r>
      <w:r>
        <w:rPr>
          <w:rFonts w:hint="eastAsia" w:ascii="宋体" w:cs="宋体"/>
          <w:b/>
          <w:bCs/>
          <w:color w:val="auto"/>
          <w:sz w:val="24"/>
          <w:highlight w:val="none"/>
        </w:rPr>
        <w:t>“信用中国”网站和中国政府采购网</w:t>
      </w:r>
      <w:r>
        <w:rPr>
          <w:rFonts w:hint="eastAsia" w:ascii="宋体" w:hAnsi="宋体" w:cs="宋体"/>
          <w:b/>
          <w:bCs/>
          <w:color w:val="auto"/>
          <w:sz w:val="24"/>
          <w:highlight w:val="none"/>
        </w:rPr>
        <w:t>的失信被执行人、重大税收违法案件当事人名单、政府采购严重违法失信行为记录名单（联合体形式投标的，联合体成员存在不良信用记录，视同联合体存在不良信用记录）。</w:t>
      </w:r>
    </w:p>
    <w:p>
      <w:pPr>
        <w:spacing w:before="120" w:line="360" w:lineRule="auto"/>
        <w:ind w:left="964" w:hanging="964" w:hangingChars="400"/>
        <w:jc w:val="left"/>
        <w:rPr>
          <w:rFonts w:ascii="宋体" w:hAnsi="宋体" w:cs="宋体"/>
          <w:b/>
          <w:bCs/>
          <w:color w:val="auto"/>
          <w:sz w:val="24"/>
          <w:highlight w:val="none"/>
        </w:rPr>
      </w:pPr>
      <w:r>
        <w:rPr>
          <w:rFonts w:hint="eastAsia" w:ascii="宋体" w:hAnsi="宋体" w:cs="宋体"/>
          <w:b/>
          <w:bCs/>
          <w:color w:val="auto"/>
          <w:sz w:val="24"/>
          <w:highlight w:val="none"/>
        </w:rPr>
        <w:t>1.2.8   供应商必须向采购代理机构购买招标文件并登记备案，未向采购代理机构购买招标文件并登记备案的潜在供应商均无资格参加本次投标。</w:t>
      </w:r>
    </w:p>
    <w:p>
      <w:pPr>
        <w:spacing w:before="120" w:line="360" w:lineRule="auto"/>
        <w:ind w:left="964" w:hanging="964" w:hangingChars="400"/>
        <w:jc w:val="left"/>
        <w:rPr>
          <w:rFonts w:ascii="宋体" w:hAnsi="宋体" w:cs="宋体"/>
          <w:b/>
          <w:bCs/>
          <w:color w:val="auto"/>
          <w:sz w:val="24"/>
          <w:highlight w:val="none"/>
        </w:rPr>
      </w:pPr>
      <w:r>
        <w:rPr>
          <w:rFonts w:hint="eastAsia" w:ascii="宋体" w:hAnsi="宋体" w:cs="宋体"/>
          <w:b/>
          <w:bCs/>
          <w:color w:val="auto"/>
          <w:sz w:val="24"/>
          <w:highlight w:val="none"/>
        </w:rPr>
        <w:t>1.2.9  《供应商须知资料表》中规定的其他资格要求。</w:t>
      </w:r>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1.3     如《供应商须知资料表》中允许联合体采购，对联合体规定如下：</w:t>
      </w:r>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1.3.1   以联合体形式参加投标的，联合体各方均应当符合《政府采购法》第二十二条第一款规定的条件。</w:t>
      </w:r>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1.3.2   采购人根据采购项目的特殊要求规定供应商特定条件的，联合体各方中至少应当有一方符合采购人规定的特定条件。</w:t>
      </w:r>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1.3.3   联合体各方之间应当签订共同投标协议，明确约定联合体各方承担的工作和相应的责任，并将共同投标协议连同投标文件一并提交招标采购单位。</w:t>
      </w:r>
    </w:p>
    <w:p>
      <w:pPr>
        <w:spacing w:before="120" w:line="360" w:lineRule="auto"/>
        <w:ind w:left="970" w:leftChars="5" w:hanging="960" w:hangingChars="400"/>
        <w:rPr>
          <w:rFonts w:ascii="宋体" w:hAnsi="宋体" w:cs="宋体"/>
          <w:color w:val="auto"/>
          <w:sz w:val="24"/>
          <w:highlight w:val="none"/>
        </w:rPr>
      </w:pPr>
      <w:r>
        <w:rPr>
          <w:rFonts w:hint="eastAsia" w:ascii="宋体" w:hAnsi="宋体" w:cs="宋体"/>
          <w:color w:val="auto"/>
          <w:sz w:val="24"/>
          <w:highlight w:val="none"/>
        </w:rPr>
        <w:t>1.3.4   以联合体形式参加政府采购活动的，联合体各方不得再单独或者与其他供应商另外组成联合体参加同一合同项下的政府采购活动。</w:t>
      </w:r>
    </w:p>
    <w:p>
      <w:pPr>
        <w:pStyle w:val="6"/>
        <w:spacing w:before="120" w:line="360" w:lineRule="auto"/>
        <w:ind w:left="960" w:hanging="960" w:hangingChars="400"/>
        <w:jc w:val="both"/>
        <w:rPr>
          <w:rFonts w:ascii="宋体" w:hAnsi="宋体" w:cs="宋体"/>
          <w:color w:val="auto"/>
          <w:sz w:val="24"/>
          <w:highlight w:val="none"/>
        </w:rPr>
      </w:pPr>
      <w:r>
        <w:rPr>
          <w:rFonts w:hint="eastAsia" w:ascii="宋体" w:hAnsi="宋体" w:cs="宋体"/>
          <w:color w:val="auto"/>
          <w:sz w:val="24"/>
          <w:highlight w:val="none"/>
        </w:rPr>
        <w:t>1.4</w:t>
      </w:r>
      <w:r>
        <w:rPr>
          <w:rFonts w:hint="eastAsia" w:ascii="宋体" w:hAnsi="宋体" w:cs="宋体"/>
          <w:color w:val="auto"/>
          <w:sz w:val="24"/>
          <w:highlight w:val="none"/>
        </w:rPr>
        <w:tab/>
      </w:r>
      <w:r>
        <w:rPr>
          <w:rFonts w:hint="eastAsia" w:ascii="宋体" w:hAnsi="宋体" w:cs="宋体"/>
          <w:color w:val="auto"/>
          <w:sz w:val="24"/>
          <w:highlight w:val="none"/>
        </w:rPr>
        <w:t>单位负责人为同一人或者存在直接控股、管理关系的不同供应商，不得参加同一合同项下的政府采购活动。为采购项目提供整体设计、规范编制或者项目管理、监理、检测等服务的供应商，不得再参加该采购项目的其他采购活动。</w:t>
      </w:r>
    </w:p>
    <w:p>
      <w:pPr>
        <w:pStyle w:val="6"/>
        <w:spacing w:before="120" w:line="360" w:lineRule="auto"/>
        <w:ind w:left="960" w:hanging="960" w:hangingChars="400"/>
        <w:jc w:val="both"/>
        <w:rPr>
          <w:rFonts w:ascii="宋体" w:hAnsi="宋体" w:cs="宋体"/>
          <w:color w:val="auto"/>
          <w:sz w:val="24"/>
          <w:highlight w:val="none"/>
        </w:rPr>
      </w:pPr>
      <w:r>
        <w:rPr>
          <w:rFonts w:hint="eastAsia" w:ascii="宋体" w:hAnsi="宋体" w:cs="宋体"/>
          <w:color w:val="auto"/>
          <w:sz w:val="24"/>
          <w:highlight w:val="none"/>
        </w:rPr>
        <w:t>1.5</w:t>
      </w:r>
      <w:r>
        <w:rPr>
          <w:rFonts w:hint="eastAsia" w:ascii="宋体" w:hAnsi="宋体" w:cs="宋体"/>
          <w:color w:val="auto"/>
          <w:sz w:val="24"/>
          <w:highlight w:val="none"/>
        </w:rPr>
        <w:tab/>
      </w:r>
      <w:r>
        <w:rPr>
          <w:rFonts w:hint="eastAsia" w:ascii="宋体" w:hAnsi="宋体" w:cs="宋体"/>
          <w:color w:val="auto"/>
          <w:sz w:val="24"/>
          <w:highlight w:val="none"/>
        </w:rPr>
        <w:t>供应商在投标过程中不得向招标采购单位行贿或采取其他手段谋取中标。一经发现，其供应商资格将被取消。</w:t>
      </w:r>
    </w:p>
    <w:p>
      <w:pPr>
        <w:pStyle w:val="6"/>
        <w:spacing w:before="120" w:line="360" w:lineRule="auto"/>
        <w:ind w:left="960" w:hanging="960" w:hangingChars="400"/>
        <w:jc w:val="both"/>
        <w:rPr>
          <w:rFonts w:ascii="宋体" w:hAnsi="宋体" w:cs="宋体"/>
          <w:color w:val="auto"/>
          <w:sz w:val="24"/>
          <w:highlight w:val="none"/>
        </w:rPr>
      </w:pPr>
      <w:r>
        <w:rPr>
          <w:rFonts w:hint="eastAsia" w:ascii="宋体" w:hAnsi="宋体" w:cs="宋体"/>
          <w:color w:val="auto"/>
          <w:sz w:val="24"/>
          <w:highlight w:val="none"/>
        </w:rPr>
        <w:t>1.6</w:t>
      </w:r>
      <w:r>
        <w:rPr>
          <w:rFonts w:hint="eastAsia" w:ascii="宋体" w:hAnsi="宋体" w:cs="宋体"/>
          <w:color w:val="auto"/>
          <w:sz w:val="24"/>
          <w:highlight w:val="none"/>
        </w:rPr>
        <w:tab/>
      </w:r>
      <w:r>
        <w:rPr>
          <w:rFonts w:hint="eastAsia" w:ascii="宋体" w:hAnsi="宋体" w:cs="宋体"/>
          <w:color w:val="auto"/>
          <w:sz w:val="24"/>
          <w:highlight w:val="none"/>
        </w:rPr>
        <w:t>供应商应当按照招标文件的要求编制投标文件。投标文件应当对照招标文件提出的实质性要求和条件作出响应。投标文件由商务部分、技术部分、价格部分和其他部分组成。供应商应当在招标文件要求提交投标文件的截止时间前，将投标文件密封送达投标地点。</w:t>
      </w:r>
    </w:p>
    <w:p>
      <w:pPr>
        <w:pStyle w:val="6"/>
        <w:spacing w:before="120" w:line="360" w:lineRule="auto"/>
        <w:ind w:left="960" w:hanging="960" w:hangingChars="400"/>
        <w:jc w:val="both"/>
        <w:rPr>
          <w:rFonts w:ascii="宋体" w:hAnsi="宋体" w:cs="宋体"/>
          <w:color w:val="auto"/>
          <w:sz w:val="24"/>
          <w:highlight w:val="none"/>
        </w:rPr>
      </w:pPr>
      <w:r>
        <w:rPr>
          <w:rFonts w:hint="eastAsia" w:ascii="宋体" w:hAnsi="宋体" w:cs="宋体"/>
          <w:color w:val="auto"/>
          <w:sz w:val="24"/>
          <w:highlight w:val="none"/>
        </w:rPr>
        <w:t>1.7     供应商不得实施下列法律禁止的行为，情节严重的，由有权机关依法追究其法律责任。</w:t>
      </w:r>
    </w:p>
    <w:p>
      <w:pPr>
        <w:spacing w:before="120" w:line="360" w:lineRule="auto"/>
        <w:ind w:left="900" w:hanging="900"/>
        <w:rPr>
          <w:rFonts w:ascii="宋体" w:hAnsi="宋体" w:cs="宋体"/>
          <w:color w:val="auto"/>
          <w:sz w:val="24"/>
          <w:highlight w:val="none"/>
        </w:rPr>
      </w:pPr>
      <w:bookmarkStart w:id="14" w:name="_Toc109542335"/>
      <w:bookmarkStart w:id="15" w:name="_Toc109543155"/>
      <w:bookmarkStart w:id="16" w:name="_Toc332807967"/>
      <w:r>
        <w:rPr>
          <w:rFonts w:hint="eastAsia" w:ascii="宋体" w:hAnsi="宋体" w:cs="宋体"/>
          <w:color w:val="auto"/>
          <w:sz w:val="24"/>
          <w:highlight w:val="none"/>
        </w:rPr>
        <w:t>1.7.1    提供虚假材料谋取中标、成交的；</w:t>
      </w:r>
    </w:p>
    <w:p>
      <w:pPr>
        <w:spacing w:before="120" w:line="360" w:lineRule="auto"/>
        <w:ind w:left="900" w:hanging="900"/>
        <w:rPr>
          <w:rFonts w:ascii="宋体" w:hAnsi="宋体" w:cs="宋体"/>
          <w:color w:val="auto"/>
          <w:sz w:val="24"/>
          <w:highlight w:val="none"/>
        </w:rPr>
      </w:pPr>
      <w:r>
        <w:rPr>
          <w:rFonts w:hint="eastAsia" w:ascii="宋体" w:hAnsi="宋体" w:cs="宋体"/>
          <w:color w:val="auto"/>
          <w:sz w:val="24"/>
          <w:highlight w:val="none"/>
        </w:rPr>
        <w:t>1.7.2    采取不正当手段诋毁、排挤其他供应商的；</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1.7.3    与采购人、其他供应商或者采购代理机构恶意串通的；</w:t>
      </w:r>
    </w:p>
    <w:p>
      <w:pPr>
        <w:spacing w:before="120" w:line="360" w:lineRule="auto"/>
        <w:rPr>
          <w:rFonts w:ascii="宋体" w:hAnsi="宋体" w:cs="宋体"/>
          <w:color w:val="auto"/>
          <w:sz w:val="24"/>
          <w:highlight w:val="none"/>
        </w:rPr>
      </w:pPr>
      <w:r>
        <w:rPr>
          <w:rFonts w:hint="eastAsia" w:ascii="宋体" w:hAnsi="宋体" w:cs="宋体"/>
          <w:color w:val="auto"/>
          <w:sz w:val="24"/>
          <w:highlight w:val="none"/>
        </w:rPr>
        <w:t>1.7.4    向采购人、采购代理机构行贿或者提供其他不正当利益的；</w:t>
      </w:r>
    </w:p>
    <w:p>
      <w:pPr>
        <w:spacing w:before="120" w:line="360" w:lineRule="auto"/>
        <w:rPr>
          <w:rFonts w:ascii="宋体" w:hAnsi="宋体" w:cs="宋体"/>
          <w:color w:val="auto"/>
          <w:sz w:val="24"/>
          <w:highlight w:val="none"/>
        </w:rPr>
      </w:pPr>
      <w:r>
        <w:rPr>
          <w:rFonts w:hint="eastAsia" w:ascii="宋体" w:hAnsi="宋体" w:cs="宋体"/>
          <w:color w:val="auto"/>
          <w:sz w:val="24"/>
          <w:highlight w:val="none"/>
        </w:rPr>
        <w:t xml:space="preserve">1.7.5    在招标采购过程中与采购人进行协商谈判的； </w:t>
      </w:r>
    </w:p>
    <w:p>
      <w:pPr>
        <w:spacing w:before="120" w:line="360" w:lineRule="auto"/>
        <w:ind w:left="900" w:hanging="900"/>
        <w:rPr>
          <w:rFonts w:ascii="宋体" w:hAnsi="宋体" w:cs="宋体"/>
          <w:color w:val="auto"/>
          <w:sz w:val="24"/>
          <w:highlight w:val="none"/>
        </w:rPr>
      </w:pPr>
      <w:r>
        <w:rPr>
          <w:rFonts w:hint="eastAsia" w:ascii="宋体" w:hAnsi="宋体" w:cs="宋体"/>
          <w:color w:val="auto"/>
          <w:sz w:val="24"/>
          <w:highlight w:val="none"/>
        </w:rPr>
        <w:t>1.7.6</w:t>
      </w:r>
      <w:r>
        <w:rPr>
          <w:rFonts w:hint="eastAsia" w:ascii="宋体" w:hAnsi="宋体" w:cs="宋体"/>
          <w:color w:val="auto"/>
          <w:sz w:val="24"/>
          <w:highlight w:val="none"/>
        </w:rPr>
        <w:tab/>
      </w:r>
      <w:r>
        <w:rPr>
          <w:rFonts w:hint="eastAsia" w:ascii="宋体" w:hAnsi="宋体" w:cs="宋体"/>
          <w:color w:val="auto"/>
          <w:sz w:val="24"/>
          <w:highlight w:val="none"/>
        </w:rPr>
        <w:t xml:space="preserve">  拒绝有关部门监督检查或者提供虚假情况的；</w:t>
      </w:r>
    </w:p>
    <w:p>
      <w:pPr>
        <w:spacing w:before="120" w:line="360" w:lineRule="auto"/>
        <w:ind w:left="900" w:hanging="900"/>
        <w:rPr>
          <w:rFonts w:ascii="宋体" w:hAnsi="宋体" w:cs="宋体"/>
          <w:color w:val="auto"/>
          <w:sz w:val="24"/>
          <w:highlight w:val="none"/>
        </w:rPr>
      </w:pPr>
      <w:r>
        <w:rPr>
          <w:rFonts w:hint="eastAsia" w:ascii="宋体" w:hAnsi="宋体" w:cs="宋体"/>
          <w:color w:val="auto"/>
          <w:sz w:val="24"/>
          <w:highlight w:val="none"/>
        </w:rPr>
        <w:t>1.7.7    中标后无正当理由拒不与采购人签订政府采购合同；</w:t>
      </w:r>
    </w:p>
    <w:p>
      <w:pPr>
        <w:spacing w:before="120" w:line="360" w:lineRule="auto"/>
        <w:ind w:left="900" w:hanging="900"/>
        <w:rPr>
          <w:rFonts w:ascii="宋体" w:hAnsi="宋体" w:cs="宋体"/>
          <w:color w:val="auto"/>
          <w:sz w:val="24"/>
          <w:highlight w:val="none"/>
        </w:rPr>
      </w:pPr>
      <w:r>
        <w:rPr>
          <w:rFonts w:hint="eastAsia" w:ascii="宋体" w:hAnsi="宋体" w:cs="宋体"/>
          <w:color w:val="auto"/>
          <w:sz w:val="24"/>
          <w:highlight w:val="none"/>
        </w:rPr>
        <w:t>1.7.8    未按照采购文件确定的事项签订政府采购合同；</w:t>
      </w:r>
    </w:p>
    <w:p>
      <w:pPr>
        <w:spacing w:before="120" w:line="360" w:lineRule="auto"/>
        <w:ind w:left="900" w:hanging="900"/>
        <w:rPr>
          <w:rFonts w:ascii="宋体" w:hAnsi="宋体" w:cs="宋体"/>
          <w:color w:val="auto"/>
          <w:sz w:val="24"/>
          <w:highlight w:val="none"/>
        </w:rPr>
      </w:pPr>
      <w:r>
        <w:rPr>
          <w:rFonts w:hint="eastAsia" w:ascii="宋体" w:hAnsi="宋体" w:cs="宋体"/>
          <w:color w:val="auto"/>
          <w:sz w:val="24"/>
          <w:highlight w:val="none"/>
        </w:rPr>
        <w:t>1.7.9    提供假冒伪劣产品；</w:t>
      </w:r>
    </w:p>
    <w:p>
      <w:pPr>
        <w:spacing w:before="120" w:line="360" w:lineRule="auto"/>
        <w:ind w:left="900" w:hanging="900"/>
        <w:rPr>
          <w:rFonts w:ascii="宋体" w:hAnsi="宋体" w:cs="宋体"/>
          <w:color w:val="auto"/>
          <w:sz w:val="24"/>
          <w:highlight w:val="none"/>
        </w:rPr>
      </w:pPr>
      <w:r>
        <w:rPr>
          <w:rFonts w:hint="eastAsia" w:ascii="宋体" w:hAnsi="宋体" w:cs="宋体"/>
          <w:color w:val="auto"/>
          <w:sz w:val="24"/>
          <w:highlight w:val="none"/>
        </w:rPr>
        <w:t>1.7.10   擅自变更、中止或者终止政府采购合同；</w:t>
      </w:r>
    </w:p>
    <w:p>
      <w:pPr>
        <w:spacing w:before="120" w:line="360" w:lineRule="auto"/>
        <w:ind w:left="900" w:hanging="900"/>
        <w:rPr>
          <w:rFonts w:ascii="宋体" w:hAnsi="宋体" w:cs="宋体"/>
          <w:color w:val="auto"/>
          <w:sz w:val="24"/>
          <w:highlight w:val="none"/>
        </w:rPr>
      </w:pPr>
      <w:r>
        <w:rPr>
          <w:rFonts w:hint="eastAsia" w:ascii="宋体" w:hAnsi="宋体" w:cs="宋体"/>
          <w:color w:val="auto"/>
          <w:sz w:val="24"/>
          <w:highlight w:val="none"/>
        </w:rPr>
        <w:t>1.7.11</w:t>
      </w:r>
      <w:r>
        <w:rPr>
          <w:rFonts w:hint="eastAsia" w:ascii="宋体" w:hAnsi="宋体" w:cs="宋体"/>
          <w:color w:val="auto"/>
          <w:sz w:val="24"/>
          <w:highlight w:val="none"/>
        </w:rPr>
        <w:tab/>
      </w:r>
      <w:r>
        <w:rPr>
          <w:rFonts w:hint="eastAsia" w:ascii="宋体" w:hAnsi="宋体" w:cs="宋体"/>
          <w:color w:val="auto"/>
          <w:sz w:val="24"/>
          <w:highlight w:val="none"/>
        </w:rPr>
        <w:t xml:space="preserve">  拒绝有关部门监督检查或者提供虚假情况的。</w:t>
      </w:r>
    </w:p>
    <w:p>
      <w:pPr>
        <w:spacing w:before="120" w:line="360" w:lineRule="auto"/>
        <w:ind w:left="1200" w:hanging="1200" w:hangingChars="500"/>
        <w:rPr>
          <w:rFonts w:ascii="宋体" w:hAnsi="宋体" w:cs="宋体"/>
          <w:color w:val="auto"/>
          <w:sz w:val="24"/>
          <w:highlight w:val="none"/>
        </w:rPr>
      </w:pPr>
      <w:r>
        <w:rPr>
          <w:rFonts w:hint="eastAsia" w:ascii="宋体" w:hAnsi="宋体" w:cs="宋体"/>
          <w:color w:val="auto"/>
          <w:sz w:val="24"/>
          <w:highlight w:val="none"/>
        </w:rPr>
        <w:t>1.8       采购人应当在招标投标活动中落实节约能源、保护环境、扶持不发达地区和少数民族地区、促进中小企业发展等政府采购政策。</w:t>
      </w:r>
    </w:p>
    <w:p>
      <w:pPr>
        <w:spacing w:before="360" w:after="240" w:line="360" w:lineRule="auto"/>
        <w:outlineLvl w:val="2"/>
        <w:rPr>
          <w:rFonts w:ascii="宋体" w:hAnsi="宋体" w:cs="宋体"/>
          <w:b/>
          <w:color w:val="auto"/>
          <w:sz w:val="24"/>
          <w:highlight w:val="none"/>
        </w:rPr>
      </w:pPr>
      <w:bookmarkStart w:id="17" w:name="_Toc19701"/>
      <w:bookmarkStart w:id="18" w:name="_Toc9391"/>
      <w:r>
        <w:rPr>
          <w:rFonts w:hint="eastAsia" w:ascii="宋体" w:hAnsi="宋体" w:cs="宋体"/>
          <w:b/>
          <w:color w:val="auto"/>
          <w:sz w:val="24"/>
          <w:highlight w:val="none"/>
        </w:rPr>
        <w:t>2.资金来源</w:t>
      </w:r>
      <w:bookmarkEnd w:id="14"/>
      <w:bookmarkEnd w:id="15"/>
      <w:bookmarkEnd w:id="16"/>
      <w:bookmarkEnd w:id="17"/>
      <w:bookmarkEnd w:id="18"/>
    </w:p>
    <w:p>
      <w:pPr>
        <w:spacing w:before="120" w:line="360" w:lineRule="auto"/>
        <w:ind w:left="1005" w:leftChars="1" w:hanging="1003" w:hangingChars="418"/>
        <w:rPr>
          <w:rFonts w:ascii="宋体" w:hAnsi="宋体" w:cs="宋体"/>
          <w:color w:val="auto"/>
          <w:sz w:val="24"/>
          <w:highlight w:val="none"/>
        </w:rPr>
      </w:pPr>
      <w:r>
        <w:rPr>
          <w:rFonts w:hint="eastAsia" w:ascii="宋体" w:hAnsi="宋体" w:cs="宋体"/>
          <w:color w:val="auto"/>
          <w:sz w:val="24"/>
          <w:highlight w:val="none"/>
        </w:rPr>
        <w:t>2.1</w:t>
      </w:r>
      <w:r>
        <w:rPr>
          <w:rFonts w:hint="eastAsia" w:ascii="宋体" w:hAnsi="宋体" w:cs="宋体"/>
          <w:color w:val="auto"/>
          <w:sz w:val="24"/>
          <w:highlight w:val="none"/>
        </w:rPr>
        <w:tab/>
      </w:r>
      <w:r>
        <w:rPr>
          <w:rFonts w:hint="eastAsia" w:ascii="宋体" w:hAnsi="宋体" w:cs="宋体"/>
          <w:color w:val="auto"/>
          <w:sz w:val="24"/>
          <w:highlight w:val="none"/>
        </w:rPr>
        <w:t>招标公告或者投标邀请书中所述的采购人必须已经获得足以支付本次采购后所签订的合同项下的款项（包括财政性资金和自筹资金）。</w:t>
      </w:r>
      <w:bookmarkStart w:id="19" w:name="_Toc109543156"/>
      <w:bookmarkStart w:id="20" w:name="_Toc520356145"/>
      <w:bookmarkStart w:id="21" w:name="_Toc109542336"/>
    </w:p>
    <w:p>
      <w:pPr>
        <w:spacing w:before="360" w:after="240" w:line="360" w:lineRule="auto"/>
        <w:outlineLvl w:val="2"/>
        <w:rPr>
          <w:rFonts w:ascii="宋体" w:hAnsi="宋体" w:cs="宋体"/>
          <w:b/>
          <w:color w:val="auto"/>
          <w:sz w:val="24"/>
          <w:highlight w:val="none"/>
        </w:rPr>
      </w:pPr>
      <w:bookmarkStart w:id="22" w:name="_Toc30969"/>
      <w:bookmarkStart w:id="23" w:name="_Toc332807968"/>
      <w:bookmarkStart w:id="24" w:name="_Toc20624"/>
      <w:r>
        <w:rPr>
          <w:rFonts w:hint="eastAsia" w:ascii="宋体" w:hAnsi="宋体" w:cs="宋体"/>
          <w:b/>
          <w:color w:val="auto"/>
          <w:sz w:val="24"/>
          <w:highlight w:val="none"/>
        </w:rPr>
        <w:t>3.投标费用</w:t>
      </w:r>
      <w:bookmarkEnd w:id="19"/>
      <w:bookmarkEnd w:id="20"/>
      <w:bookmarkEnd w:id="21"/>
      <w:bookmarkEnd w:id="22"/>
      <w:bookmarkEnd w:id="23"/>
      <w:bookmarkEnd w:id="24"/>
    </w:p>
    <w:p>
      <w:pPr>
        <w:spacing w:before="120" w:line="360" w:lineRule="auto"/>
        <w:ind w:left="1024" w:leftChars="1" w:hanging="1022" w:hangingChars="426"/>
        <w:rPr>
          <w:rFonts w:ascii="宋体" w:hAnsi="宋体" w:cs="宋体"/>
          <w:color w:val="auto"/>
          <w:sz w:val="24"/>
          <w:highlight w:val="none"/>
        </w:rPr>
      </w:pPr>
      <w:r>
        <w:rPr>
          <w:rFonts w:hint="eastAsia" w:ascii="宋体" w:hAnsi="宋体" w:cs="宋体"/>
          <w:color w:val="auto"/>
          <w:sz w:val="24"/>
          <w:highlight w:val="none"/>
        </w:rPr>
        <w:t>3.1</w:t>
      </w:r>
      <w:r>
        <w:rPr>
          <w:rFonts w:hint="eastAsia" w:ascii="宋体" w:hAnsi="宋体" w:cs="宋体"/>
          <w:color w:val="auto"/>
          <w:sz w:val="24"/>
          <w:highlight w:val="none"/>
        </w:rPr>
        <w:tab/>
      </w:r>
      <w:r>
        <w:rPr>
          <w:rFonts w:hint="eastAsia" w:ascii="宋体" w:hAnsi="宋体" w:cs="宋体"/>
          <w:color w:val="auto"/>
          <w:sz w:val="24"/>
          <w:highlight w:val="none"/>
        </w:rPr>
        <w:t>供应商应当承担所有与准备和参加投标有关的费用，不论投标的结果如何，招标采购单位均无承担投标费用的义务和责任。</w:t>
      </w:r>
      <w:bookmarkStart w:id="25" w:name="_Toc216513728"/>
    </w:p>
    <w:p>
      <w:pPr>
        <w:spacing w:before="360" w:after="240" w:line="360" w:lineRule="auto"/>
        <w:outlineLvl w:val="2"/>
        <w:rPr>
          <w:rFonts w:ascii="宋体" w:hAnsi="宋体" w:cs="宋体"/>
          <w:b/>
          <w:color w:val="auto"/>
          <w:sz w:val="24"/>
          <w:highlight w:val="none"/>
        </w:rPr>
      </w:pPr>
      <w:bookmarkStart w:id="26" w:name="_Toc332807969"/>
      <w:bookmarkStart w:id="27" w:name="_Toc9832"/>
      <w:bookmarkStart w:id="28" w:name="_Toc6053"/>
      <w:r>
        <w:rPr>
          <w:rFonts w:hint="eastAsia" w:ascii="宋体" w:hAnsi="宋体" w:cs="宋体"/>
          <w:b/>
          <w:color w:val="auto"/>
          <w:sz w:val="24"/>
          <w:highlight w:val="none"/>
        </w:rPr>
        <w:t>4.</w:t>
      </w:r>
      <w:bookmarkEnd w:id="26"/>
      <w:r>
        <w:rPr>
          <w:rFonts w:hint="eastAsia" w:ascii="宋体" w:hAnsi="宋体" w:cs="宋体"/>
          <w:b/>
          <w:color w:val="auto"/>
          <w:sz w:val="24"/>
          <w:highlight w:val="none"/>
        </w:rPr>
        <w:t>适用法律</w:t>
      </w:r>
      <w:bookmarkEnd w:id="27"/>
      <w:bookmarkEnd w:id="28"/>
    </w:p>
    <w:p>
      <w:pPr>
        <w:spacing w:before="120" w:line="360" w:lineRule="auto"/>
        <w:ind w:left="960" w:hanging="960" w:hangingChars="400"/>
        <w:rPr>
          <w:rFonts w:ascii="宋体" w:hAnsi="宋体" w:cs="宋体"/>
          <w:b/>
          <w:color w:val="auto"/>
          <w:sz w:val="24"/>
          <w:highlight w:val="none"/>
          <w:u w:val="single" w:color="FF00FF"/>
        </w:rPr>
      </w:pPr>
      <w:bookmarkStart w:id="29" w:name="_Toc332807970"/>
      <w:r>
        <w:rPr>
          <w:rFonts w:hint="eastAsia" w:ascii="宋体" w:hAnsi="宋体" w:cs="宋体"/>
          <w:color w:val="auto"/>
          <w:sz w:val="24"/>
          <w:highlight w:val="none"/>
        </w:rPr>
        <w:t>4.1     本次采购属货物类政府采购，采购人、采购代理机构、供应商、评标委员会的相关行为均受《中华人民共和国政府采购法》、《中华人民共和国政府采购法实施条例》、《政府采购货物和服务招标投标管理办法》、财政部规章及政府采购项目所在地有关法规、规章的约束，其权利受到上述法律法规的保护。</w:t>
      </w:r>
    </w:p>
    <w:bookmarkEnd w:id="25"/>
    <w:bookmarkEnd w:id="29"/>
    <w:p>
      <w:pPr>
        <w:spacing w:before="120" w:line="360" w:lineRule="auto"/>
        <w:jc w:val="center"/>
        <w:outlineLvl w:val="1"/>
        <w:rPr>
          <w:rFonts w:ascii="宋体" w:hAnsi="宋体" w:cs="宋体"/>
          <w:b/>
          <w:color w:val="auto"/>
          <w:sz w:val="28"/>
          <w:szCs w:val="28"/>
          <w:highlight w:val="none"/>
        </w:rPr>
      </w:pPr>
      <w:bookmarkStart w:id="30" w:name="_Toc332807971"/>
    </w:p>
    <w:p>
      <w:pPr>
        <w:spacing w:before="120" w:line="360" w:lineRule="auto"/>
        <w:jc w:val="center"/>
        <w:outlineLvl w:val="1"/>
        <w:rPr>
          <w:rFonts w:ascii="宋体" w:hAnsi="宋体" w:cs="宋体"/>
          <w:b/>
          <w:color w:val="auto"/>
          <w:sz w:val="28"/>
          <w:szCs w:val="28"/>
          <w:highlight w:val="none"/>
        </w:rPr>
      </w:pPr>
      <w:bookmarkStart w:id="31" w:name="_Toc29796"/>
      <w:bookmarkStart w:id="32" w:name="_Toc27624"/>
      <w:r>
        <w:rPr>
          <w:rFonts w:hint="eastAsia" w:ascii="宋体" w:hAnsi="宋体" w:cs="宋体"/>
          <w:b/>
          <w:color w:val="auto"/>
          <w:sz w:val="28"/>
          <w:szCs w:val="28"/>
          <w:highlight w:val="none"/>
        </w:rPr>
        <w:t>二 招标文件</w:t>
      </w:r>
      <w:bookmarkEnd w:id="30"/>
      <w:bookmarkEnd w:id="31"/>
      <w:bookmarkEnd w:id="32"/>
    </w:p>
    <w:p>
      <w:pPr>
        <w:spacing w:before="360" w:after="240" w:line="360" w:lineRule="auto"/>
        <w:outlineLvl w:val="2"/>
        <w:rPr>
          <w:rFonts w:ascii="宋体" w:hAnsi="宋体" w:cs="宋体"/>
          <w:b/>
          <w:color w:val="auto"/>
          <w:sz w:val="24"/>
          <w:highlight w:val="none"/>
        </w:rPr>
      </w:pPr>
      <w:bookmarkStart w:id="33" w:name="_Toc4384"/>
      <w:bookmarkStart w:id="34" w:name="_Toc109543158"/>
      <w:bookmarkStart w:id="35" w:name="_Toc332807972"/>
      <w:bookmarkStart w:id="36" w:name="_Toc520356147"/>
      <w:bookmarkStart w:id="37" w:name="_Toc109542338"/>
      <w:bookmarkStart w:id="38" w:name="_Toc3055"/>
      <w:r>
        <w:rPr>
          <w:rFonts w:hint="eastAsia" w:ascii="宋体" w:hAnsi="宋体" w:cs="宋体"/>
          <w:b/>
          <w:color w:val="auto"/>
          <w:sz w:val="24"/>
          <w:highlight w:val="none"/>
        </w:rPr>
        <w:t>5.招标文件构成</w:t>
      </w:r>
      <w:bookmarkEnd w:id="33"/>
      <w:bookmarkEnd w:id="34"/>
      <w:bookmarkEnd w:id="35"/>
      <w:bookmarkEnd w:id="36"/>
      <w:bookmarkEnd w:id="37"/>
      <w:bookmarkEnd w:id="38"/>
    </w:p>
    <w:p>
      <w:pPr>
        <w:tabs>
          <w:tab w:val="left" w:pos="900"/>
        </w:tabs>
        <w:spacing w:before="120" w:line="360" w:lineRule="auto"/>
        <w:ind w:left="886" w:hanging="885" w:hangingChars="369"/>
        <w:rPr>
          <w:rFonts w:ascii="宋体" w:hAnsi="宋体" w:cs="宋体"/>
          <w:color w:val="auto"/>
          <w:sz w:val="24"/>
          <w:highlight w:val="none"/>
        </w:rPr>
      </w:pPr>
      <w:r>
        <w:rPr>
          <w:rFonts w:hint="eastAsia" w:ascii="宋体" w:hAnsi="宋体" w:cs="宋体"/>
          <w:color w:val="auto"/>
          <w:sz w:val="24"/>
          <w:highlight w:val="none"/>
        </w:rPr>
        <w:t>5.1</w:t>
      </w:r>
      <w:r>
        <w:rPr>
          <w:rFonts w:hint="eastAsia" w:ascii="宋体" w:hAnsi="宋体" w:cs="宋体"/>
          <w:color w:val="auto"/>
          <w:sz w:val="24"/>
          <w:highlight w:val="none"/>
        </w:rPr>
        <w:tab/>
      </w:r>
      <w:r>
        <w:rPr>
          <w:rFonts w:hint="eastAsia" w:ascii="宋体" w:hAnsi="宋体" w:cs="宋体"/>
          <w:color w:val="auto"/>
          <w:sz w:val="24"/>
          <w:highlight w:val="none"/>
        </w:rPr>
        <w:t>招标采购单位根据采购项目的特点和需求编制招标文件。</w:t>
      </w:r>
    </w:p>
    <w:p>
      <w:pPr>
        <w:tabs>
          <w:tab w:val="left" w:pos="900"/>
        </w:tabs>
        <w:spacing w:before="120" w:line="360" w:lineRule="auto"/>
        <w:ind w:left="884" w:leftChars="421"/>
        <w:rPr>
          <w:rFonts w:ascii="宋体" w:hAnsi="宋体" w:cs="宋体"/>
          <w:color w:val="auto"/>
          <w:sz w:val="24"/>
          <w:highlight w:val="none"/>
        </w:rPr>
      </w:pPr>
      <w:r>
        <w:rPr>
          <w:rFonts w:hint="eastAsia" w:ascii="宋体" w:hAnsi="宋体" w:cs="宋体"/>
          <w:color w:val="auto"/>
          <w:sz w:val="24"/>
          <w:highlight w:val="none"/>
        </w:rPr>
        <w:t>招标文件共七章，内容如下：</w:t>
      </w:r>
    </w:p>
    <w:p>
      <w:pPr>
        <w:spacing w:before="120" w:line="360" w:lineRule="auto"/>
        <w:ind w:left="895" w:leftChars="426" w:firstLine="122" w:firstLineChars="51"/>
        <w:rPr>
          <w:rFonts w:ascii="宋体" w:hAnsi="宋体" w:cs="宋体"/>
          <w:color w:val="auto"/>
          <w:sz w:val="24"/>
          <w:highlight w:val="none"/>
        </w:rPr>
      </w:pPr>
      <w:r>
        <w:rPr>
          <w:rFonts w:hint="eastAsia" w:ascii="宋体" w:hAnsi="宋体" w:cs="宋体"/>
          <w:color w:val="auto"/>
          <w:sz w:val="24"/>
          <w:highlight w:val="none"/>
        </w:rPr>
        <w:t>第一章　供应商须知</w:t>
      </w:r>
    </w:p>
    <w:p>
      <w:pPr>
        <w:spacing w:before="120" w:line="360" w:lineRule="auto"/>
        <w:ind w:left="895" w:leftChars="426" w:firstLine="122" w:firstLineChars="51"/>
        <w:rPr>
          <w:rFonts w:ascii="宋体" w:hAnsi="宋体" w:cs="宋体"/>
          <w:color w:val="auto"/>
          <w:sz w:val="24"/>
          <w:highlight w:val="none"/>
        </w:rPr>
      </w:pPr>
      <w:r>
        <w:rPr>
          <w:rFonts w:hint="eastAsia" w:ascii="宋体" w:hAnsi="宋体" w:cs="宋体"/>
          <w:color w:val="auto"/>
          <w:sz w:val="24"/>
          <w:highlight w:val="none"/>
        </w:rPr>
        <w:t>第二章　合同格式及条款</w:t>
      </w:r>
    </w:p>
    <w:p>
      <w:pPr>
        <w:spacing w:before="120" w:line="360" w:lineRule="auto"/>
        <w:ind w:left="895" w:leftChars="426" w:firstLine="122" w:firstLineChars="51"/>
        <w:rPr>
          <w:rFonts w:ascii="宋体" w:hAnsi="宋体" w:cs="宋体"/>
          <w:color w:val="auto"/>
          <w:sz w:val="24"/>
          <w:highlight w:val="none"/>
        </w:rPr>
      </w:pPr>
      <w:r>
        <w:rPr>
          <w:rFonts w:hint="eastAsia" w:ascii="宋体" w:hAnsi="宋体" w:cs="宋体"/>
          <w:color w:val="auto"/>
          <w:sz w:val="24"/>
          <w:highlight w:val="none"/>
        </w:rPr>
        <w:t>第三章　投标文件格式</w:t>
      </w:r>
    </w:p>
    <w:p>
      <w:pPr>
        <w:spacing w:before="120" w:line="360" w:lineRule="auto"/>
        <w:ind w:left="895" w:leftChars="426" w:firstLine="122" w:firstLineChars="51"/>
        <w:rPr>
          <w:rFonts w:ascii="宋体" w:hAnsi="宋体" w:cs="宋体"/>
          <w:color w:val="auto"/>
          <w:sz w:val="24"/>
          <w:highlight w:val="none"/>
        </w:rPr>
      </w:pPr>
      <w:r>
        <w:rPr>
          <w:rFonts w:hint="eastAsia" w:ascii="宋体" w:hAnsi="宋体" w:cs="宋体"/>
          <w:color w:val="auto"/>
          <w:sz w:val="24"/>
          <w:highlight w:val="none"/>
        </w:rPr>
        <w:t>第四章  投标邀请</w:t>
      </w:r>
    </w:p>
    <w:p>
      <w:pPr>
        <w:spacing w:before="120" w:line="360" w:lineRule="auto"/>
        <w:ind w:left="895" w:leftChars="426" w:firstLine="122" w:firstLineChars="51"/>
        <w:rPr>
          <w:rFonts w:ascii="宋体" w:hAnsi="宋体" w:cs="宋体"/>
          <w:color w:val="auto"/>
          <w:sz w:val="24"/>
          <w:highlight w:val="none"/>
        </w:rPr>
      </w:pPr>
      <w:r>
        <w:rPr>
          <w:rFonts w:hint="eastAsia" w:ascii="宋体" w:hAnsi="宋体" w:cs="宋体"/>
          <w:color w:val="auto"/>
          <w:sz w:val="24"/>
          <w:highlight w:val="none"/>
        </w:rPr>
        <w:t>第五章  供应商须知资料表</w:t>
      </w:r>
    </w:p>
    <w:p>
      <w:pPr>
        <w:spacing w:before="120" w:line="360" w:lineRule="auto"/>
        <w:ind w:left="895" w:leftChars="426" w:firstLine="122" w:firstLineChars="51"/>
        <w:rPr>
          <w:rFonts w:ascii="宋体" w:hAnsi="宋体" w:cs="宋体"/>
          <w:color w:val="auto"/>
          <w:sz w:val="24"/>
          <w:highlight w:val="none"/>
        </w:rPr>
      </w:pPr>
      <w:r>
        <w:rPr>
          <w:rFonts w:hint="eastAsia" w:ascii="宋体" w:hAnsi="宋体" w:cs="宋体"/>
          <w:color w:val="auto"/>
          <w:sz w:val="24"/>
          <w:highlight w:val="none"/>
        </w:rPr>
        <w:t>第六章　招标内容清单及技术规格</w:t>
      </w:r>
    </w:p>
    <w:p>
      <w:pPr>
        <w:spacing w:before="120" w:line="360" w:lineRule="auto"/>
        <w:ind w:left="895" w:leftChars="426" w:firstLine="122" w:firstLineChars="51"/>
        <w:rPr>
          <w:rFonts w:ascii="宋体" w:hAnsi="宋体" w:cs="宋体"/>
          <w:color w:val="auto"/>
          <w:sz w:val="24"/>
          <w:highlight w:val="none"/>
        </w:rPr>
      </w:pPr>
      <w:r>
        <w:rPr>
          <w:rFonts w:hint="eastAsia" w:ascii="宋体" w:hAnsi="宋体" w:cs="宋体"/>
          <w:color w:val="auto"/>
          <w:sz w:val="24"/>
          <w:highlight w:val="none"/>
        </w:rPr>
        <w:t>第七章  评标方法和标准</w:t>
      </w:r>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5.2     供应商应当认真阅读招标文件所有的事项、格式、条款和技术规范等。</w:t>
      </w:r>
    </w:p>
    <w:p>
      <w:pPr>
        <w:spacing w:before="120" w:line="360" w:lineRule="auto"/>
        <w:ind w:left="960" w:hanging="960" w:hangingChars="400"/>
        <w:rPr>
          <w:rFonts w:ascii="宋体" w:hAnsi="宋体" w:cs="宋体"/>
          <w:color w:val="auto"/>
          <w:sz w:val="24"/>
          <w:highlight w:val="none"/>
        </w:rPr>
      </w:pPr>
      <w:r>
        <w:rPr>
          <w:rFonts w:hint="eastAsia" w:ascii="宋体" w:hAnsi="宋体" w:cs="宋体"/>
          <w:color w:val="auto"/>
          <w:sz w:val="24"/>
          <w:highlight w:val="none"/>
        </w:rPr>
        <w:t xml:space="preserve">5.3    </w:t>
      </w:r>
      <w:bookmarkStart w:id="39" w:name="_Toc109542339"/>
      <w:bookmarkStart w:id="40" w:name="_Toc109543159"/>
      <w:bookmarkStart w:id="41" w:name="_Toc520356148"/>
      <w:r>
        <w:rPr>
          <w:rFonts w:hint="eastAsia" w:ascii="宋体" w:hAnsi="宋体" w:cs="宋体"/>
          <w:color w:val="auto"/>
          <w:sz w:val="24"/>
          <w:highlight w:val="none"/>
        </w:rPr>
        <w:t xml:space="preserve"> 供应商应当注意投标风险：如果供应商未按照招标文件要求提交投标文件，将有可能导致其投标按</w:t>
      </w:r>
      <w:r>
        <w:rPr>
          <w:rFonts w:hint="eastAsia" w:ascii="宋体" w:hAnsi="宋体" w:cs="宋体"/>
          <w:color w:val="auto"/>
          <w:sz w:val="24"/>
          <w:highlight w:val="none"/>
          <w:u w:val="single"/>
        </w:rPr>
        <w:t>无效投标</w:t>
      </w:r>
      <w:r>
        <w:rPr>
          <w:rFonts w:hint="eastAsia" w:ascii="宋体" w:hAnsi="宋体" w:cs="宋体"/>
          <w:color w:val="auto"/>
          <w:sz w:val="24"/>
          <w:highlight w:val="none"/>
        </w:rPr>
        <w:t>处理。</w:t>
      </w:r>
    </w:p>
    <w:p>
      <w:pPr>
        <w:spacing w:before="360" w:after="240" w:line="360" w:lineRule="auto"/>
        <w:outlineLvl w:val="2"/>
        <w:rPr>
          <w:rFonts w:ascii="宋体" w:hAnsi="宋体" w:cs="宋体"/>
          <w:b/>
          <w:color w:val="auto"/>
          <w:sz w:val="24"/>
          <w:highlight w:val="none"/>
        </w:rPr>
      </w:pPr>
      <w:bookmarkStart w:id="42" w:name="_Toc1844"/>
      <w:bookmarkStart w:id="43" w:name="_Toc332807973"/>
      <w:bookmarkStart w:id="44" w:name="_Toc3190"/>
      <w:r>
        <w:rPr>
          <w:rFonts w:hint="eastAsia" w:ascii="宋体" w:hAnsi="宋体" w:cs="宋体"/>
          <w:b/>
          <w:color w:val="auto"/>
          <w:sz w:val="24"/>
          <w:highlight w:val="none"/>
        </w:rPr>
        <w:t>6.招标文件的澄清</w:t>
      </w:r>
      <w:bookmarkEnd w:id="39"/>
      <w:bookmarkEnd w:id="40"/>
      <w:bookmarkEnd w:id="41"/>
      <w:r>
        <w:rPr>
          <w:rFonts w:hint="eastAsia" w:ascii="宋体" w:hAnsi="宋体" w:cs="宋体"/>
          <w:b/>
          <w:color w:val="auto"/>
          <w:sz w:val="24"/>
          <w:highlight w:val="none"/>
        </w:rPr>
        <w:t>或者修改</w:t>
      </w:r>
      <w:bookmarkEnd w:id="42"/>
      <w:bookmarkEnd w:id="43"/>
      <w:bookmarkEnd w:id="44"/>
    </w:p>
    <w:p>
      <w:pPr>
        <w:spacing w:before="120" w:line="360" w:lineRule="auto"/>
        <w:ind w:left="969" w:leftChars="-9" w:hanging="988" w:hangingChars="412"/>
        <w:rPr>
          <w:rFonts w:ascii="宋体" w:hAnsi="宋体" w:cs="宋体"/>
          <w:color w:val="auto"/>
          <w:sz w:val="24"/>
          <w:highlight w:val="none"/>
        </w:rPr>
      </w:pPr>
      <w:r>
        <w:rPr>
          <w:rFonts w:hint="eastAsia" w:ascii="宋体" w:hAnsi="宋体" w:cs="宋体"/>
          <w:color w:val="auto"/>
          <w:sz w:val="24"/>
          <w:highlight w:val="none"/>
        </w:rPr>
        <w:t>6.1</w:t>
      </w:r>
      <w:bookmarkStart w:id="45" w:name="_Ref467378678"/>
      <w:bookmarkStart w:id="46" w:name="_Toc109542340"/>
      <w:bookmarkStart w:id="47" w:name="_Toc109543160"/>
      <w:bookmarkStart w:id="48" w:name="_Toc520356149"/>
      <w:r>
        <w:rPr>
          <w:rFonts w:hint="eastAsia" w:ascii="宋体" w:hAnsi="宋体" w:cs="宋体"/>
          <w:color w:val="auto"/>
          <w:sz w:val="24"/>
          <w:highlight w:val="none"/>
        </w:rPr>
        <w:t xml:space="preserve">     任何要求对招标文件进行澄清或者修改的供应商，均应当在投标截止时间</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rPr>
        <w:t>日前（见《供应商须知资料表》中规定）以书面形式通知招标采购单位。</w:t>
      </w:r>
    </w:p>
    <w:p>
      <w:pPr>
        <w:spacing w:before="120" w:line="360" w:lineRule="auto"/>
        <w:ind w:left="1017" w:leftChars="-9" w:hanging="1036" w:hangingChars="432"/>
        <w:rPr>
          <w:rFonts w:ascii="宋体" w:hAnsi="宋体" w:cs="宋体"/>
          <w:color w:val="auto"/>
          <w:sz w:val="24"/>
          <w:highlight w:val="none"/>
        </w:rPr>
      </w:pPr>
      <w:r>
        <w:rPr>
          <w:rFonts w:hint="eastAsia" w:ascii="宋体" w:hAnsi="宋体" w:cs="宋体"/>
          <w:color w:val="auto"/>
          <w:sz w:val="24"/>
          <w:highlight w:val="none"/>
        </w:rPr>
        <w:t>6.2     招标采购单位对已发出的招标文件进行必要澄清或者修改的，应当在招标文件要求提交投标文件截止时间十五日前，在财政部门指定的政府采购信息发布媒体上发布更正公告，并以书面形式通知所有招标文件收受人。</w:t>
      </w:r>
    </w:p>
    <w:p>
      <w:pPr>
        <w:spacing w:before="120" w:line="360" w:lineRule="auto"/>
        <w:ind w:left="1080" w:hanging="1098"/>
        <w:rPr>
          <w:rFonts w:ascii="宋体" w:hAnsi="宋体" w:cs="宋体"/>
          <w:color w:val="auto"/>
          <w:sz w:val="24"/>
          <w:highlight w:val="none"/>
        </w:rPr>
      </w:pPr>
      <w:r>
        <w:rPr>
          <w:rFonts w:hint="eastAsia" w:ascii="宋体" w:hAnsi="宋体" w:cs="宋体"/>
          <w:color w:val="auto"/>
          <w:sz w:val="24"/>
          <w:highlight w:val="none"/>
        </w:rPr>
        <w:t>6.3      该澄清或者修改的内容为招标文件的组成部分。</w:t>
      </w:r>
    </w:p>
    <w:p>
      <w:pPr>
        <w:spacing w:before="120" w:line="360" w:lineRule="auto"/>
        <w:ind w:left="1080" w:hanging="1098"/>
        <w:rPr>
          <w:rFonts w:ascii="宋体" w:hAnsi="宋体" w:cs="宋体"/>
          <w:color w:val="auto"/>
          <w:sz w:val="24"/>
          <w:highlight w:val="none"/>
        </w:rPr>
      </w:pPr>
      <w:r>
        <w:rPr>
          <w:rFonts w:hint="eastAsia" w:ascii="宋体" w:hAnsi="宋体" w:cs="宋体"/>
          <w:color w:val="auto"/>
          <w:sz w:val="24"/>
          <w:highlight w:val="none"/>
        </w:rPr>
        <w:t>6.4      供应商在收到上述通知后，应当立即向招标采购单位发出回函予以确认。</w:t>
      </w:r>
    </w:p>
    <w:bookmarkEnd w:id="45"/>
    <w:bookmarkEnd w:id="46"/>
    <w:bookmarkEnd w:id="47"/>
    <w:bookmarkEnd w:id="48"/>
    <w:p>
      <w:pPr>
        <w:spacing w:before="360" w:after="240" w:line="360" w:lineRule="auto"/>
        <w:outlineLvl w:val="2"/>
        <w:rPr>
          <w:rFonts w:ascii="宋体" w:hAnsi="宋体" w:cs="宋体"/>
          <w:b/>
          <w:color w:val="auto"/>
          <w:sz w:val="24"/>
          <w:highlight w:val="none"/>
        </w:rPr>
      </w:pPr>
      <w:bookmarkStart w:id="49" w:name="_Toc20620"/>
      <w:bookmarkStart w:id="50" w:name="_Toc332807974"/>
      <w:bookmarkStart w:id="51" w:name="_Toc4734"/>
      <w:r>
        <w:rPr>
          <w:rFonts w:hint="eastAsia" w:ascii="宋体" w:hAnsi="宋体" w:cs="宋体"/>
          <w:b/>
          <w:color w:val="auto"/>
          <w:sz w:val="24"/>
          <w:highlight w:val="none"/>
        </w:rPr>
        <w:t>7.投标截止时间和开标时间的延期</w:t>
      </w:r>
      <w:bookmarkEnd w:id="49"/>
      <w:bookmarkEnd w:id="50"/>
      <w:bookmarkEnd w:id="51"/>
    </w:p>
    <w:p>
      <w:pPr>
        <w:pStyle w:val="8"/>
        <w:tabs>
          <w:tab w:val="left" w:pos="1080"/>
        </w:tabs>
        <w:spacing w:before="120" w:after="0" w:line="360" w:lineRule="auto"/>
        <w:ind w:left="1080" w:hanging="1080"/>
        <w:rPr>
          <w:rFonts w:ascii="宋体" w:hAnsi="宋体" w:cs="宋体"/>
          <w:color w:val="auto"/>
          <w:sz w:val="24"/>
          <w:highlight w:val="none"/>
        </w:rPr>
      </w:pPr>
      <w:r>
        <w:rPr>
          <w:rFonts w:hint="eastAsia" w:ascii="宋体" w:hAnsi="宋体" w:cs="宋体"/>
          <w:color w:val="auto"/>
          <w:sz w:val="24"/>
          <w:highlight w:val="none"/>
        </w:rPr>
        <w:t>7.1</w:t>
      </w:r>
      <w:r>
        <w:rPr>
          <w:rFonts w:hint="eastAsia" w:ascii="宋体" w:hAnsi="宋体" w:cs="宋体"/>
          <w:color w:val="auto"/>
          <w:sz w:val="24"/>
          <w:highlight w:val="none"/>
        </w:rPr>
        <w:tab/>
      </w:r>
      <w:r>
        <w:rPr>
          <w:rFonts w:hint="eastAsia" w:ascii="宋体" w:hAnsi="宋体" w:cs="宋体"/>
          <w:color w:val="auto"/>
          <w:sz w:val="24"/>
          <w:highlight w:val="none"/>
        </w:rPr>
        <w:t>招标采购单位对已发出的招标文件进行必要澄清或者修改时，为使供应商有足够的时间对招标文件的澄清或者修改部分进行研究、应答，招标采购单位可以视采购的具体情况，延长投标截止时间和开标时间。</w:t>
      </w:r>
    </w:p>
    <w:p>
      <w:pPr>
        <w:pStyle w:val="8"/>
        <w:tabs>
          <w:tab w:val="left" w:pos="1080"/>
        </w:tabs>
        <w:spacing w:before="120" w:after="0" w:line="360" w:lineRule="auto"/>
        <w:ind w:left="1080" w:hanging="1080"/>
        <w:rPr>
          <w:rFonts w:ascii="宋体" w:hAnsi="宋体" w:cs="宋体"/>
          <w:color w:val="auto"/>
          <w:sz w:val="24"/>
          <w:highlight w:val="none"/>
        </w:rPr>
      </w:pPr>
      <w:r>
        <w:rPr>
          <w:rFonts w:hint="eastAsia" w:ascii="宋体" w:hAnsi="宋体" w:cs="宋体"/>
          <w:color w:val="auto"/>
          <w:sz w:val="24"/>
          <w:highlight w:val="none"/>
        </w:rPr>
        <w:t>7.2      招标采购单位在延长投标截止时间和开标时间时，至少应当在招标文件要求提交投标文件的截止时间三日前，将变更时间书面通知所有招标文件收受人，并在财政部门指定的政府采购信息发布媒体上发布变更公告。</w:t>
      </w:r>
    </w:p>
    <w:p>
      <w:pPr>
        <w:spacing w:before="120" w:line="360" w:lineRule="auto"/>
        <w:jc w:val="center"/>
        <w:outlineLvl w:val="1"/>
        <w:rPr>
          <w:rFonts w:ascii="宋体" w:hAnsi="宋体" w:cs="宋体"/>
          <w:b/>
          <w:color w:val="auto"/>
          <w:sz w:val="28"/>
          <w:szCs w:val="28"/>
          <w:highlight w:val="none"/>
        </w:rPr>
      </w:pPr>
      <w:bookmarkStart w:id="52" w:name="_Toc332807975"/>
      <w:bookmarkStart w:id="53" w:name="_Toc11582"/>
      <w:bookmarkStart w:id="54" w:name="_Toc121"/>
      <w:r>
        <w:rPr>
          <w:rFonts w:hint="eastAsia" w:ascii="宋体" w:hAnsi="宋体" w:cs="宋体"/>
          <w:b/>
          <w:color w:val="auto"/>
          <w:sz w:val="28"/>
          <w:szCs w:val="28"/>
          <w:highlight w:val="none"/>
        </w:rPr>
        <w:t>三 投标文件的编制</w:t>
      </w:r>
      <w:bookmarkEnd w:id="52"/>
      <w:bookmarkEnd w:id="53"/>
      <w:bookmarkEnd w:id="54"/>
      <w:bookmarkStart w:id="55" w:name="_Toc109542342"/>
      <w:bookmarkStart w:id="56" w:name="_Toc516367021"/>
      <w:bookmarkStart w:id="57" w:name="_Toc520356151"/>
      <w:bookmarkStart w:id="58" w:name="_Toc109543162"/>
    </w:p>
    <w:p>
      <w:pPr>
        <w:spacing w:before="360" w:after="240" w:line="360" w:lineRule="auto"/>
        <w:outlineLvl w:val="2"/>
        <w:rPr>
          <w:rFonts w:ascii="宋体" w:hAnsi="宋体" w:cs="宋体"/>
          <w:b/>
          <w:color w:val="auto"/>
          <w:sz w:val="24"/>
          <w:highlight w:val="none"/>
        </w:rPr>
      </w:pPr>
      <w:bookmarkStart w:id="59" w:name="_Toc19300"/>
      <w:bookmarkStart w:id="60" w:name="_Toc24772"/>
      <w:bookmarkStart w:id="61" w:name="_Toc332807976"/>
      <w:r>
        <w:rPr>
          <w:rFonts w:hint="eastAsia" w:ascii="宋体" w:hAnsi="宋体" w:cs="宋体"/>
          <w:b/>
          <w:color w:val="auto"/>
          <w:sz w:val="24"/>
          <w:highlight w:val="none"/>
        </w:rPr>
        <w:t>8.投标范围及投标文件中计量单位的使用</w:t>
      </w:r>
      <w:bookmarkEnd w:id="55"/>
      <w:bookmarkEnd w:id="56"/>
      <w:bookmarkEnd w:id="57"/>
      <w:bookmarkEnd w:id="58"/>
      <w:bookmarkEnd w:id="59"/>
      <w:bookmarkEnd w:id="60"/>
      <w:bookmarkEnd w:id="61"/>
    </w:p>
    <w:p>
      <w:pPr>
        <w:tabs>
          <w:tab w:val="left" w:pos="900"/>
        </w:tabs>
        <w:spacing w:before="120" w:line="360" w:lineRule="auto"/>
        <w:ind w:left="1020" w:hanging="1020" w:hangingChars="425"/>
        <w:rPr>
          <w:rFonts w:ascii="宋体" w:hAnsi="宋体" w:cs="宋体"/>
          <w:color w:val="auto"/>
          <w:sz w:val="24"/>
          <w:highlight w:val="none"/>
        </w:rPr>
      </w:pPr>
      <w:r>
        <w:rPr>
          <w:rFonts w:hint="eastAsia" w:ascii="宋体" w:hAnsi="宋体" w:cs="宋体"/>
          <w:color w:val="auto"/>
          <w:sz w:val="24"/>
          <w:highlight w:val="none"/>
        </w:rPr>
        <w:t>8.1</w:t>
      </w:r>
      <w:r>
        <w:rPr>
          <w:rFonts w:hint="eastAsia" w:ascii="宋体" w:hAnsi="宋体" w:cs="宋体"/>
          <w:color w:val="auto"/>
          <w:sz w:val="24"/>
          <w:highlight w:val="none"/>
        </w:rPr>
        <w:tab/>
      </w:r>
      <w:r>
        <w:rPr>
          <w:rFonts w:hint="eastAsia" w:ascii="宋体" w:hAnsi="宋体" w:cs="宋体"/>
          <w:color w:val="auto"/>
          <w:sz w:val="24"/>
          <w:highlight w:val="none"/>
        </w:rPr>
        <w:t xml:space="preserve"> 供应商可以对招标文件中“招标内容清单和要求”所列的所有服务项目进行投标，也可以只对其中一包或者几包服务进行投标，但不得将一包中的内容拆开投标。拆开投标的，按</w:t>
      </w:r>
      <w:r>
        <w:rPr>
          <w:rFonts w:hint="eastAsia" w:ascii="宋体" w:hAnsi="宋体" w:cs="宋体"/>
          <w:color w:val="auto"/>
          <w:sz w:val="24"/>
          <w:highlight w:val="none"/>
          <w:u w:val="thick"/>
        </w:rPr>
        <w:t>无效投标</w:t>
      </w:r>
      <w:r>
        <w:rPr>
          <w:rFonts w:hint="eastAsia" w:ascii="宋体" w:hAnsi="宋体" w:cs="宋体"/>
          <w:color w:val="auto"/>
          <w:sz w:val="24"/>
          <w:highlight w:val="none"/>
        </w:rPr>
        <w:t>处理。</w:t>
      </w:r>
    </w:p>
    <w:p>
      <w:pPr>
        <w:tabs>
          <w:tab w:val="left" w:pos="900"/>
        </w:tabs>
        <w:spacing w:before="120" w:line="360" w:lineRule="auto"/>
        <w:ind w:left="1020" w:hanging="1020" w:hangingChars="425"/>
        <w:rPr>
          <w:rFonts w:ascii="宋体" w:hAnsi="宋体" w:cs="宋体"/>
          <w:color w:val="auto"/>
          <w:sz w:val="24"/>
          <w:highlight w:val="none"/>
        </w:rPr>
      </w:pPr>
      <w:r>
        <w:rPr>
          <w:rFonts w:hint="eastAsia" w:ascii="宋体" w:hAnsi="宋体" w:cs="宋体"/>
          <w:color w:val="auto"/>
          <w:sz w:val="24"/>
          <w:highlight w:val="none"/>
        </w:rPr>
        <w:t>8.2</w:t>
      </w:r>
      <w:r>
        <w:rPr>
          <w:rFonts w:hint="eastAsia" w:ascii="宋体" w:hAnsi="宋体" w:cs="宋体"/>
          <w:color w:val="auto"/>
          <w:sz w:val="24"/>
          <w:highlight w:val="none"/>
        </w:rPr>
        <w:tab/>
      </w:r>
      <w:r>
        <w:rPr>
          <w:rFonts w:hint="eastAsia" w:ascii="宋体" w:hAnsi="宋体" w:cs="宋体"/>
          <w:color w:val="auto"/>
          <w:sz w:val="24"/>
          <w:highlight w:val="none"/>
        </w:rPr>
        <w:t xml:space="preserve"> 投标文件中所使用的计量单位，除招标文件中有特殊要求外，应当采用中华人民共和国法定计量单位及通用图形符号。</w:t>
      </w:r>
    </w:p>
    <w:p>
      <w:pPr>
        <w:spacing w:before="360" w:after="240" w:line="360" w:lineRule="auto"/>
        <w:outlineLvl w:val="2"/>
        <w:rPr>
          <w:rFonts w:ascii="宋体" w:hAnsi="宋体" w:cs="宋体"/>
          <w:b/>
          <w:color w:val="auto"/>
          <w:sz w:val="24"/>
          <w:highlight w:val="none"/>
        </w:rPr>
      </w:pPr>
      <w:bookmarkStart w:id="62" w:name="_Ref467306195"/>
      <w:bookmarkStart w:id="63" w:name="_Ref467306676"/>
      <w:bookmarkStart w:id="64" w:name="_Toc516367022"/>
      <w:bookmarkStart w:id="65" w:name="_Toc109543163"/>
      <w:bookmarkStart w:id="66" w:name="_Toc520356152"/>
      <w:bookmarkStart w:id="67" w:name="_Toc109542343"/>
      <w:bookmarkStart w:id="68" w:name="_Toc332807977"/>
      <w:bookmarkStart w:id="69" w:name="_Toc29658"/>
      <w:bookmarkStart w:id="70" w:name="_Toc1776"/>
      <w:r>
        <w:rPr>
          <w:rFonts w:hint="eastAsia" w:ascii="宋体" w:hAnsi="宋体" w:cs="宋体"/>
          <w:b/>
          <w:color w:val="auto"/>
          <w:sz w:val="24"/>
          <w:highlight w:val="none"/>
        </w:rPr>
        <w:t>9.投标文件</w:t>
      </w:r>
      <w:bookmarkEnd w:id="62"/>
      <w:bookmarkEnd w:id="63"/>
      <w:bookmarkEnd w:id="64"/>
      <w:r>
        <w:rPr>
          <w:rFonts w:hint="eastAsia" w:ascii="宋体" w:hAnsi="宋体" w:cs="宋体"/>
          <w:b/>
          <w:color w:val="auto"/>
          <w:sz w:val="24"/>
          <w:highlight w:val="none"/>
        </w:rPr>
        <w:t>构成</w:t>
      </w:r>
      <w:bookmarkEnd w:id="65"/>
      <w:bookmarkEnd w:id="66"/>
      <w:bookmarkEnd w:id="67"/>
      <w:bookmarkEnd w:id="68"/>
      <w:bookmarkEnd w:id="69"/>
      <w:bookmarkEnd w:id="70"/>
    </w:p>
    <w:p>
      <w:pPr>
        <w:tabs>
          <w:tab w:val="left" w:pos="900"/>
        </w:tabs>
        <w:spacing w:before="120" w:line="360" w:lineRule="auto"/>
        <w:ind w:left="1020" w:hanging="1020" w:hangingChars="425"/>
        <w:rPr>
          <w:rFonts w:ascii="宋体" w:hAnsi="宋体" w:cs="宋体"/>
          <w:color w:val="auto"/>
          <w:sz w:val="24"/>
          <w:highlight w:val="none"/>
        </w:rPr>
      </w:pPr>
      <w:bookmarkStart w:id="71" w:name="_Ref467052588"/>
      <w:r>
        <w:rPr>
          <w:rFonts w:hint="eastAsia" w:ascii="宋体" w:hAnsi="宋体" w:cs="宋体"/>
          <w:color w:val="auto"/>
          <w:sz w:val="24"/>
          <w:highlight w:val="none"/>
        </w:rPr>
        <w:t>9.1</w:t>
      </w:r>
      <w:r>
        <w:rPr>
          <w:rFonts w:hint="eastAsia" w:ascii="宋体" w:hAnsi="宋体" w:cs="宋体"/>
          <w:color w:val="auto"/>
          <w:sz w:val="24"/>
          <w:highlight w:val="none"/>
        </w:rPr>
        <w:tab/>
      </w:r>
      <w:r>
        <w:rPr>
          <w:rFonts w:hint="eastAsia" w:ascii="宋体" w:hAnsi="宋体" w:cs="宋体"/>
          <w:color w:val="auto"/>
          <w:sz w:val="24"/>
          <w:highlight w:val="none"/>
        </w:rPr>
        <w:t xml:space="preserve"> 供应商应当完整地按招标文件提供的文件格式填写投标文件，投标文件分为商务部分和技术部分，应当包括以下内容</w:t>
      </w:r>
      <w:bookmarkEnd w:id="71"/>
      <w:r>
        <w:rPr>
          <w:rFonts w:hint="eastAsia" w:ascii="宋体" w:hAnsi="宋体" w:cs="宋体"/>
          <w:color w:val="auto"/>
          <w:sz w:val="24"/>
          <w:highlight w:val="none"/>
        </w:rPr>
        <w:t>：</w:t>
      </w:r>
    </w:p>
    <w:p>
      <w:pPr>
        <w:tabs>
          <w:tab w:val="left" w:pos="900"/>
          <w:tab w:val="left" w:pos="5580"/>
        </w:tabs>
        <w:spacing w:before="120" w:line="360" w:lineRule="auto"/>
        <w:ind w:left="903" w:leftChars="430" w:firstLine="120" w:firstLineChars="50"/>
        <w:rPr>
          <w:rFonts w:ascii="宋体" w:hAnsi="宋体" w:cs="宋体"/>
          <w:color w:val="auto"/>
          <w:sz w:val="24"/>
          <w:highlight w:val="none"/>
        </w:rPr>
      </w:pPr>
      <w:bookmarkStart w:id="72" w:name="_Hlt520274929"/>
      <w:bookmarkStart w:id="73" w:name="_Hlt520276204"/>
      <w:r>
        <w:rPr>
          <w:rFonts w:hint="eastAsia" w:ascii="宋体" w:hAnsi="宋体" w:cs="宋体"/>
          <w:color w:val="auto"/>
          <w:sz w:val="24"/>
          <w:highlight w:val="none"/>
        </w:rPr>
        <w:t>附件1——投标书（格式）</w:t>
      </w:r>
    </w:p>
    <w:p>
      <w:pPr>
        <w:tabs>
          <w:tab w:val="left" w:pos="900"/>
          <w:tab w:val="left" w:pos="5580"/>
        </w:tabs>
        <w:spacing w:before="120" w:line="360" w:lineRule="auto"/>
        <w:ind w:left="903" w:leftChars="430" w:firstLine="120" w:firstLineChars="50"/>
        <w:rPr>
          <w:rFonts w:ascii="宋体" w:hAnsi="宋体" w:cs="宋体"/>
          <w:color w:val="auto"/>
          <w:sz w:val="24"/>
          <w:highlight w:val="none"/>
        </w:rPr>
      </w:pPr>
      <w:r>
        <w:rPr>
          <w:rFonts w:hint="eastAsia" w:ascii="宋体" w:hAnsi="宋体" w:cs="宋体"/>
          <w:color w:val="auto"/>
          <w:sz w:val="24"/>
          <w:highlight w:val="none"/>
        </w:rPr>
        <w:t>附件2——开标一览表（格式）</w:t>
      </w:r>
    </w:p>
    <w:p>
      <w:pPr>
        <w:tabs>
          <w:tab w:val="left" w:pos="900"/>
          <w:tab w:val="left" w:pos="5580"/>
        </w:tabs>
        <w:spacing w:before="120" w:line="360" w:lineRule="auto"/>
        <w:ind w:left="903" w:leftChars="430" w:firstLine="120" w:firstLineChars="50"/>
        <w:rPr>
          <w:rFonts w:ascii="宋体" w:hAnsi="宋体" w:cs="宋体"/>
          <w:color w:val="auto"/>
          <w:sz w:val="24"/>
          <w:highlight w:val="none"/>
        </w:rPr>
      </w:pPr>
      <w:r>
        <w:rPr>
          <w:rFonts w:hint="eastAsia" w:ascii="宋体" w:hAnsi="宋体" w:cs="宋体"/>
          <w:color w:val="auto"/>
          <w:sz w:val="24"/>
          <w:highlight w:val="none"/>
        </w:rPr>
        <w:t>附件3——投标分项报价说明表（格式）</w:t>
      </w:r>
    </w:p>
    <w:p>
      <w:pPr>
        <w:tabs>
          <w:tab w:val="left" w:pos="900"/>
          <w:tab w:val="left" w:pos="5580"/>
        </w:tabs>
        <w:spacing w:before="120" w:line="360" w:lineRule="auto"/>
        <w:ind w:left="903" w:leftChars="430" w:firstLine="120" w:firstLineChars="50"/>
        <w:rPr>
          <w:rFonts w:ascii="宋体" w:hAnsi="宋体" w:cs="宋体"/>
          <w:color w:val="auto"/>
          <w:sz w:val="24"/>
          <w:highlight w:val="none"/>
        </w:rPr>
      </w:pPr>
      <w:r>
        <w:rPr>
          <w:rFonts w:hint="eastAsia" w:ascii="宋体" w:hAnsi="宋体" w:cs="宋体"/>
          <w:color w:val="auto"/>
          <w:sz w:val="24"/>
          <w:highlight w:val="none"/>
        </w:rPr>
        <w:t>附件4——供应商技术服务项目偏离表（格式）</w:t>
      </w:r>
    </w:p>
    <w:p>
      <w:pPr>
        <w:tabs>
          <w:tab w:val="left" w:pos="900"/>
          <w:tab w:val="left" w:pos="5580"/>
        </w:tabs>
        <w:spacing w:before="120" w:line="360" w:lineRule="auto"/>
        <w:ind w:left="903" w:leftChars="430" w:firstLine="120" w:firstLineChars="50"/>
        <w:rPr>
          <w:rFonts w:ascii="宋体" w:hAnsi="宋体" w:cs="宋体"/>
          <w:color w:val="auto"/>
          <w:sz w:val="24"/>
          <w:highlight w:val="none"/>
        </w:rPr>
      </w:pPr>
      <w:r>
        <w:rPr>
          <w:rFonts w:hint="eastAsia" w:ascii="宋体" w:hAnsi="宋体" w:cs="宋体"/>
          <w:color w:val="auto"/>
          <w:sz w:val="24"/>
          <w:highlight w:val="none"/>
        </w:rPr>
        <w:t>附件5——商务条款偏离表（格式）</w:t>
      </w:r>
    </w:p>
    <w:p>
      <w:pPr>
        <w:tabs>
          <w:tab w:val="left" w:pos="900"/>
          <w:tab w:val="left" w:pos="5580"/>
        </w:tabs>
        <w:spacing w:before="120" w:line="360" w:lineRule="auto"/>
        <w:ind w:left="903" w:leftChars="430" w:firstLine="120" w:firstLineChars="50"/>
        <w:rPr>
          <w:rFonts w:ascii="宋体" w:hAnsi="宋体" w:cs="宋体"/>
          <w:color w:val="auto"/>
          <w:sz w:val="24"/>
          <w:highlight w:val="none"/>
        </w:rPr>
      </w:pPr>
      <w:r>
        <w:rPr>
          <w:rFonts w:hint="eastAsia" w:ascii="宋体" w:hAnsi="宋体" w:cs="宋体"/>
          <w:color w:val="auto"/>
          <w:sz w:val="24"/>
          <w:highlight w:val="none"/>
        </w:rPr>
        <w:t>附件6——履约保证金保函格式（中标后开具）</w:t>
      </w:r>
    </w:p>
    <w:p>
      <w:pPr>
        <w:tabs>
          <w:tab w:val="left" w:pos="900"/>
          <w:tab w:val="left" w:pos="5580"/>
        </w:tabs>
        <w:spacing w:before="120" w:line="360" w:lineRule="auto"/>
        <w:ind w:left="903" w:leftChars="430" w:firstLine="120" w:firstLineChars="50"/>
        <w:rPr>
          <w:rFonts w:ascii="宋体" w:hAnsi="宋体" w:cs="宋体"/>
          <w:color w:val="auto"/>
          <w:sz w:val="24"/>
          <w:highlight w:val="none"/>
        </w:rPr>
      </w:pPr>
      <w:r>
        <w:rPr>
          <w:rFonts w:hint="eastAsia" w:ascii="宋体" w:hAnsi="宋体" w:cs="宋体"/>
          <w:color w:val="auto"/>
          <w:sz w:val="24"/>
          <w:highlight w:val="none"/>
        </w:rPr>
        <w:t>附件7——资格证明文件, 包括：</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7-1 法人营业执照副本</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7-2 法定代表人的授权委托书（格式）</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7-3 供应商基本情况表（格式）</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7-4 供应商财务状况证明文件</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7-5 社会保障资金缴纳记录证明文件</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7-6 依法缴纳税收记录证明文件</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7-7 参加本次政府采购活动前三年内，在经营活动中没有重大违法记录的书面声明</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7-8</w:t>
      </w:r>
      <w:r>
        <w:rPr>
          <w:rFonts w:hint="eastAsia" w:ascii="宋体" w:hAnsi="宋体" w:cs="宋体"/>
          <w:color w:val="auto"/>
          <w:sz w:val="24"/>
          <w:highlight w:val="none"/>
          <w:lang w:val="en-US" w:eastAsia="zh-CN"/>
        </w:rPr>
        <w:t xml:space="preserve"> </w:t>
      </w:r>
      <w:r>
        <w:rPr>
          <w:rFonts w:hint="eastAsia" w:ascii="宋体" w:hAnsi="宋体" w:cs="宋体"/>
          <w:color w:val="auto"/>
          <w:sz w:val="24"/>
          <w:highlight w:val="none"/>
        </w:rPr>
        <w:t>招标文件要求的其他资格证明文件（如有）</w:t>
      </w:r>
    </w:p>
    <w:p>
      <w:pPr>
        <w:spacing w:before="120" w:line="360" w:lineRule="auto"/>
        <w:ind w:firstLine="1080" w:firstLineChars="450"/>
        <w:rPr>
          <w:rFonts w:ascii="宋体" w:hAnsi="宋体" w:cs="宋体"/>
          <w:color w:val="auto"/>
          <w:sz w:val="24"/>
          <w:highlight w:val="none"/>
        </w:rPr>
      </w:pPr>
      <w:r>
        <w:rPr>
          <w:rFonts w:hint="eastAsia" w:ascii="宋体" w:hAnsi="宋体" w:cs="宋体"/>
          <w:color w:val="auto"/>
          <w:sz w:val="24"/>
          <w:highlight w:val="none"/>
        </w:rPr>
        <w:t>附件8——服务明细表</w:t>
      </w:r>
    </w:p>
    <w:p>
      <w:pPr>
        <w:spacing w:before="120" w:line="360" w:lineRule="auto"/>
        <w:ind w:firstLine="1080" w:firstLineChars="450"/>
        <w:rPr>
          <w:rFonts w:hint="eastAsia" w:ascii="宋体" w:hAnsi="宋体" w:cs="宋体"/>
          <w:color w:val="auto"/>
          <w:sz w:val="24"/>
          <w:highlight w:val="none"/>
        </w:rPr>
      </w:pPr>
      <w:r>
        <w:rPr>
          <w:rFonts w:hint="eastAsia" w:ascii="宋体" w:hAnsi="宋体" w:cs="宋体"/>
          <w:color w:val="auto"/>
          <w:sz w:val="24"/>
          <w:highlight w:val="none"/>
        </w:rPr>
        <w:t>附件9——招标代理费承诺书</w:t>
      </w:r>
    </w:p>
    <w:p>
      <w:pPr>
        <w:spacing w:before="120" w:line="360" w:lineRule="auto"/>
        <w:ind w:left="0" w:leftChars="0" w:firstLine="1058" w:firstLineChars="441"/>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lang w:val="en-US" w:eastAsia="zh-CN"/>
        </w:rPr>
        <w:t>附件10-1（1）中小企业声明函（如适用）</w:t>
      </w:r>
    </w:p>
    <w:p>
      <w:pPr>
        <w:spacing w:before="120" w:line="360" w:lineRule="auto"/>
        <w:ind w:left="0" w:leftChars="0" w:firstLine="1058" w:firstLineChars="441"/>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lang w:val="en-US" w:eastAsia="zh-CN"/>
        </w:rPr>
        <w:t>附件10-1（2）监狱企业声明函（如适用）</w:t>
      </w:r>
    </w:p>
    <w:p>
      <w:pPr>
        <w:spacing w:before="120" w:line="360" w:lineRule="auto"/>
        <w:ind w:left="0" w:leftChars="0" w:firstLine="1058" w:firstLineChars="441"/>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lang w:val="en-US" w:eastAsia="zh-CN"/>
        </w:rPr>
        <w:t>附件10-1（3）残疾人福利性单位声明函（如适用）</w:t>
      </w:r>
    </w:p>
    <w:p>
      <w:pPr>
        <w:spacing w:before="120" w:line="360" w:lineRule="auto"/>
        <w:ind w:left="0" w:leftChars="0" w:firstLine="1058" w:firstLineChars="441"/>
        <w:rPr>
          <w:rFonts w:hint="eastAsia" w:ascii="宋体" w:hAnsi="宋体" w:eastAsia="宋体" w:cs="宋体"/>
          <w:b w:val="0"/>
          <w:bCs/>
          <w:color w:val="auto"/>
          <w:sz w:val="24"/>
          <w:highlight w:val="none"/>
        </w:rPr>
      </w:pPr>
      <w:r>
        <w:rPr>
          <w:rFonts w:hint="eastAsia" w:ascii="宋体" w:hAnsi="宋体" w:eastAsia="宋体" w:cs="宋体"/>
          <w:b w:val="0"/>
          <w:bCs/>
          <w:color w:val="auto"/>
          <w:sz w:val="24"/>
          <w:highlight w:val="none"/>
        </w:rPr>
        <w:t>附件10-2</w:t>
      </w:r>
      <w:r>
        <w:rPr>
          <w:rFonts w:hint="eastAsia" w:ascii="宋体" w:hAnsi="宋体" w:eastAsia="宋体" w:cs="宋体"/>
          <w:b w:val="0"/>
          <w:bCs/>
          <w:color w:val="auto"/>
          <w:sz w:val="24"/>
          <w:highlight w:val="none"/>
          <w:lang w:val="en-US" w:eastAsia="zh-CN"/>
        </w:rPr>
        <w:t xml:space="preserve"> </w:t>
      </w:r>
      <w:r>
        <w:rPr>
          <w:rFonts w:hint="eastAsia" w:ascii="宋体" w:hAnsi="宋体" w:eastAsia="宋体" w:cs="宋体"/>
          <w:b w:val="0"/>
          <w:bCs/>
          <w:color w:val="auto"/>
          <w:sz w:val="24"/>
          <w:highlight w:val="none"/>
        </w:rPr>
        <w:t>小型和微型企业/监狱企业/残疾人福利性单位产品一览表</w:t>
      </w:r>
    </w:p>
    <w:p>
      <w:pPr>
        <w:spacing w:before="120" w:line="360" w:lineRule="auto"/>
        <w:ind w:left="0" w:leftChars="0" w:firstLine="1058" w:firstLineChars="441"/>
        <w:rPr>
          <w:rFonts w:hint="eastAsia" w:ascii="宋体" w:hAnsi="宋体" w:eastAsia="宋体" w:cs="宋体"/>
          <w:b w:val="0"/>
          <w:bCs/>
          <w:color w:val="auto"/>
          <w:sz w:val="24"/>
          <w:highlight w:val="none"/>
        </w:rPr>
      </w:pPr>
      <w:r>
        <w:rPr>
          <w:rFonts w:hint="eastAsia" w:ascii="宋体" w:hAnsi="宋体" w:eastAsia="宋体" w:cs="宋体"/>
          <w:b w:val="0"/>
          <w:bCs/>
          <w:color w:val="auto"/>
          <w:sz w:val="24"/>
          <w:highlight w:val="none"/>
        </w:rPr>
        <w:t>附件11</w:t>
      </w:r>
      <w:r>
        <w:rPr>
          <w:rFonts w:hint="eastAsia" w:ascii="宋体" w:hAnsi="宋体" w:eastAsia="宋体" w:cs="宋体"/>
          <w:color w:val="auto"/>
          <w:sz w:val="24"/>
          <w:highlight w:val="none"/>
        </w:rPr>
        <w:t>——</w:t>
      </w:r>
      <w:r>
        <w:rPr>
          <w:rFonts w:hint="eastAsia" w:ascii="宋体" w:hAnsi="宋体" w:eastAsia="宋体" w:cs="宋体"/>
          <w:b w:val="0"/>
          <w:bCs/>
          <w:color w:val="auto"/>
          <w:sz w:val="24"/>
          <w:highlight w:val="none"/>
        </w:rPr>
        <w:t>政府采购投标担保函 （项目用）</w:t>
      </w:r>
    </w:p>
    <w:bookmarkEnd w:id="72"/>
    <w:bookmarkEnd w:id="73"/>
    <w:p>
      <w:pPr>
        <w:spacing w:before="120" w:line="360" w:lineRule="auto"/>
        <w:ind w:left="1140" w:hanging="1140" w:hangingChars="475"/>
        <w:rPr>
          <w:rFonts w:ascii="宋体" w:hAnsi="宋体" w:cs="宋体"/>
          <w:color w:val="auto"/>
          <w:sz w:val="24"/>
          <w:highlight w:val="none"/>
        </w:rPr>
      </w:pPr>
      <w:r>
        <w:rPr>
          <w:rFonts w:hint="eastAsia" w:ascii="宋体" w:hAnsi="宋体" w:cs="宋体"/>
          <w:color w:val="auto"/>
          <w:sz w:val="24"/>
          <w:highlight w:val="none"/>
        </w:rPr>
        <w:t>9.2     所有供应商和投标内容的资格证明文件均应当为合法、有效文件，否则将被视为该文件未递交。</w:t>
      </w:r>
    </w:p>
    <w:p>
      <w:pPr>
        <w:spacing w:before="120" w:line="360" w:lineRule="auto"/>
        <w:ind w:left="900" w:hanging="900"/>
        <w:rPr>
          <w:rFonts w:ascii="宋体" w:hAnsi="宋体" w:cs="宋体"/>
          <w:color w:val="auto"/>
          <w:sz w:val="24"/>
          <w:highlight w:val="none"/>
        </w:rPr>
      </w:pPr>
      <w:r>
        <w:rPr>
          <w:rFonts w:hint="eastAsia" w:ascii="宋体" w:hAnsi="宋体" w:cs="宋体"/>
          <w:color w:val="auto"/>
          <w:sz w:val="24"/>
          <w:highlight w:val="none"/>
        </w:rPr>
        <w:t>9.3     上述文件应当按照招标文件规定的格式填写、签署和盖章。</w:t>
      </w:r>
      <w:bookmarkStart w:id="74" w:name="_Toc109543165"/>
      <w:bookmarkStart w:id="75" w:name="_Toc520356155"/>
      <w:bookmarkStart w:id="76" w:name="_Toc109542345"/>
    </w:p>
    <w:p>
      <w:pPr>
        <w:spacing w:before="360" w:after="240" w:line="360" w:lineRule="auto"/>
        <w:outlineLvl w:val="2"/>
        <w:rPr>
          <w:rFonts w:ascii="宋体" w:hAnsi="宋体" w:cs="宋体"/>
          <w:b/>
          <w:color w:val="auto"/>
          <w:sz w:val="24"/>
          <w:highlight w:val="none"/>
        </w:rPr>
      </w:pPr>
      <w:bookmarkStart w:id="77" w:name="_Toc332807978"/>
      <w:bookmarkStart w:id="78" w:name="_Toc11973"/>
      <w:bookmarkStart w:id="79" w:name="_Toc21031"/>
      <w:r>
        <w:rPr>
          <w:rFonts w:hint="eastAsia" w:ascii="宋体" w:hAnsi="宋体" w:cs="宋体"/>
          <w:b/>
          <w:color w:val="auto"/>
          <w:sz w:val="24"/>
          <w:highlight w:val="none"/>
        </w:rPr>
        <w:t>10.投标报价</w:t>
      </w:r>
      <w:bookmarkEnd w:id="74"/>
      <w:bookmarkEnd w:id="75"/>
      <w:bookmarkEnd w:id="76"/>
      <w:bookmarkEnd w:id="77"/>
      <w:bookmarkEnd w:id="78"/>
      <w:bookmarkEnd w:id="79"/>
    </w:p>
    <w:p>
      <w:pPr>
        <w:spacing w:before="120" w:line="360" w:lineRule="auto"/>
        <w:ind w:left="1078" w:leftChars="5" w:hanging="1068" w:hangingChars="445"/>
        <w:rPr>
          <w:rFonts w:ascii="宋体" w:hAnsi="宋体" w:cs="宋体"/>
          <w:color w:val="auto"/>
          <w:sz w:val="24"/>
          <w:highlight w:val="none"/>
        </w:rPr>
      </w:pPr>
      <w:r>
        <w:rPr>
          <w:rFonts w:hint="eastAsia" w:ascii="宋体" w:hAnsi="宋体" w:cs="宋体"/>
          <w:color w:val="auto"/>
          <w:sz w:val="24"/>
          <w:highlight w:val="none"/>
        </w:rPr>
        <w:t>10.1</w:t>
      </w:r>
      <w:r>
        <w:rPr>
          <w:rFonts w:hint="eastAsia" w:ascii="宋体" w:hAnsi="宋体" w:cs="宋体"/>
          <w:color w:val="auto"/>
          <w:sz w:val="24"/>
          <w:highlight w:val="none"/>
        </w:rPr>
        <w:tab/>
      </w:r>
      <w:r>
        <w:rPr>
          <w:rFonts w:hint="eastAsia" w:ascii="宋体" w:hAnsi="宋体" w:cs="宋体"/>
          <w:color w:val="auto"/>
          <w:sz w:val="24"/>
          <w:highlight w:val="none"/>
        </w:rPr>
        <w:t>所有投标均以人民币报价。供应商的投标报价应当遵守《中华人民共和国价格法》。同时，根据《中华人民共和国政府采购法》第二条的规定，采购是以合同方式有偿取得服务的行为。为保证公平竞争，如有服务主体部分的赠与行为，按</w:t>
      </w:r>
      <w:r>
        <w:rPr>
          <w:rFonts w:hint="eastAsia" w:ascii="宋体" w:hAnsi="宋体" w:cs="宋体"/>
          <w:color w:val="auto"/>
          <w:sz w:val="24"/>
          <w:highlight w:val="none"/>
          <w:u w:val="thick"/>
        </w:rPr>
        <w:t>无效投标</w:t>
      </w:r>
      <w:r>
        <w:rPr>
          <w:rFonts w:hint="eastAsia" w:ascii="宋体" w:hAnsi="宋体" w:cs="宋体"/>
          <w:color w:val="auto"/>
          <w:sz w:val="24"/>
          <w:highlight w:val="none"/>
        </w:rPr>
        <w:t>处理。</w:t>
      </w:r>
    </w:p>
    <w:p>
      <w:pPr>
        <w:spacing w:before="120" w:line="360" w:lineRule="auto"/>
        <w:ind w:left="1078" w:leftChars="5" w:hanging="1068" w:hangingChars="445"/>
        <w:rPr>
          <w:rFonts w:ascii="宋体" w:hAnsi="宋体" w:cs="宋体"/>
          <w:color w:val="auto"/>
          <w:sz w:val="24"/>
          <w:highlight w:val="none"/>
        </w:rPr>
      </w:pPr>
      <w:r>
        <w:rPr>
          <w:rFonts w:hint="eastAsia" w:ascii="宋体" w:hAnsi="宋体" w:cs="宋体"/>
          <w:color w:val="auto"/>
          <w:sz w:val="24"/>
          <w:highlight w:val="none"/>
        </w:rPr>
        <w:t>10.2     供应商应当在投标分项报价说明表（附件3）上标明投标有关服务的单价（如适用）和总价，并由法定代表人的授权代表人签署。</w:t>
      </w:r>
    </w:p>
    <w:p>
      <w:pPr>
        <w:spacing w:before="120" w:line="360" w:lineRule="auto"/>
        <w:ind w:left="1078" w:leftChars="5" w:hanging="1068" w:hangingChars="445"/>
        <w:rPr>
          <w:rFonts w:ascii="宋体" w:hAnsi="宋体" w:cs="宋体"/>
          <w:color w:val="auto"/>
          <w:sz w:val="24"/>
          <w:highlight w:val="none"/>
        </w:rPr>
      </w:pPr>
      <w:r>
        <w:rPr>
          <w:rFonts w:hint="eastAsia" w:ascii="宋体" w:hAnsi="宋体" w:cs="宋体"/>
          <w:color w:val="auto"/>
          <w:sz w:val="24"/>
          <w:highlight w:val="none"/>
        </w:rPr>
        <w:t>10.3</w:t>
      </w:r>
      <w:r>
        <w:rPr>
          <w:rFonts w:hint="eastAsia" w:ascii="宋体" w:hAnsi="宋体" w:cs="宋体"/>
          <w:color w:val="auto"/>
          <w:sz w:val="24"/>
          <w:highlight w:val="none"/>
        </w:rPr>
        <w:tab/>
      </w:r>
      <w:r>
        <w:rPr>
          <w:rFonts w:hint="eastAsia" w:ascii="宋体" w:hAnsi="宋体" w:cs="宋体"/>
          <w:color w:val="auto"/>
          <w:sz w:val="24"/>
          <w:highlight w:val="none"/>
        </w:rPr>
        <w:t>供应商须根据采购人提出的具体需求，针对每一服务内容，逐一分项报价。</w:t>
      </w:r>
    </w:p>
    <w:p>
      <w:pPr>
        <w:spacing w:before="120" w:line="360" w:lineRule="auto"/>
        <w:ind w:left="1078" w:leftChars="5" w:hanging="1068" w:hangingChars="445"/>
        <w:rPr>
          <w:rFonts w:ascii="宋体" w:hAnsi="宋体" w:cs="宋体"/>
          <w:color w:val="auto"/>
          <w:sz w:val="24"/>
          <w:highlight w:val="none"/>
        </w:rPr>
      </w:pPr>
      <w:r>
        <w:rPr>
          <w:rFonts w:hint="eastAsia" w:ascii="宋体" w:hAnsi="宋体" w:cs="宋体"/>
          <w:color w:val="auto"/>
          <w:sz w:val="24"/>
          <w:highlight w:val="none"/>
        </w:rPr>
        <w:t>10.4</w:t>
      </w:r>
      <w:r>
        <w:rPr>
          <w:rFonts w:hint="eastAsia" w:ascii="宋体" w:hAnsi="宋体" w:cs="宋体"/>
          <w:color w:val="auto"/>
          <w:sz w:val="24"/>
          <w:highlight w:val="none"/>
        </w:rPr>
        <w:tab/>
      </w:r>
      <w:r>
        <w:rPr>
          <w:rFonts w:hint="eastAsia" w:ascii="宋体" w:hAnsi="宋体" w:cs="宋体"/>
          <w:color w:val="auto"/>
          <w:sz w:val="24"/>
          <w:highlight w:val="none"/>
        </w:rPr>
        <w:t>供应商对投标报价若有说明应当在开标一览表中注明，只有开标时唱出的报价和优惠才会在评标时予以考虑。招标采购单位不接受可以选择的投标方案和报价。任何有选择的或者可以调整的投标方案和报价将被视为非响应性投标而导致其</w:t>
      </w:r>
      <w:r>
        <w:rPr>
          <w:rFonts w:hint="eastAsia" w:ascii="宋体" w:hAnsi="宋体" w:cs="宋体"/>
          <w:color w:val="auto"/>
          <w:sz w:val="24"/>
          <w:highlight w:val="none"/>
          <w:u w:val="thick"/>
        </w:rPr>
        <w:t>投标无效</w:t>
      </w:r>
      <w:r>
        <w:rPr>
          <w:rFonts w:hint="eastAsia" w:ascii="宋体" w:hAnsi="宋体" w:cs="宋体"/>
          <w:color w:val="auto"/>
          <w:sz w:val="24"/>
          <w:highlight w:val="none"/>
        </w:rPr>
        <w:t>。</w:t>
      </w:r>
    </w:p>
    <w:p>
      <w:pPr>
        <w:spacing w:before="120" w:line="360" w:lineRule="auto"/>
        <w:ind w:left="1078" w:leftChars="5" w:hanging="1068" w:hangingChars="445"/>
        <w:rPr>
          <w:rFonts w:ascii="宋体" w:hAnsi="宋体" w:cs="宋体"/>
          <w:color w:val="auto"/>
          <w:sz w:val="24"/>
          <w:highlight w:val="none"/>
        </w:rPr>
      </w:pPr>
      <w:r>
        <w:rPr>
          <w:rFonts w:hint="eastAsia" w:ascii="宋体" w:hAnsi="宋体" w:cs="宋体"/>
          <w:color w:val="auto"/>
          <w:sz w:val="24"/>
          <w:highlight w:val="none"/>
        </w:rPr>
        <w:t>10.5</w:t>
      </w:r>
      <w:r>
        <w:rPr>
          <w:rFonts w:hint="eastAsia" w:ascii="宋体" w:hAnsi="宋体" w:cs="宋体"/>
          <w:color w:val="auto"/>
          <w:sz w:val="24"/>
          <w:highlight w:val="none"/>
        </w:rPr>
        <w:tab/>
      </w:r>
      <w:bookmarkStart w:id="80" w:name="_Toc520356156"/>
      <w:bookmarkStart w:id="81" w:name="_Toc109542346"/>
      <w:bookmarkStart w:id="82" w:name="_Ref467306513"/>
      <w:bookmarkStart w:id="83" w:name="_Toc109543166"/>
      <w:r>
        <w:rPr>
          <w:rFonts w:hint="eastAsia" w:ascii="宋体" w:hAnsi="宋体" w:cs="宋体"/>
          <w:color w:val="auto"/>
          <w:sz w:val="24"/>
          <w:highlight w:val="none"/>
        </w:rPr>
        <w:t>供应商要按开标一览表(统一格式)的内容填写，并由法定代表人或者供应商代表签署。</w:t>
      </w:r>
    </w:p>
    <w:p>
      <w:pPr>
        <w:spacing w:before="120" w:line="360" w:lineRule="auto"/>
        <w:ind w:left="1078" w:leftChars="5" w:hanging="1068" w:hangingChars="445"/>
        <w:rPr>
          <w:rFonts w:ascii="宋体" w:hAnsi="宋体" w:cs="宋体"/>
          <w:color w:val="auto"/>
          <w:sz w:val="24"/>
          <w:highlight w:val="none"/>
        </w:rPr>
      </w:pPr>
      <w:r>
        <w:rPr>
          <w:rFonts w:hint="eastAsia" w:ascii="宋体" w:hAnsi="宋体" w:cs="宋体"/>
          <w:color w:val="auto"/>
          <w:sz w:val="24"/>
          <w:highlight w:val="none"/>
        </w:rPr>
        <w:t>10.6     投标最低报价不作为中标的唯一理由。</w:t>
      </w:r>
    </w:p>
    <w:p>
      <w:pPr>
        <w:spacing w:before="360" w:after="240" w:line="360" w:lineRule="auto"/>
        <w:outlineLvl w:val="2"/>
        <w:rPr>
          <w:rFonts w:ascii="宋体" w:hAnsi="宋体" w:cs="宋体"/>
          <w:b/>
          <w:color w:val="auto"/>
          <w:sz w:val="24"/>
          <w:highlight w:val="none"/>
        </w:rPr>
      </w:pPr>
      <w:bookmarkStart w:id="84" w:name="_Toc4742"/>
      <w:bookmarkStart w:id="85" w:name="_Toc5701"/>
      <w:bookmarkStart w:id="86" w:name="_Toc332807979"/>
      <w:r>
        <w:rPr>
          <w:rFonts w:hint="eastAsia" w:ascii="宋体" w:hAnsi="宋体" w:cs="宋体"/>
          <w:b/>
          <w:color w:val="auto"/>
          <w:sz w:val="24"/>
          <w:highlight w:val="none"/>
        </w:rPr>
        <w:t>11.投标保证金</w:t>
      </w:r>
      <w:bookmarkEnd w:id="80"/>
      <w:bookmarkEnd w:id="81"/>
      <w:bookmarkEnd w:id="82"/>
      <w:bookmarkEnd w:id="83"/>
      <w:bookmarkEnd w:id="84"/>
      <w:bookmarkEnd w:id="85"/>
      <w:bookmarkEnd w:id="86"/>
    </w:p>
    <w:p>
      <w:pPr>
        <w:spacing w:before="120" w:line="360" w:lineRule="auto"/>
        <w:ind w:left="1080" w:hanging="1080"/>
        <w:rPr>
          <w:rFonts w:ascii="宋体" w:hAnsi="宋体" w:cs="宋体"/>
          <w:color w:val="auto"/>
          <w:sz w:val="24"/>
          <w:highlight w:val="none"/>
        </w:rPr>
      </w:pPr>
      <w:bookmarkStart w:id="87" w:name="_Ref467306302"/>
      <w:r>
        <w:rPr>
          <w:rFonts w:hint="eastAsia" w:ascii="宋体" w:hAnsi="宋体" w:cs="宋体"/>
          <w:color w:val="auto"/>
          <w:sz w:val="24"/>
          <w:highlight w:val="none"/>
        </w:rPr>
        <w:t>11.1</w:t>
      </w:r>
      <w:r>
        <w:rPr>
          <w:rFonts w:hint="eastAsia" w:ascii="宋体" w:hAnsi="宋体" w:cs="宋体"/>
          <w:color w:val="auto"/>
          <w:sz w:val="24"/>
          <w:highlight w:val="none"/>
        </w:rPr>
        <w:tab/>
      </w:r>
      <w:r>
        <w:rPr>
          <w:rFonts w:hint="eastAsia" w:ascii="宋体" w:hAnsi="宋体" w:cs="宋体"/>
          <w:color w:val="auto"/>
          <w:sz w:val="24"/>
          <w:highlight w:val="none"/>
        </w:rPr>
        <w:t>供应商应当提供《供应商须知资料表》中规定的投标保证金</w:t>
      </w:r>
      <w:bookmarkEnd w:id="87"/>
      <w:r>
        <w:rPr>
          <w:rFonts w:hint="eastAsia" w:ascii="宋体" w:hAnsi="宋体" w:cs="宋体"/>
          <w:color w:val="auto"/>
          <w:sz w:val="24"/>
          <w:highlight w:val="none"/>
        </w:rPr>
        <w:t>，并作为其投标的一部分。投标保证金应当与投标文件一并提交，最迟不得晚于投标截止时间。</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11.2</w:t>
      </w:r>
      <w:r>
        <w:rPr>
          <w:rFonts w:hint="eastAsia" w:ascii="宋体" w:hAnsi="宋体" w:cs="宋体"/>
          <w:color w:val="auto"/>
          <w:sz w:val="24"/>
          <w:highlight w:val="none"/>
        </w:rPr>
        <w:tab/>
      </w:r>
      <w:r>
        <w:rPr>
          <w:rFonts w:hint="eastAsia" w:ascii="宋体" w:hAnsi="宋体" w:cs="宋体"/>
          <w:color w:val="auto"/>
          <w:sz w:val="24"/>
          <w:highlight w:val="none"/>
        </w:rPr>
        <w:t>投标保证金是为了保护招标采购单位免遭因供应商的行为蒙受损失而要求的。发生下列情形，投标保证金将不予退还：</w:t>
      </w:r>
    </w:p>
    <w:p>
      <w:pPr>
        <w:spacing w:before="120" w:line="360" w:lineRule="auto"/>
        <w:ind w:left="1078" w:leftChars="456" w:hanging="120" w:hangingChars="50"/>
        <w:rPr>
          <w:rFonts w:ascii="宋体" w:hAnsi="宋体" w:cs="宋体"/>
          <w:color w:val="auto"/>
          <w:sz w:val="24"/>
          <w:highlight w:val="none"/>
        </w:rPr>
      </w:pPr>
      <w:r>
        <w:rPr>
          <w:rFonts w:hint="eastAsia" w:ascii="宋体" w:hAnsi="宋体" w:cs="宋体"/>
          <w:color w:val="auto"/>
          <w:sz w:val="24"/>
          <w:highlight w:val="none"/>
        </w:rPr>
        <w:t>（1）在开标之日后到投标有效期满前，供应商擅自撤销投标的；</w:t>
      </w:r>
    </w:p>
    <w:p>
      <w:pPr>
        <w:spacing w:before="120" w:line="360" w:lineRule="auto"/>
        <w:ind w:left="1078" w:leftChars="456" w:hanging="120" w:hangingChars="50"/>
        <w:rPr>
          <w:rFonts w:ascii="宋体" w:hAnsi="宋体" w:cs="宋体"/>
          <w:color w:val="auto"/>
          <w:sz w:val="24"/>
          <w:highlight w:val="none"/>
        </w:rPr>
      </w:pPr>
      <w:r>
        <w:rPr>
          <w:rFonts w:hint="eastAsia" w:ascii="宋体" w:hAnsi="宋体" w:cs="宋体"/>
          <w:color w:val="auto"/>
          <w:sz w:val="24"/>
          <w:highlight w:val="none"/>
        </w:rPr>
        <w:t>（2）中标供应商不按本须知第27条的规定与采购人签订合同的；</w:t>
      </w:r>
    </w:p>
    <w:p>
      <w:pPr>
        <w:spacing w:before="120" w:line="360" w:lineRule="auto"/>
        <w:ind w:left="1078" w:leftChars="456" w:hanging="120" w:hangingChars="50"/>
        <w:rPr>
          <w:rFonts w:ascii="宋体" w:hAnsi="宋体" w:cs="宋体"/>
          <w:color w:val="auto"/>
          <w:sz w:val="24"/>
          <w:highlight w:val="none"/>
        </w:rPr>
      </w:pPr>
      <w:r>
        <w:rPr>
          <w:rFonts w:hint="eastAsia" w:ascii="宋体" w:hAnsi="宋体" w:cs="宋体"/>
          <w:color w:val="auto"/>
          <w:sz w:val="24"/>
          <w:highlight w:val="none"/>
        </w:rPr>
        <w:t>（3）中标供应商不按本须知第28条的规定提交履约保证金的；</w:t>
      </w:r>
    </w:p>
    <w:p>
      <w:pPr>
        <w:spacing w:before="120" w:line="360" w:lineRule="auto"/>
        <w:ind w:left="1078" w:leftChars="456" w:hanging="120" w:hangingChars="50"/>
        <w:rPr>
          <w:rFonts w:ascii="宋体" w:hAnsi="宋体" w:cs="宋体"/>
          <w:color w:val="auto"/>
          <w:sz w:val="24"/>
          <w:highlight w:val="none"/>
        </w:rPr>
      </w:pPr>
      <w:bookmarkStart w:id="88" w:name="_Ref467306336"/>
      <w:r>
        <w:rPr>
          <w:rFonts w:hint="eastAsia" w:ascii="宋体" w:hAnsi="宋体" w:cs="宋体"/>
          <w:color w:val="auto"/>
          <w:sz w:val="24"/>
          <w:highlight w:val="none"/>
        </w:rPr>
        <w:t>（4）中标供应商擅自放弃中标的。</w:t>
      </w:r>
    </w:p>
    <w:bookmarkEnd w:id="88"/>
    <w:p>
      <w:pPr>
        <w:spacing w:before="120" w:line="360" w:lineRule="auto"/>
        <w:ind w:left="1080" w:hanging="1080"/>
        <w:rPr>
          <w:rFonts w:ascii="宋体" w:hAnsi="宋体" w:cs="宋体"/>
          <w:color w:val="auto"/>
          <w:sz w:val="24"/>
          <w:highlight w:val="none"/>
        </w:rPr>
      </w:pPr>
      <w:bookmarkStart w:id="89" w:name="_Toc109543167"/>
      <w:bookmarkStart w:id="90" w:name="_Toc520356157"/>
      <w:bookmarkStart w:id="91" w:name="_Toc31687"/>
      <w:bookmarkStart w:id="92" w:name="_Toc21879"/>
      <w:bookmarkStart w:id="93" w:name="_Toc332807980"/>
      <w:bookmarkStart w:id="94" w:name="_Toc109542347"/>
      <w:r>
        <w:rPr>
          <w:rFonts w:hint="eastAsia" w:ascii="宋体" w:hAnsi="宋体" w:cs="宋体"/>
          <w:color w:val="auto"/>
          <w:sz w:val="24"/>
          <w:highlight w:val="none"/>
        </w:rPr>
        <w:t>11.3     投标保证金可以采用下列形式之一：</w:t>
      </w:r>
    </w:p>
    <w:p>
      <w:pPr>
        <w:spacing w:before="120" w:line="360" w:lineRule="auto"/>
        <w:ind w:firstLine="960" w:firstLineChars="400"/>
        <w:rPr>
          <w:rFonts w:hint="eastAsia" w:ascii="宋体" w:hAnsi="宋体" w:eastAsia="宋体" w:cs="宋体"/>
          <w:color w:val="auto"/>
          <w:sz w:val="24"/>
          <w:highlight w:val="none"/>
          <w:lang w:val="en-US" w:eastAsia="zh-CN"/>
        </w:rPr>
      </w:pPr>
      <w:r>
        <w:rPr>
          <w:rFonts w:hint="eastAsia" w:ascii="宋体" w:hAnsi="宋体" w:cs="宋体"/>
          <w:color w:val="auto"/>
          <w:sz w:val="24"/>
          <w:highlight w:val="none"/>
        </w:rPr>
        <w:t xml:space="preserve">（1）汇款 </w:t>
      </w:r>
      <w:r>
        <w:rPr>
          <w:rFonts w:hint="eastAsia" w:ascii="宋体" w:hAnsi="宋体" w:cs="宋体"/>
          <w:color w:val="auto"/>
          <w:sz w:val="24"/>
          <w:highlight w:val="none"/>
          <w:lang w:eastAsia="zh-CN"/>
        </w:rPr>
        <w:t>（</w:t>
      </w:r>
      <w:r>
        <w:rPr>
          <w:rFonts w:hint="eastAsia" w:ascii="宋体" w:hAnsi="宋体" w:cs="宋体"/>
          <w:color w:val="auto"/>
          <w:sz w:val="24"/>
          <w:highlight w:val="none"/>
          <w:lang w:val="en-US" w:eastAsia="zh-CN"/>
        </w:rPr>
        <w:t>2</w:t>
      </w:r>
      <w:r>
        <w:rPr>
          <w:rFonts w:hint="eastAsia" w:ascii="宋体" w:hAnsi="宋体" w:cs="宋体"/>
          <w:color w:val="auto"/>
          <w:sz w:val="24"/>
          <w:highlight w:val="none"/>
          <w:lang w:eastAsia="zh-CN"/>
        </w:rPr>
        <w:t>）</w:t>
      </w:r>
      <w:r>
        <w:rPr>
          <w:rFonts w:hint="eastAsia" w:ascii="宋体" w:hAnsi="宋体" w:cs="宋体"/>
          <w:color w:val="auto"/>
          <w:sz w:val="24"/>
          <w:highlight w:val="none"/>
          <w:lang w:val="en-US" w:eastAsia="zh-CN"/>
        </w:rPr>
        <w:t>保函</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 xml:space="preserve">11.4     </w:t>
      </w:r>
      <w:r>
        <w:rPr>
          <w:rFonts w:hint="eastAsia" w:ascii="宋体" w:hAnsi="宋体" w:eastAsia="宋体" w:cs="宋体"/>
          <w:color w:val="auto"/>
          <w:sz w:val="24"/>
          <w:highlight w:val="none"/>
          <w:lang w:val="en-US" w:eastAsia="zh-CN"/>
        </w:rPr>
        <w:t>供应商的投标保证金为</w:t>
      </w:r>
      <w:r>
        <w:rPr>
          <w:rFonts w:hint="eastAsia" w:ascii="宋体" w:hAnsi="宋体" w:cs="宋体"/>
          <w:color w:val="auto"/>
          <w:sz w:val="24"/>
          <w:highlight w:val="none"/>
          <w:lang w:val="en-US" w:eastAsia="zh-CN"/>
        </w:rPr>
        <w:t>保函形式的，</w:t>
      </w:r>
      <w:r>
        <w:rPr>
          <w:rFonts w:hint="eastAsia" w:ascii="宋体" w:hAnsi="宋体" w:eastAsia="宋体" w:cs="宋体"/>
          <w:color w:val="auto"/>
          <w:sz w:val="24"/>
          <w:highlight w:val="none"/>
          <w:lang w:val="en-US" w:eastAsia="zh-CN"/>
        </w:rPr>
        <w:t>须在提交投标文件的同时提交；</w:t>
      </w:r>
      <w:r>
        <w:rPr>
          <w:rFonts w:hint="eastAsia" w:ascii="宋体" w:hAnsi="宋体" w:cs="宋体"/>
          <w:color w:val="auto"/>
          <w:sz w:val="24"/>
          <w:highlight w:val="none"/>
          <w:lang w:val="en-US" w:eastAsia="zh-CN"/>
        </w:rPr>
        <w:t>保证金为汇款形式的，</w:t>
      </w:r>
      <w:r>
        <w:rPr>
          <w:rFonts w:hint="eastAsia" w:ascii="宋体" w:hAnsi="宋体" w:cs="宋体"/>
          <w:color w:val="auto"/>
          <w:sz w:val="24"/>
          <w:highlight w:val="none"/>
        </w:rPr>
        <w:t>须在投标截止时间前汇到采购代理机构指定的帐户。</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11.5</w:t>
      </w:r>
      <w:r>
        <w:rPr>
          <w:rFonts w:hint="eastAsia" w:ascii="宋体" w:hAnsi="宋体" w:cs="宋体"/>
          <w:color w:val="auto"/>
          <w:sz w:val="24"/>
          <w:highlight w:val="none"/>
        </w:rPr>
        <w:tab/>
      </w:r>
      <w:r>
        <w:rPr>
          <w:rFonts w:hint="eastAsia" w:ascii="宋体" w:hAnsi="宋体" w:cs="宋体"/>
          <w:color w:val="auto"/>
          <w:sz w:val="24"/>
          <w:highlight w:val="none"/>
        </w:rPr>
        <w:t>凡是没有交纳投标保证金的，招标采购单位将拒绝接收供应商的投标文件。交纳的投标保证金不符合本须知第11.1款、第11.3款的规定的，按照本须知第20.4款处理。</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11.6     联合体投标的，可以由联合体中的一方或者共同提交投标保证金。以一方名义提交投标保证金的，对联合体各方均具有约束力。</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11.7</w:t>
      </w:r>
      <w:r>
        <w:rPr>
          <w:rFonts w:hint="eastAsia" w:ascii="宋体" w:hAnsi="宋体" w:cs="宋体"/>
          <w:color w:val="auto"/>
          <w:sz w:val="24"/>
          <w:highlight w:val="none"/>
        </w:rPr>
        <w:tab/>
      </w:r>
      <w:r>
        <w:rPr>
          <w:rFonts w:hint="eastAsia" w:ascii="宋体" w:hAnsi="宋体" w:cs="宋体"/>
          <w:color w:val="auto"/>
          <w:sz w:val="24"/>
          <w:highlight w:val="none"/>
        </w:rPr>
        <w:t>中标供应商的投标保证金，在中标供应商与采购人签订合同后5个工作日内办理退还手续或者转为中标供应商的履约保证金。未中标供应商的投标保证金，在中标通知书发出后5个工作日内办理退还手续。</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11.8     招标采购单位逾期退还投标保证金的，除应当退还投标保证金本金外，还应当按中国人民银行同期贷款基准利率上浮20%后的利率支付资金占用费。</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11.9    招标采购单位办理投标保证金退还手续时，统一以电汇形式退还。</w:t>
      </w:r>
    </w:p>
    <w:p>
      <w:pPr>
        <w:spacing w:before="360" w:after="240" w:line="360" w:lineRule="auto"/>
        <w:outlineLvl w:val="2"/>
        <w:rPr>
          <w:rFonts w:ascii="宋体" w:hAnsi="宋体" w:cs="宋体"/>
          <w:b/>
          <w:color w:val="auto"/>
          <w:sz w:val="24"/>
          <w:highlight w:val="none"/>
        </w:rPr>
      </w:pPr>
      <w:r>
        <w:rPr>
          <w:rFonts w:hint="eastAsia" w:ascii="宋体" w:hAnsi="宋体" w:cs="宋体"/>
          <w:b/>
          <w:color w:val="auto"/>
          <w:sz w:val="24"/>
          <w:highlight w:val="none"/>
        </w:rPr>
        <w:t>12.投标有效期</w:t>
      </w:r>
      <w:bookmarkEnd w:id="89"/>
      <w:bookmarkEnd w:id="90"/>
      <w:bookmarkEnd w:id="91"/>
      <w:bookmarkEnd w:id="92"/>
      <w:bookmarkEnd w:id="93"/>
      <w:bookmarkEnd w:id="94"/>
    </w:p>
    <w:p>
      <w:pPr>
        <w:spacing w:before="120" w:line="360" w:lineRule="auto"/>
        <w:ind w:left="1078" w:leftChars="-19" w:hanging="1118" w:hangingChars="466"/>
        <w:rPr>
          <w:rFonts w:ascii="宋体" w:hAnsi="宋体" w:cs="宋体"/>
          <w:color w:val="auto"/>
          <w:sz w:val="24"/>
          <w:highlight w:val="none"/>
        </w:rPr>
      </w:pPr>
      <w:r>
        <w:rPr>
          <w:rFonts w:hint="eastAsia" w:ascii="宋体" w:hAnsi="宋体" w:cs="宋体"/>
          <w:color w:val="auto"/>
          <w:sz w:val="24"/>
          <w:highlight w:val="none"/>
        </w:rPr>
        <w:t>12.1</w:t>
      </w:r>
      <w:r>
        <w:rPr>
          <w:rFonts w:hint="eastAsia" w:ascii="宋体" w:hAnsi="宋体" w:cs="宋体"/>
          <w:color w:val="auto"/>
          <w:sz w:val="24"/>
          <w:highlight w:val="none"/>
        </w:rPr>
        <w:tab/>
      </w:r>
      <w:r>
        <w:rPr>
          <w:rFonts w:hint="eastAsia" w:ascii="宋体" w:hAnsi="宋体" w:cs="宋体"/>
          <w:color w:val="auto"/>
          <w:sz w:val="24"/>
          <w:highlight w:val="none"/>
        </w:rPr>
        <w:t>本项目投标文件的有效期详见《供应商须知资料表》。有效期短于该规定期限的投标属于</w:t>
      </w:r>
      <w:r>
        <w:rPr>
          <w:rFonts w:hint="eastAsia" w:ascii="宋体" w:hAnsi="宋体" w:cs="宋体"/>
          <w:color w:val="auto"/>
          <w:sz w:val="24"/>
          <w:highlight w:val="none"/>
          <w:u w:val="thick"/>
        </w:rPr>
        <w:t>无效投标</w:t>
      </w:r>
      <w:r>
        <w:rPr>
          <w:rFonts w:hint="eastAsia" w:ascii="宋体" w:hAnsi="宋体" w:cs="宋体"/>
          <w:color w:val="auto"/>
          <w:sz w:val="24"/>
          <w:highlight w:val="none"/>
        </w:rPr>
        <w:t>情形。</w:t>
      </w:r>
    </w:p>
    <w:p>
      <w:pPr>
        <w:spacing w:before="120" w:line="360" w:lineRule="auto"/>
        <w:ind w:left="1078" w:leftChars="-19" w:hanging="1118" w:hangingChars="466"/>
        <w:rPr>
          <w:rFonts w:ascii="宋体" w:hAnsi="宋体" w:cs="宋体"/>
          <w:color w:val="auto"/>
          <w:sz w:val="24"/>
          <w:highlight w:val="none"/>
        </w:rPr>
      </w:pPr>
      <w:r>
        <w:rPr>
          <w:rFonts w:hint="eastAsia" w:ascii="宋体" w:hAnsi="宋体" w:cs="宋体"/>
          <w:color w:val="auto"/>
          <w:sz w:val="24"/>
          <w:highlight w:val="none"/>
        </w:rPr>
        <w:t>12.2</w:t>
      </w:r>
      <w:r>
        <w:rPr>
          <w:rFonts w:hint="eastAsia" w:ascii="宋体" w:hAnsi="宋体" w:cs="宋体"/>
          <w:color w:val="auto"/>
          <w:sz w:val="24"/>
          <w:highlight w:val="none"/>
        </w:rPr>
        <w:tab/>
      </w:r>
      <w:r>
        <w:rPr>
          <w:rFonts w:hint="eastAsia" w:ascii="宋体" w:hAnsi="宋体" w:cs="宋体"/>
          <w:color w:val="auto"/>
          <w:sz w:val="24"/>
          <w:highlight w:val="none"/>
        </w:rPr>
        <w:t>招标采购单位可以根据实际情况，在原投标有效期截止之前，要求供应商同意延长投标文件的有效期。接受该要求的供应商将不会被要求和允许修正其投标文件，且本须知中有关投标保证金的要求将在延长了的有效期内继续有效。供应商也可以拒绝招标采购单位的这种要求，其投标文件将被视为撤销，但其投标保证金将不会被没收。上述要求和答复都应当以书面形式提交。</w:t>
      </w:r>
      <w:bookmarkStart w:id="95" w:name="_Toc520356158"/>
      <w:bookmarkStart w:id="96" w:name="_Toc109543168"/>
      <w:bookmarkStart w:id="97" w:name="_Toc109542348"/>
    </w:p>
    <w:p>
      <w:pPr>
        <w:spacing w:before="360" w:after="240" w:line="360" w:lineRule="auto"/>
        <w:outlineLvl w:val="2"/>
        <w:rPr>
          <w:rFonts w:ascii="宋体" w:hAnsi="宋体" w:cs="宋体"/>
          <w:b/>
          <w:color w:val="auto"/>
          <w:sz w:val="24"/>
          <w:highlight w:val="none"/>
        </w:rPr>
      </w:pPr>
      <w:bookmarkStart w:id="98" w:name="_Toc573"/>
      <w:bookmarkStart w:id="99" w:name="_Toc332807981"/>
      <w:bookmarkStart w:id="100" w:name="_Toc2272"/>
      <w:r>
        <w:rPr>
          <w:rFonts w:hint="eastAsia" w:ascii="宋体" w:hAnsi="宋体" w:cs="宋体"/>
          <w:b/>
          <w:color w:val="auto"/>
          <w:sz w:val="24"/>
          <w:highlight w:val="none"/>
        </w:rPr>
        <w:t>13.投标文件的签署</w:t>
      </w:r>
      <w:bookmarkEnd w:id="95"/>
      <w:r>
        <w:rPr>
          <w:rFonts w:hint="eastAsia" w:ascii="宋体" w:hAnsi="宋体" w:cs="宋体"/>
          <w:b/>
          <w:color w:val="auto"/>
          <w:sz w:val="24"/>
          <w:highlight w:val="none"/>
        </w:rPr>
        <w:t>及规定</w:t>
      </w:r>
      <w:bookmarkEnd w:id="96"/>
      <w:bookmarkEnd w:id="97"/>
      <w:bookmarkEnd w:id="98"/>
      <w:bookmarkEnd w:id="99"/>
      <w:bookmarkEnd w:id="100"/>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13.1</w:t>
      </w:r>
      <w:r>
        <w:rPr>
          <w:rFonts w:hint="eastAsia" w:ascii="宋体" w:hAnsi="宋体" w:cs="宋体"/>
          <w:color w:val="auto"/>
          <w:sz w:val="24"/>
          <w:highlight w:val="none"/>
        </w:rPr>
        <w:tab/>
      </w:r>
      <w:r>
        <w:rPr>
          <w:rFonts w:hint="eastAsia" w:ascii="宋体" w:hAnsi="宋体" w:cs="宋体"/>
          <w:color w:val="auto"/>
          <w:sz w:val="24"/>
          <w:highlight w:val="none"/>
        </w:rPr>
        <w:t>供应商应当准备投标文件正本</w:t>
      </w:r>
      <w:r>
        <w:rPr>
          <w:rFonts w:hint="eastAsia" w:ascii="宋体" w:hAnsi="宋体" w:cs="宋体"/>
          <w:color w:val="auto"/>
          <w:sz w:val="24"/>
          <w:highlight w:val="none"/>
          <w:u w:val="single"/>
        </w:rPr>
        <w:t>　　份</w:t>
      </w:r>
      <w:r>
        <w:rPr>
          <w:rFonts w:hint="eastAsia" w:ascii="宋体" w:hAnsi="宋体" w:cs="宋体"/>
          <w:color w:val="auto"/>
          <w:sz w:val="24"/>
          <w:highlight w:val="none"/>
        </w:rPr>
        <w:t>、副本</w:t>
      </w:r>
      <w:r>
        <w:rPr>
          <w:rFonts w:hint="eastAsia" w:ascii="宋体" w:hAnsi="宋体" w:cs="宋体"/>
          <w:color w:val="auto"/>
          <w:sz w:val="24"/>
          <w:highlight w:val="none"/>
          <w:u w:val="single"/>
        </w:rPr>
        <w:t xml:space="preserve">    份</w:t>
      </w:r>
      <w:r>
        <w:rPr>
          <w:rFonts w:hint="eastAsia" w:ascii="宋体" w:hAnsi="宋体" w:cs="宋体"/>
          <w:color w:val="auto"/>
          <w:sz w:val="24"/>
          <w:highlight w:val="none"/>
        </w:rPr>
        <w:t>和电子版份（见《供应商须知资料表》中规定），每份投标文件须清楚地标明“正本”“副本”或“电子版”。若正本和副本或电子版不符，以正本为准。</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13.2</w:t>
      </w:r>
      <w:r>
        <w:rPr>
          <w:rFonts w:hint="eastAsia" w:ascii="宋体" w:hAnsi="宋体" w:cs="宋体"/>
          <w:color w:val="auto"/>
          <w:sz w:val="24"/>
          <w:highlight w:val="none"/>
        </w:rPr>
        <w:tab/>
      </w:r>
      <w:r>
        <w:rPr>
          <w:rFonts w:hint="eastAsia" w:ascii="宋体" w:hAnsi="宋体" w:cs="宋体"/>
          <w:color w:val="auto"/>
          <w:sz w:val="24"/>
          <w:highlight w:val="none"/>
        </w:rPr>
        <w:t>投标文件的正本需打印或者用不褪色墨水书写，并由供应商的法定代表人授权的代表在投标文件上签字并加盖单位印章。授权代表须持有书面的“法定代表人委托授权书”（标准格式附后），并将其附在投标文件中。如对投标文件进行了修改，则应当由供应商的法定代表人授权代表在修改的每一页上签字。投标文件的副本可以采用正本的复印件。</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13.3</w:t>
      </w:r>
      <w:r>
        <w:rPr>
          <w:rFonts w:hint="eastAsia" w:ascii="宋体" w:hAnsi="宋体" w:cs="宋体"/>
          <w:color w:val="auto"/>
          <w:sz w:val="24"/>
          <w:highlight w:val="none"/>
        </w:rPr>
        <w:tab/>
      </w:r>
      <w:r>
        <w:rPr>
          <w:rFonts w:hint="eastAsia" w:ascii="宋体" w:hAnsi="宋体" w:cs="宋体"/>
          <w:color w:val="auto"/>
          <w:sz w:val="24"/>
          <w:highlight w:val="none"/>
        </w:rPr>
        <w:t>任何行间插字、涂改和增删，必须由投标文件法定代表人授权的代表签字或者加盖公章后才有效。</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13.4</w:t>
      </w:r>
      <w:r>
        <w:rPr>
          <w:rFonts w:hint="eastAsia" w:ascii="宋体" w:hAnsi="宋体" w:cs="宋体"/>
          <w:color w:val="auto"/>
          <w:sz w:val="24"/>
          <w:highlight w:val="none"/>
        </w:rPr>
        <w:tab/>
      </w:r>
      <w:r>
        <w:rPr>
          <w:rFonts w:hint="eastAsia" w:ascii="宋体" w:hAnsi="宋体" w:cs="宋体"/>
          <w:color w:val="auto"/>
          <w:sz w:val="24"/>
          <w:highlight w:val="none"/>
        </w:rPr>
        <w:t>投标文件因字迹潦草或者表达不清所引起的后果由供应商负责。</w:t>
      </w:r>
    </w:p>
    <w:p>
      <w:pPr>
        <w:spacing w:before="120" w:line="360" w:lineRule="auto"/>
        <w:jc w:val="center"/>
        <w:outlineLvl w:val="1"/>
        <w:rPr>
          <w:rFonts w:ascii="宋体" w:hAnsi="宋体" w:cs="宋体"/>
          <w:b/>
          <w:color w:val="auto"/>
          <w:kern w:val="0"/>
          <w:sz w:val="24"/>
          <w:highlight w:val="none"/>
        </w:rPr>
      </w:pPr>
      <w:bookmarkStart w:id="101" w:name="_Toc520356159"/>
      <w:bookmarkStart w:id="102" w:name="_Toc109542349"/>
      <w:bookmarkStart w:id="103" w:name="_Toc6799"/>
      <w:bookmarkStart w:id="104" w:name="_Toc109543169"/>
      <w:bookmarkStart w:id="105" w:name="_Toc332807982"/>
      <w:bookmarkStart w:id="106" w:name="_Toc28455"/>
      <w:r>
        <w:rPr>
          <w:rFonts w:hint="eastAsia" w:ascii="宋体" w:hAnsi="宋体" w:cs="宋体"/>
          <w:b/>
          <w:color w:val="auto"/>
          <w:sz w:val="28"/>
          <w:szCs w:val="28"/>
          <w:highlight w:val="none"/>
        </w:rPr>
        <w:t>四 投标文件的递交</w:t>
      </w:r>
      <w:bookmarkEnd w:id="101"/>
      <w:bookmarkEnd w:id="102"/>
      <w:bookmarkEnd w:id="103"/>
      <w:bookmarkEnd w:id="104"/>
      <w:bookmarkEnd w:id="105"/>
      <w:bookmarkEnd w:id="106"/>
      <w:bookmarkStart w:id="107" w:name="_Toc520356160"/>
      <w:bookmarkStart w:id="108" w:name="_Toc109542350"/>
      <w:bookmarkStart w:id="109" w:name="_Toc109543170"/>
    </w:p>
    <w:p>
      <w:pPr>
        <w:spacing w:before="360" w:after="240" w:line="360" w:lineRule="auto"/>
        <w:outlineLvl w:val="2"/>
        <w:rPr>
          <w:rFonts w:ascii="宋体" w:hAnsi="宋体" w:cs="宋体"/>
          <w:b/>
          <w:color w:val="auto"/>
          <w:sz w:val="24"/>
          <w:highlight w:val="none"/>
        </w:rPr>
      </w:pPr>
      <w:bookmarkStart w:id="110" w:name="_Toc73"/>
      <w:bookmarkStart w:id="111" w:name="_Toc14170"/>
      <w:bookmarkStart w:id="112" w:name="_Toc332807983"/>
      <w:r>
        <w:rPr>
          <w:rFonts w:hint="eastAsia" w:ascii="宋体" w:hAnsi="宋体" w:cs="宋体"/>
          <w:b/>
          <w:color w:val="auto"/>
          <w:sz w:val="24"/>
          <w:highlight w:val="none"/>
        </w:rPr>
        <w:t>14.投标文件的密封和标记</w:t>
      </w:r>
      <w:bookmarkEnd w:id="107"/>
      <w:bookmarkEnd w:id="108"/>
      <w:bookmarkEnd w:id="109"/>
      <w:bookmarkEnd w:id="110"/>
      <w:bookmarkEnd w:id="111"/>
      <w:bookmarkEnd w:id="112"/>
    </w:p>
    <w:p>
      <w:pPr>
        <w:spacing w:before="120" w:line="360" w:lineRule="auto"/>
        <w:ind w:left="1044" w:hanging="1044" w:hangingChars="435"/>
        <w:rPr>
          <w:rFonts w:ascii="宋体" w:hAnsi="宋体" w:cs="宋体"/>
          <w:color w:val="auto"/>
          <w:sz w:val="24"/>
          <w:highlight w:val="none"/>
        </w:rPr>
      </w:pPr>
      <w:r>
        <w:rPr>
          <w:rFonts w:hint="eastAsia" w:ascii="宋体" w:hAnsi="宋体" w:cs="宋体"/>
          <w:color w:val="auto"/>
          <w:sz w:val="24"/>
          <w:highlight w:val="none"/>
        </w:rPr>
        <w:t>14.1     投标文件必须密封递交。对封装材料及样式不作特别规定，但供应商应当保证其封装的可靠性，不致因搬运、堆放等原因散开。投标时，供应商应当将投标文件正本以密封袋/箱单独密封，所有的副本以密封袋/箱单独密封，或者正、副本密封袋/箱放入一个密封包装箱里。密封袋/箱正面和投标文件封面须标明“正本”“副本”字样。</w:t>
      </w:r>
    </w:p>
    <w:p>
      <w:pPr>
        <w:spacing w:before="120" w:line="360" w:lineRule="auto"/>
        <w:ind w:left="1044" w:hanging="1044" w:hangingChars="435"/>
        <w:rPr>
          <w:rFonts w:ascii="宋体" w:hAnsi="宋体" w:cs="宋体"/>
          <w:color w:val="auto"/>
          <w:sz w:val="24"/>
          <w:highlight w:val="none"/>
        </w:rPr>
      </w:pPr>
      <w:r>
        <w:rPr>
          <w:rFonts w:hint="eastAsia" w:ascii="宋体" w:hAnsi="宋体" w:cs="宋体"/>
          <w:color w:val="auto"/>
          <w:sz w:val="24"/>
          <w:highlight w:val="none"/>
        </w:rPr>
        <w:t xml:space="preserve">14.2    </w:t>
      </w:r>
      <w:r>
        <w:rPr>
          <w:rFonts w:hint="eastAsia" w:ascii="宋体" w:hAnsi="宋体" w:cs="宋体"/>
          <w:b/>
          <w:bCs/>
          <w:color w:val="auto"/>
          <w:sz w:val="24"/>
          <w:highlight w:val="none"/>
        </w:rPr>
        <w:t>为方便开标唱标，供应商应将 “开标一览表”单独密封，并在包装袋/箱上标明“开标一览表”字样，在投标时单独递交。</w:t>
      </w:r>
      <w:r>
        <w:rPr>
          <w:rFonts w:hint="eastAsia" w:ascii="宋体" w:hAnsi="宋体" w:cs="宋体"/>
          <w:color w:val="auto"/>
          <w:sz w:val="24"/>
          <w:highlight w:val="none"/>
        </w:rPr>
        <w:t>“开标一览表”中报价与投标文件正本报价相一致，若不一致，则以“开标一览表”价格为准。</w:t>
      </w:r>
    </w:p>
    <w:p>
      <w:pPr>
        <w:spacing w:before="120" w:line="360" w:lineRule="auto"/>
        <w:ind w:left="1044" w:hanging="1044" w:hangingChars="435"/>
        <w:rPr>
          <w:rFonts w:ascii="宋体" w:hAnsi="宋体" w:cs="宋体"/>
          <w:color w:val="auto"/>
          <w:sz w:val="24"/>
          <w:highlight w:val="none"/>
        </w:rPr>
      </w:pPr>
      <w:r>
        <w:rPr>
          <w:rFonts w:hint="eastAsia" w:ascii="宋体" w:hAnsi="宋体" w:cs="宋体"/>
          <w:color w:val="auto"/>
          <w:sz w:val="24"/>
          <w:highlight w:val="none"/>
        </w:rPr>
        <w:t xml:space="preserve">14.3     </w:t>
      </w:r>
      <w:r>
        <w:rPr>
          <w:rFonts w:hint="eastAsia" w:ascii="宋体" w:hAnsi="宋体" w:cs="宋体"/>
          <w:b/>
          <w:bCs/>
          <w:color w:val="auto"/>
          <w:sz w:val="24"/>
          <w:highlight w:val="none"/>
        </w:rPr>
        <w:t>为方便核查投标保证金，供应商应当将“投标保证金”单独密封，并在包装袋/箱上标明 “投标保证金”字样，在投标时单独递交。</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14.4     在第14.1款、第 14.2款、第 14.3款规定的及其他有关包装袋/箱上均应当：</w:t>
      </w:r>
    </w:p>
    <w:p>
      <w:pPr>
        <w:spacing w:before="120" w:line="360" w:lineRule="auto"/>
        <w:ind w:left="1044" w:hanging="1044" w:hangingChars="435"/>
        <w:rPr>
          <w:rFonts w:ascii="宋体" w:hAnsi="宋体" w:cs="宋体"/>
          <w:color w:val="auto"/>
          <w:sz w:val="24"/>
          <w:highlight w:val="none"/>
        </w:rPr>
      </w:pPr>
      <w:r>
        <w:rPr>
          <w:rFonts w:hint="eastAsia" w:ascii="宋体" w:hAnsi="宋体" w:cs="宋体"/>
          <w:color w:val="auto"/>
          <w:sz w:val="24"/>
          <w:highlight w:val="none"/>
        </w:rPr>
        <w:t>14.4.1   清楚标明递交至招标公告或者投标邀请书中指明的地址。</w:t>
      </w:r>
    </w:p>
    <w:p>
      <w:pPr>
        <w:spacing w:before="120" w:line="360" w:lineRule="auto"/>
        <w:ind w:left="1044" w:hanging="1044" w:hangingChars="435"/>
        <w:rPr>
          <w:rFonts w:ascii="宋体" w:hAnsi="宋体" w:cs="宋体"/>
          <w:color w:val="auto"/>
          <w:sz w:val="24"/>
          <w:highlight w:val="none"/>
        </w:rPr>
      </w:pPr>
      <w:r>
        <w:rPr>
          <w:rFonts w:hint="eastAsia" w:ascii="宋体" w:hAnsi="宋体" w:cs="宋体"/>
          <w:color w:val="auto"/>
          <w:sz w:val="24"/>
          <w:highlight w:val="none"/>
        </w:rPr>
        <w:t>14.4.2   注明招标公告或者投标邀请书中指明的服务名称、招标编号、包号和“在（投标截止时间）之前不得启封”的字样。</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14.4.3   在包装袋/箱的封装处加盖供应商单位公章或者由法定代表人授权的代表签字。</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14.5</w:t>
      </w:r>
      <w:r>
        <w:rPr>
          <w:rFonts w:hint="eastAsia" w:ascii="宋体" w:hAnsi="宋体" w:cs="宋体"/>
          <w:color w:val="auto"/>
          <w:sz w:val="24"/>
          <w:highlight w:val="none"/>
        </w:rPr>
        <w:tab/>
      </w:r>
      <w:r>
        <w:rPr>
          <w:rFonts w:hint="eastAsia" w:ascii="宋体" w:hAnsi="宋体" w:cs="宋体"/>
          <w:color w:val="auto"/>
          <w:sz w:val="24"/>
          <w:highlight w:val="none"/>
        </w:rPr>
        <w:t>拒收情形：</w:t>
      </w:r>
    </w:p>
    <w:p>
      <w:pPr>
        <w:spacing w:before="120" w:line="360" w:lineRule="auto"/>
        <w:ind w:left="1058" w:leftChars="504" w:firstLine="19" w:firstLineChars="8"/>
        <w:rPr>
          <w:rFonts w:ascii="宋体" w:hAnsi="宋体" w:cs="宋体"/>
          <w:color w:val="auto"/>
          <w:sz w:val="24"/>
          <w:highlight w:val="none"/>
        </w:rPr>
      </w:pPr>
      <w:r>
        <w:rPr>
          <w:rFonts w:hint="eastAsia" w:ascii="宋体" w:hAnsi="宋体" w:cs="宋体"/>
          <w:color w:val="auto"/>
          <w:sz w:val="24"/>
          <w:highlight w:val="none"/>
        </w:rPr>
        <w:t>采购人及采购代理机构将拒绝接收未按照招标文件要求密封的投标文件。</w:t>
      </w:r>
    </w:p>
    <w:p>
      <w:pPr>
        <w:spacing w:before="360" w:after="240" w:line="360" w:lineRule="auto"/>
        <w:outlineLvl w:val="2"/>
        <w:rPr>
          <w:rFonts w:ascii="宋体" w:hAnsi="宋体" w:cs="宋体"/>
          <w:b/>
          <w:color w:val="auto"/>
          <w:sz w:val="24"/>
          <w:highlight w:val="none"/>
        </w:rPr>
      </w:pPr>
      <w:bookmarkStart w:id="113" w:name="_Toc332807984"/>
      <w:bookmarkStart w:id="114" w:name="_Toc10914"/>
      <w:bookmarkStart w:id="115" w:name="_Toc31474"/>
      <w:r>
        <w:rPr>
          <w:rFonts w:hint="eastAsia" w:ascii="宋体" w:hAnsi="宋体" w:cs="宋体"/>
          <w:b/>
          <w:color w:val="auto"/>
          <w:sz w:val="24"/>
          <w:highlight w:val="none"/>
        </w:rPr>
        <w:t>15.投标截止期限</w:t>
      </w:r>
      <w:bookmarkEnd w:id="113"/>
      <w:bookmarkEnd w:id="114"/>
      <w:bookmarkEnd w:id="115"/>
    </w:p>
    <w:p>
      <w:pPr>
        <w:pStyle w:val="6"/>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15.1</w:t>
      </w:r>
      <w:r>
        <w:rPr>
          <w:rFonts w:hint="eastAsia" w:ascii="宋体" w:hAnsi="宋体" w:cs="宋体"/>
          <w:color w:val="auto"/>
          <w:sz w:val="24"/>
          <w:highlight w:val="none"/>
        </w:rPr>
        <w:tab/>
      </w:r>
      <w:r>
        <w:rPr>
          <w:rFonts w:hint="eastAsia" w:ascii="宋体" w:hAnsi="宋体" w:cs="宋体"/>
          <w:color w:val="auto"/>
          <w:sz w:val="24"/>
          <w:highlight w:val="none"/>
        </w:rPr>
        <w:t>供应商应当在招标公告中规定的截止时间内，将投标文件递交招标采购单位，递交地点应当是招标公告中规定的地址。</w:t>
      </w:r>
    </w:p>
    <w:p>
      <w:pPr>
        <w:pStyle w:val="6"/>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15.2</w:t>
      </w:r>
      <w:r>
        <w:rPr>
          <w:rFonts w:hint="eastAsia" w:ascii="宋体" w:hAnsi="宋体" w:cs="宋体"/>
          <w:color w:val="auto"/>
          <w:sz w:val="24"/>
          <w:highlight w:val="none"/>
        </w:rPr>
        <w:tab/>
      </w:r>
      <w:r>
        <w:rPr>
          <w:rFonts w:hint="eastAsia" w:ascii="宋体" w:hAnsi="宋体" w:cs="宋体"/>
          <w:color w:val="auto"/>
          <w:sz w:val="24"/>
          <w:highlight w:val="none"/>
        </w:rPr>
        <w:t>招标采购单位有权按本须知的规定，通过修改招标文件延长投标截止时间。在此情况下，招标采购单位和供应商受投标截止时间制约的所有权利和义务均应当延长至新的截止期。</w:t>
      </w:r>
    </w:p>
    <w:p>
      <w:pPr>
        <w:pStyle w:val="6"/>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15.3</w:t>
      </w:r>
      <w:r>
        <w:rPr>
          <w:rFonts w:hint="eastAsia" w:ascii="宋体" w:hAnsi="宋体" w:cs="宋体"/>
          <w:color w:val="auto"/>
          <w:sz w:val="24"/>
          <w:highlight w:val="none"/>
        </w:rPr>
        <w:tab/>
      </w:r>
      <w:r>
        <w:rPr>
          <w:rFonts w:hint="eastAsia" w:ascii="宋体" w:hAnsi="宋体" w:cs="宋体"/>
          <w:color w:val="auto"/>
          <w:sz w:val="24"/>
          <w:highlight w:val="none"/>
        </w:rPr>
        <w:t>拒收情形：</w:t>
      </w:r>
    </w:p>
    <w:p>
      <w:pPr>
        <w:pStyle w:val="6"/>
        <w:spacing w:before="120" w:line="360" w:lineRule="auto"/>
        <w:ind w:left="1077" w:leftChars="513"/>
        <w:rPr>
          <w:rFonts w:ascii="宋体" w:hAnsi="宋体" w:cs="宋体"/>
          <w:color w:val="auto"/>
          <w:sz w:val="24"/>
          <w:highlight w:val="none"/>
        </w:rPr>
      </w:pPr>
      <w:r>
        <w:rPr>
          <w:rFonts w:hint="eastAsia" w:ascii="宋体" w:hAnsi="宋体" w:cs="宋体"/>
          <w:color w:val="auto"/>
          <w:sz w:val="24"/>
          <w:highlight w:val="none"/>
        </w:rPr>
        <w:t>采购人及采购代理机构将拒绝接收在本须知规定的投标截止时间后逾期送达的任何投标文件。</w:t>
      </w:r>
    </w:p>
    <w:p>
      <w:pPr>
        <w:spacing w:before="360" w:after="240" w:line="360" w:lineRule="auto"/>
        <w:outlineLvl w:val="2"/>
        <w:rPr>
          <w:rFonts w:ascii="宋体" w:hAnsi="宋体" w:cs="宋体"/>
          <w:b/>
          <w:color w:val="auto"/>
          <w:sz w:val="24"/>
          <w:highlight w:val="none"/>
        </w:rPr>
      </w:pPr>
      <w:bookmarkStart w:id="116" w:name="_Toc17149"/>
      <w:bookmarkStart w:id="117" w:name="_Toc21241"/>
      <w:bookmarkStart w:id="118" w:name="_Toc332807985"/>
      <w:r>
        <w:rPr>
          <w:rFonts w:hint="eastAsia" w:ascii="宋体" w:hAnsi="宋体" w:cs="宋体"/>
          <w:b/>
          <w:color w:val="auto"/>
          <w:sz w:val="24"/>
          <w:highlight w:val="none"/>
        </w:rPr>
        <w:t>16.投标文件的修改与撤回</w:t>
      </w:r>
      <w:bookmarkEnd w:id="116"/>
      <w:bookmarkEnd w:id="117"/>
      <w:bookmarkEnd w:id="118"/>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16.1</w:t>
      </w:r>
      <w:r>
        <w:rPr>
          <w:rFonts w:hint="eastAsia" w:ascii="宋体" w:hAnsi="宋体" w:cs="宋体"/>
          <w:color w:val="auto"/>
          <w:sz w:val="24"/>
          <w:highlight w:val="none"/>
        </w:rPr>
        <w:tab/>
      </w:r>
      <w:r>
        <w:rPr>
          <w:rFonts w:hint="eastAsia" w:ascii="宋体" w:hAnsi="宋体" w:cs="宋体"/>
          <w:color w:val="auto"/>
          <w:sz w:val="24"/>
          <w:highlight w:val="none"/>
        </w:rPr>
        <w:t>供应商在投标截止时间前，可以对所递交的投标文件进行补充、修改或者撤回，并书面通知招标采购单位。补充、修改的内容应当按招标文件要求签署、盖章，并作为投标文件的组成部分。</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16.2</w:t>
      </w:r>
      <w:r>
        <w:rPr>
          <w:rFonts w:hint="eastAsia" w:ascii="宋体" w:hAnsi="宋体" w:cs="宋体"/>
          <w:color w:val="auto"/>
          <w:sz w:val="24"/>
          <w:highlight w:val="none"/>
        </w:rPr>
        <w:tab/>
      </w:r>
      <w:r>
        <w:rPr>
          <w:rFonts w:hint="eastAsia" w:ascii="宋体" w:hAnsi="宋体" w:cs="宋体"/>
          <w:color w:val="auto"/>
          <w:sz w:val="24"/>
          <w:highlight w:val="none"/>
        </w:rPr>
        <w:t>投标截止时间后，供应商不得对其投标文件做任何修改。</w:t>
      </w:r>
    </w:p>
    <w:p>
      <w:pPr>
        <w:spacing w:before="120" w:line="360" w:lineRule="auto"/>
        <w:ind w:left="1200" w:hanging="1200" w:hangingChars="500"/>
        <w:rPr>
          <w:rFonts w:ascii="宋体" w:hAnsi="宋体" w:cs="宋体"/>
          <w:color w:val="auto"/>
          <w:sz w:val="24"/>
          <w:highlight w:val="none"/>
        </w:rPr>
      </w:pPr>
      <w:r>
        <w:rPr>
          <w:rFonts w:hint="eastAsia" w:ascii="宋体" w:hAnsi="宋体" w:cs="宋体"/>
          <w:color w:val="auto"/>
          <w:sz w:val="24"/>
          <w:highlight w:val="none"/>
        </w:rPr>
        <w:t>16.3</w:t>
      </w:r>
      <w:r>
        <w:rPr>
          <w:rFonts w:hint="eastAsia" w:ascii="宋体" w:hAnsi="宋体" w:cs="宋体"/>
          <w:color w:val="auto"/>
          <w:sz w:val="24"/>
          <w:highlight w:val="none"/>
        </w:rPr>
        <w:tab/>
      </w:r>
      <w:r>
        <w:rPr>
          <w:rFonts w:hint="eastAsia" w:ascii="宋体" w:hAnsi="宋体" w:cs="宋体"/>
          <w:color w:val="auto"/>
          <w:sz w:val="24"/>
          <w:highlight w:val="none"/>
        </w:rPr>
        <w:t>从投标截止日至供应商在投标书格式中确定的投标有效期之间，供应商不得撤销其投标，否则其投标保证金将按照本须知的规定不予退还。</w:t>
      </w:r>
    </w:p>
    <w:p>
      <w:pPr>
        <w:spacing w:before="120" w:line="360" w:lineRule="auto"/>
        <w:jc w:val="center"/>
        <w:outlineLvl w:val="1"/>
        <w:rPr>
          <w:rFonts w:ascii="宋体" w:hAnsi="宋体" w:cs="宋体"/>
          <w:b/>
          <w:color w:val="auto"/>
          <w:sz w:val="28"/>
          <w:szCs w:val="28"/>
          <w:highlight w:val="none"/>
        </w:rPr>
      </w:pPr>
      <w:bookmarkStart w:id="119" w:name="_Toc30152"/>
      <w:bookmarkStart w:id="120" w:name="_Toc332807986"/>
      <w:bookmarkStart w:id="121" w:name="_Toc15434"/>
      <w:r>
        <w:rPr>
          <w:rFonts w:hint="eastAsia" w:ascii="宋体" w:hAnsi="宋体" w:cs="宋体"/>
          <w:b/>
          <w:color w:val="auto"/>
          <w:sz w:val="28"/>
          <w:szCs w:val="28"/>
          <w:highlight w:val="none"/>
        </w:rPr>
        <w:t>五 开标及评标</w:t>
      </w:r>
      <w:bookmarkEnd w:id="119"/>
      <w:bookmarkEnd w:id="120"/>
      <w:bookmarkEnd w:id="121"/>
      <w:bookmarkStart w:id="122" w:name="_Toc109542354"/>
      <w:bookmarkStart w:id="123" w:name="_Toc520356164"/>
      <w:bookmarkStart w:id="124" w:name="_Toc109543174"/>
    </w:p>
    <w:p>
      <w:pPr>
        <w:spacing w:before="360" w:after="240" w:line="360" w:lineRule="auto"/>
        <w:outlineLvl w:val="2"/>
        <w:rPr>
          <w:rFonts w:ascii="宋体" w:hAnsi="宋体" w:cs="宋体"/>
          <w:b/>
          <w:color w:val="auto"/>
          <w:sz w:val="24"/>
          <w:highlight w:val="none"/>
        </w:rPr>
      </w:pPr>
      <w:bookmarkStart w:id="125" w:name="_Toc12935"/>
      <w:bookmarkStart w:id="126" w:name="_Toc4057"/>
      <w:bookmarkStart w:id="127" w:name="_Toc332807987"/>
      <w:r>
        <w:rPr>
          <w:rFonts w:hint="eastAsia" w:ascii="宋体" w:hAnsi="宋体" w:cs="宋体"/>
          <w:b/>
          <w:color w:val="auto"/>
          <w:sz w:val="24"/>
          <w:highlight w:val="none"/>
        </w:rPr>
        <w:t>17.开标</w:t>
      </w:r>
      <w:bookmarkEnd w:id="122"/>
      <w:bookmarkEnd w:id="123"/>
      <w:bookmarkEnd w:id="124"/>
      <w:bookmarkEnd w:id="125"/>
      <w:bookmarkEnd w:id="126"/>
      <w:bookmarkEnd w:id="127"/>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17.1</w:t>
      </w:r>
      <w:r>
        <w:rPr>
          <w:rFonts w:hint="eastAsia" w:ascii="宋体" w:hAnsi="宋体" w:cs="宋体"/>
          <w:color w:val="auto"/>
          <w:sz w:val="24"/>
          <w:highlight w:val="none"/>
        </w:rPr>
        <w:tab/>
      </w:r>
      <w:r>
        <w:rPr>
          <w:rFonts w:hint="eastAsia" w:ascii="宋体" w:hAnsi="宋体" w:cs="宋体"/>
          <w:color w:val="auto"/>
          <w:sz w:val="24"/>
          <w:highlight w:val="none"/>
        </w:rPr>
        <w:t>招标采购单位应当按招标公告的规定，在投标截止时间的同一时间和招标公告预先确定的地点组织公开开标。开标时邀请所有供应商代表、采购人和有关方面代表参加。参加开标的代表应当签字报到以证明其出席。</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17.2     开标时，应当由供应商或者其推选的代表检查投标文件的密封情况；经确认无误后，由采购人或者采购代理机构工作人员当众拆封，宣布供应商名称、投标价格和招标文件规定的需要宣布的其他内容。</w:t>
      </w:r>
      <w:r>
        <w:rPr>
          <w:rFonts w:hint="eastAsia" w:ascii="Arial" w:hAnsi="Arial" w:cs="Arial"/>
          <w:color w:val="auto"/>
          <w:sz w:val="24"/>
          <w:highlight w:val="none"/>
        </w:rPr>
        <w:t>供应商</w:t>
      </w:r>
      <w:r>
        <w:rPr>
          <w:rFonts w:ascii="Arial" w:hAnsi="Arial" w:cs="Arial"/>
          <w:color w:val="auto"/>
          <w:sz w:val="24"/>
          <w:highlight w:val="none"/>
        </w:rPr>
        <w:t>不足3家的，不得开标。</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17.3     除了按照本须知的规定原封退回迟到的投标文件之外，招标采购单位开标时不得拒绝任何投标截止时间前的投标。</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 xml:space="preserve">17.4     </w:t>
      </w:r>
      <w:bookmarkStart w:id="128" w:name="_Toc520356165"/>
      <w:r>
        <w:rPr>
          <w:rFonts w:hint="eastAsia" w:ascii="宋体" w:hAnsi="宋体" w:cs="宋体"/>
          <w:color w:val="auto"/>
          <w:sz w:val="24"/>
          <w:highlight w:val="none"/>
        </w:rPr>
        <w:t>开标过程应当由采购人或者采购代理机构负责记录，由参加开标的各供应商代表和相关工作人员签字确认后随采购文件一并存档。供应商未参加开标的，视同认可开标结果。</w:t>
      </w:r>
    </w:p>
    <w:p>
      <w:pPr>
        <w:spacing w:before="360" w:after="240" w:line="360" w:lineRule="auto"/>
        <w:outlineLvl w:val="2"/>
        <w:rPr>
          <w:rFonts w:ascii="宋体" w:hAnsi="宋体" w:cs="宋体"/>
          <w:b/>
          <w:bCs/>
          <w:color w:val="auto"/>
          <w:kern w:val="0"/>
          <w:sz w:val="24"/>
          <w:highlight w:val="none"/>
        </w:rPr>
      </w:pPr>
      <w:bookmarkStart w:id="129" w:name="_Toc31643"/>
      <w:bookmarkStart w:id="130" w:name="_Toc25302"/>
      <w:bookmarkStart w:id="131" w:name="_Toc109542355"/>
      <w:bookmarkStart w:id="132" w:name="_Toc109543175"/>
      <w:bookmarkStart w:id="133" w:name="_Toc332807988"/>
      <w:r>
        <w:rPr>
          <w:rFonts w:hint="eastAsia" w:ascii="宋体" w:hAnsi="宋体" w:cs="宋体"/>
          <w:b/>
          <w:bCs/>
          <w:color w:val="auto"/>
          <w:kern w:val="0"/>
          <w:sz w:val="24"/>
          <w:highlight w:val="none"/>
        </w:rPr>
        <w:t>18.</w:t>
      </w:r>
      <w:bookmarkEnd w:id="128"/>
      <w:r>
        <w:rPr>
          <w:rFonts w:hint="eastAsia" w:ascii="宋体" w:hAnsi="宋体" w:cs="宋体"/>
          <w:b/>
          <w:bCs/>
          <w:color w:val="auto"/>
          <w:kern w:val="0"/>
          <w:sz w:val="24"/>
          <w:highlight w:val="none"/>
        </w:rPr>
        <w:t>组建评标委员会</w:t>
      </w:r>
      <w:bookmarkEnd w:id="129"/>
      <w:bookmarkEnd w:id="130"/>
      <w:bookmarkEnd w:id="131"/>
      <w:bookmarkEnd w:id="132"/>
      <w:bookmarkEnd w:id="133"/>
    </w:p>
    <w:p>
      <w:pPr>
        <w:pStyle w:val="7"/>
        <w:adjustRightInd/>
        <w:spacing w:before="120" w:line="360" w:lineRule="auto"/>
        <w:ind w:left="1080" w:hanging="1080" w:hangingChars="450"/>
        <w:jc w:val="both"/>
        <w:textAlignment w:val="auto"/>
        <w:rPr>
          <w:rFonts w:ascii="宋体" w:hAnsi="宋体" w:cs="宋体"/>
          <w:color w:val="auto"/>
          <w:kern w:val="2"/>
          <w:szCs w:val="24"/>
          <w:highlight w:val="none"/>
        </w:rPr>
      </w:pPr>
      <w:r>
        <w:rPr>
          <w:rFonts w:hint="eastAsia" w:ascii="宋体" w:hAnsi="宋体" w:cs="宋体"/>
          <w:color w:val="auto"/>
          <w:kern w:val="2"/>
          <w:szCs w:val="24"/>
          <w:highlight w:val="none"/>
        </w:rPr>
        <w:t>18.1     评标委员会根据招标采购服务的特点，依法进行组建并负责评标工作。</w:t>
      </w:r>
    </w:p>
    <w:p>
      <w:pPr>
        <w:spacing w:before="360" w:after="240" w:line="360" w:lineRule="auto"/>
        <w:outlineLvl w:val="2"/>
        <w:rPr>
          <w:rFonts w:ascii="宋体" w:hAnsi="宋体" w:cs="宋体"/>
          <w:b/>
          <w:bCs/>
          <w:color w:val="auto"/>
          <w:kern w:val="0"/>
          <w:sz w:val="24"/>
          <w:highlight w:val="none"/>
        </w:rPr>
      </w:pPr>
      <w:bookmarkStart w:id="134" w:name="_Toc332807989"/>
      <w:bookmarkStart w:id="135" w:name="_Toc1593"/>
      <w:bookmarkStart w:id="136" w:name="_Toc11377"/>
      <w:r>
        <w:rPr>
          <w:rFonts w:hint="eastAsia" w:ascii="宋体" w:hAnsi="宋体" w:cs="宋体"/>
          <w:b/>
          <w:bCs/>
          <w:color w:val="auto"/>
          <w:kern w:val="0"/>
          <w:sz w:val="24"/>
          <w:highlight w:val="none"/>
        </w:rPr>
        <w:t>19.投标文件的初审与澄清</w:t>
      </w:r>
      <w:bookmarkEnd w:id="134"/>
      <w:bookmarkEnd w:id="135"/>
      <w:bookmarkEnd w:id="136"/>
    </w:p>
    <w:p>
      <w:pPr>
        <w:pStyle w:val="7"/>
        <w:adjustRightInd/>
        <w:spacing w:before="120" w:line="360" w:lineRule="auto"/>
        <w:ind w:firstLine="0" w:firstLineChars="0"/>
        <w:jc w:val="both"/>
        <w:textAlignment w:val="auto"/>
        <w:rPr>
          <w:rFonts w:ascii="宋体" w:hAnsi="宋体" w:cs="宋体"/>
          <w:color w:val="auto"/>
          <w:kern w:val="2"/>
          <w:szCs w:val="24"/>
          <w:highlight w:val="none"/>
        </w:rPr>
      </w:pPr>
      <w:r>
        <w:rPr>
          <w:rFonts w:hint="eastAsia" w:ascii="宋体" w:hAnsi="宋体" w:cs="宋体"/>
          <w:color w:val="auto"/>
          <w:kern w:val="2"/>
          <w:szCs w:val="24"/>
          <w:highlight w:val="none"/>
        </w:rPr>
        <w:t>19.1     投标文件的初审分为资格检查和符合性检查。</w:t>
      </w:r>
    </w:p>
    <w:p>
      <w:pPr>
        <w:pStyle w:val="7"/>
        <w:adjustRightInd/>
        <w:spacing w:before="120" w:line="360" w:lineRule="auto"/>
        <w:ind w:left="1080" w:hanging="1080" w:hangingChars="450"/>
        <w:jc w:val="both"/>
        <w:textAlignment w:val="auto"/>
        <w:rPr>
          <w:rFonts w:ascii="宋体" w:hAnsi="宋体" w:cs="宋体"/>
          <w:color w:val="auto"/>
          <w:highlight w:val="none"/>
        </w:rPr>
      </w:pPr>
      <w:r>
        <w:rPr>
          <w:rFonts w:hint="eastAsia" w:ascii="宋体" w:hAnsi="宋体" w:cs="宋体"/>
          <w:color w:val="auto"/>
          <w:kern w:val="2"/>
          <w:szCs w:val="24"/>
          <w:highlight w:val="none"/>
        </w:rPr>
        <w:t>19.1.1   资格检查：指依据法律、法规和招标文件的规定，对供应商的资格进行审查，以确定投标供应商是否具备投标资格，合格投标人不足3家的，不得评标。</w:t>
      </w:r>
    </w:p>
    <w:p>
      <w:pPr>
        <w:pStyle w:val="7"/>
        <w:adjustRightInd/>
        <w:spacing w:before="120" w:line="360" w:lineRule="auto"/>
        <w:ind w:left="1058" w:hanging="1058" w:hangingChars="441"/>
        <w:jc w:val="both"/>
        <w:textAlignment w:val="auto"/>
        <w:rPr>
          <w:rFonts w:ascii="宋体" w:hAnsi="宋体" w:cs="宋体"/>
          <w:color w:val="auto"/>
          <w:kern w:val="2"/>
          <w:szCs w:val="24"/>
          <w:highlight w:val="none"/>
        </w:rPr>
      </w:pPr>
      <w:r>
        <w:rPr>
          <w:rFonts w:hint="eastAsia" w:ascii="宋体" w:hAnsi="宋体" w:cs="宋体"/>
          <w:color w:val="auto"/>
          <w:kern w:val="2"/>
          <w:szCs w:val="24"/>
          <w:highlight w:val="none"/>
        </w:rPr>
        <w:t>19.1.2   符合性检查：</w:t>
      </w:r>
      <w:bookmarkStart w:id="137" w:name="_Toc109542561"/>
      <w:bookmarkStart w:id="138" w:name="_Toc109543176"/>
      <w:bookmarkStart w:id="139" w:name="_Toc109542356"/>
      <w:r>
        <w:rPr>
          <w:rFonts w:hint="eastAsia" w:ascii="宋体" w:hAnsi="宋体" w:cs="宋体"/>
          <w:color w:val="auto"/>
          <w:kern w:val="2"/>
          <w:szCs w:val="24"/>
          <w:highlight w:val="none"/>
        </w:rPr>
        <w:t>指对符合资格的供应商的投标文件进行符合性审查，以确定其是否满足招标文件的实质性要求。</w:t>
      </w:r>
    </w:p>
    <w:p>
      <w:pPr>
        <w:pStyle w:val="7"/>
        <w:adjustRightInd/>
        <w:spacing w:before="120" w:line="360" w:lineRule="auto"/>
        <w:ind w:firstLine="0" w:firstLineChars="0"/>
        <w:jc w:val="both"/>
        <w:textAlignment w:val="auto"/>
        <w:rPr>
          <w:rFonts w:ascii="宋体" w:hAnsi="宋体" w:cs="宋体"/>
          <w:color w:val="auto"/>
          <w:kern w:val="2"/>
          <w:szCs w:val="24"/>
          <w:highlight w:val="none"/>
        </w:rPr>
      </w:pPr>
      <w:r>
        <w:rPr>
          <w:rFonts w:hint="eastAsia" w:ascii="宋体" w:hAnsi="宋体" w:cs="宋体"/>
          <w:color w:val="auto"/>
          <w:kern w:val="2"/>
          <w:szCs w:val="24"/>
          <w:highlight w:val="none"/>
        </w:rPr>
        <w:t>19.2</w:t>
      </w:r>
      <w:r>
        <w:rPr>
          <w:rFonts w:hint="eastAsia" w:ascii="宋体" w:hAnsi="宋体" w:cs="宋体"/>
          <w:color w:val="auto"/>
          <w:kern w:val="2"/>
          <w:szCs w:val="24"/>
          <w:highlight w:val="none"/>
        </w:rPr>
        <w:tab/>
      </w:r>
      <w:bookmarkEnd w:id="137"/>
      <w:bookmarkEnd w:id="138"/>
      <w:bookmarkEnd w:id="139"/>
      <w:r>
        <w:rPr>
          <w:rFonts w:hint="eastAsia" w:ascii="宋体" w:hAnsi="宋体" w:cs="宋体"/>
          <w:color w:val="auto"/>
          <w:kern w:val="2"/>
          <w:szCs w:val="24"/>
          <w:highlight w:val="none"/>
        </w:rPr>
        <w:t>澄清有关问题</w:t>
      </w:r>
    </w:p>
    <w:p>
      <w:pPr>
        <w:pStyle w:val="7"/>
        <w:adjustRightInd/>
        <w:spacing w:before="120" w:line="360" w:lineRule="auto"/>
        <w:ind w:left="1080" w:hanging="1080" w:hangingChars="450"/>
        <w:jc w:val="both"/>
        <w:textAlignment w:val="auto"/>
        <w:rPr>
          <w:rFonts w:ascii="宋体" w:hAnsi="宋体" w:cs="宋体"/>
          <w:color w:val="auto"/>
          <w:kern w:val="2"/>
          <w:szCs w:val="24"/>
          <w:highlight w:val="none"/>
        </w:rPr>
      </w:pPr>
      <w:r>
        <w:rPr>
          <w:rFonts w:hint="eastAsia" w:ascii="宋体" w:hAnsi="宋体" w:cs="宋体"/>
          <w:color w:val="auto"/>
          <w:kern w:val="2"/>
          <w:szCs w:val="24"/>
          <w:highlight w:val="none"/>
        </w:rPr>
        <w:t>19.2.1   对投标文件中含义不明确、同类问题表述不一致或者有明显文字和计算错误的内容，评标委员会可以书面形式（应当由评标委员会专家签字）要求供应商在规定的时间内作出必要的澄清、说明或者纠正。供应商的澄清、说明或者补正应当采用书面形式，由其授权的代表签字，并不得超出投标文件的范围或者改变投标文件的实质性内容。</w:t>
      </w:r>
    </w:p>
    <w:p>
      <w:pPr>
        <w:pStyle w:val="7"/>
        <w:adjustRightInd/>
        <w:spacing w:before="120" w:line="360" w:lineRule="auto"/>
        <w:ind w:firstLine="0" w:firstLineChars="0"/>
        <w:jc w:val="both"/>
        <w:textAlignment w:val="auto"/>
        <w:rPr>
          <w:rFonts w:ascii="宋体" w:hAnsi="宋体" w:cs="宋体"/>
          <w:color w:val="auto"/>
          <w:kern w:val="2"/>
          <w:szCs w:val="24"/>
          <w:highlight w:val="none"/>
        </w:rPr>
      </w:pPr>
      <w:r>
        <w:rPr>
          <w:rFonts w:hint="eastAsia" w:ascii="宋体" w:hAnsi="宋体" w:cs="宋体"/>
          <w:color w:val="auto"/>
          <w:kern w:val="2"/>
          <w:szCs w:val="24"/>
          <w:highlight w:val="none"/>
        </w:rPr>
        <w:t>19.2.2   澄清文件将作为投标文件内容的一部分。</w:t>
      </w:r>
    </w:p>
    <w:p>
      <w:pPr>
        <w:spacing w:before="120" w:line="360" w:lineRule="auto"/>
        <w:ind w:left="1200" w:hanging="1200" w:hangingChars="500"/>
        <w:rPr>
          <w:rFonts w:ascii="宋体" w:hAnsi="宋体" w:cs="宋体"/>
          <w:color w:val="auto"/>
          <w:sz w:val="24"/>
          <w:highlight w:val="none"/>
        </w:rPr>
      </w:pPr>
      <w:r>
        <w:rPr>
          <w:rFonts w:hint="eastAsia" w:ascii="宋体" w:hAnsi="宋体" w:cs="宋体"/>
          <w:color w:val="auto"/>
          <w:sz w:val="24"/>
          <w:highlight w:val="none"/>
        </w:rPr>
        <w:t>19.2.3   投标文件报价出现前后不一致的，除招标文件另有规定外，按照下列</w:t>
      </w:r>
    </w:p>
    <w:p>
      <w:pPr>
        <w:spacing w:before="120" w:line="360" w:lineRule="auto"/>
        <w:ind w:left="1050" w:leftChars="500"/>
        <w:rPr>
          <w:rFonts w:ascii="宋体" w:hAnsi="宋体" w:cs="宋体"/>
          <w:color w:val="auto"/>
          <w:sz w:val="24"/>
          <w:highlight w:val="none"/>
        </w:rPr>
      </w:pPr>
      <w:r>
        <w:rPr>
          <w:rFonts w:hint="eastAsia" w:ascii="宋体" w:hAnsi="宋体" w:cs="宋体"/>
          <w:color w:val="auto"/>
          <w:sz w:val="24"/>
          <w:highlight w:val="none"/>
        </w:rPr>
        <w:t>规定修正：</w:t>
      </w:r>
    </w:p>
    <w:p>
      <w:pPr>
        <w:spacing w:before="120" w:line="360" w:lineRule="auto"/>
        <w:ind w:left="1530" w:leftChars="500" w:hanging="480" w:hangingChars="200"/>
        <w:rPr>
          <w:rFonts w:ascii="宋体" w:hAnsi="宋体" w:cs="宋体"/>
          <w:color w:val="auto"/>
          <w:sz w:val="24"/>
          <w:highlight w:val="none"/>
        </w:rPr>
      </w:pPr>
      <w:r>
        <w:rPr>
          <w:rFonts w:hint="eastAsia" w:ascii="宋体" w:hAnsi="宋体" w:cs="宋体"/>
          <w:color w:val="auto"/>
          <w:sz w:val="24"/>
          <w:highlight w:val="none"/>
        </w:rPr>
        <w:t>（1）投标文件中开标一览表（报价表）内容与投标文件中相应内容不一致的，以开标一览表（报价表）为准；</w:t>
      </w:r>
    </w:p>
    <w:p>
      <w:pPr>
        <w:spacing w:before="120" w:line="360" w:lineRule="auto"/>
        <w:ind w:left="1077"/>
        <w:rPr>
          <w:rFonts w:ascii="宋体" w:hAnsi="宋体" w:cs="宋体"/>
          <w:color w:val="auto"/>
          <w:sz w:val="24"/>
          <w:highlight w:val="none"/>
        </w:rPr>
      </w:pPr>
      <w:r>
        <w:rPr>
          <w:rFonts w:hint="eastAsia" w:ascii="宋体" w:hAnsi="宋体" w:cs="宋体"/>
          <w:color w:val="auto"/>
          <w:sz w:val="24"/>
          <w:highlight w:val="none"/>
        </w:rPr>
        <w:t>（2）</w:t>
      </w:r>
      <w:r>
        <w:rPr>
          <w:rFonts w:ascii="Arial" w:hAnsi="Arial" w:cs="Arial"/>
          <w:color w:val="auto"/>
          <w:sz w:val="24"/>
          <w:highlight w:val="none"/>
        </w:rPr>
        <w:t>大写金额和小写金额不一致的，以大写金额为准</w:t>
      </w:r>
      <w:r>
        <w:rPr>
          <w:rFonts w:hint="eastAsia" w:ascii="宋体" w:hAnsi="宋体" w:cs="宋体"/>
          <w:color w:val="auto"/>
          <w:sz w:val="24"/>
          <w:highlight w:val="none"/>
        </w:rPr>
        <w:t>；</w:t>
      </w:r>
    </w:p>
    <w:p>
      <w:pPr>
        <w:spacing w:before="120" w:line="360" w:lineRule="auto"/>
        <w:ind w:left="1530" w:leftChars="500" w:hanging="480" w:hangingChars="200"/>
        <w:rPr>
          <w:rFonts w:ascii="宋体" w:hAnsi="宋体" w:cs="宋体"/>
          <w:color w:val="auto"/>
          <w:sz w:val="24"/>
          <w:highlight w:val="none"/>
        </w:rPr>
      </w:pPr>
      <w:r>
        <w:rPr>
          <w:rFonts w:hint="eastAsia" w:ascii="宋体" w:hAnsi="宋体" w:cs="宋体"/>
          <w:color w:val="auto"/>
          <w:sz w:val="24"/>
          <w:highlight w:val="none"/>
        </w:rPr>
        <w:t>（3）单价金额小数点或者百分比有明显错位的，以开标一览表的总价为准，并修改单价；</w:t>
      </w:r>
    </w:p>
    <w:p>
      <w:pPr>
        <w:spacing w:before="120" w:line="360" w:lineRule="auto"/>
        <w:ind w:left="1077" w:leftChars="513"/>
        <w:rPr>
          <w:rFonts w:ascii="宋体" w:hAnsi="宋体" w:cs="宋体"/>
          <w:color w:val="auto"/>
          <w:sz w:val="24"/>
          <w:highlight w:val="none"/>
        </w:rPr>
      </w:pPr>
      <w:r>
        <w:rPr>
          <w:rFonts w:hint="eastAsia" w:ascii="宋体" w:hAnsi="宋体" w:cs="宋体"/>
          <w:color w:val="auto"/>
          <w:sz w:val="24"/>
          <w:highlight w:val="none"/>
        </w:rPr>
        <w:t>（4）总价金额与按单价汇总金额不一致的，以单价金额计算结果为准；</w:t>
      </w:r>
    </w:p>
    <w:p>
      <w:pPr>
        <w:spacing w:before="120" w:line="360" w:lineRule="auto"/>
        <w:ind w:left="1077" w:leftChars="513" w:firstLine="480" w:firstLineChars="200"/>
        <w:rPr>
          <w:rFonts w:ascii="宋体" w:hAnsi="宋体" w:cs="宋体"/>
          <w:color w:val="auto"/>
          <w:sz w:val="24"/>
          <w:highlight w:val="none"/>
        </w:rPr>
      </w:pPr>
      <w:r>
        <w:rPr>
          <w:rFonts w:hint="eastAsia" w:ascii="宋体" w:hAnsi="宋体" w:cs="宋体"/>
          <w:color w:val="auto"/>
          <w:sz w:val="24"/>
          <w:highlight w:val="none"/>
        </w:rPr>
        <w:t>同时出现两种以上不一致的，按照前款规定的顺序修正。修正后的报价，应当经由供应商按照第19.2.1条规定确认并加盖公章后产生约束力。若供应商未能进行确认的，将按照</w:t>
      </w:r>
      <w:r>
        <w:rPr>
          <w:rFonts w:hint="eastAsia" w:ascii="宋体" w:hAnsi="宋体" w:cs="宋体"/>
          <w:color w:val="auto"/>
          <w:sz w:val="24"/>
          <w:highlight w:val="none"/>
          <w:u w:val="single"/>
        </w:rPr>
        <w:t>无效投标</w:t>
      </w:r>
      <w:r>
        <w:rPr>
          <w:rFonts w:hint="eastAsia" w:ascii="宋体" w:hAnsi="宋体" w:cs="宋体"/>
          <w:color w:val="auto"/>
          <w:sz w:val="24"/>
          <w:highlight w:val="none"/>
        </w:rPr>
        <w:t>处理，由评标委员会否决其投标。</w:t>
      </w:r>
    </w:p>
    <w:p>
      <w:pPr>
        <w:spacing w:before="360" w:after="240" w:line="360" w:lineRule="auto"/>
        <w:outlineLvl w:val="2"/>
        <w:rPr>
          <w:rFonts w:ascii="宋体" w:hAnsi="宋体" w:cs="宋体"/>
          <w:b/>
          <w:color w:val="auto"/>
          <w:sz w:val="24"/>
          <w:highlight w:val="none"/>
        </w:rPr>
      </w:pPr>
      <w:bookmarkStart w:id="140" w:name="_Toc14625"/>
      <w:bookmarkStart w:id="141" w:name="_Toc332807990"/>
      <w:bookmarkStart w:id="142" w:name="_Toc21883"/>
      <w:r>
        <w:rPr>
          <w:rFonts w:hint="eastAsia" w:ascii="宋体" w:hAnsi="宋体" w:cs="宋体"/>
          <w:b/>
          <w:color w:val="auto"/>
          <w:sz w:val="24"/>
          <w:highlight w:val="none"/>
        </w:rPr>
        <w:t>20.投标偏离与非实质性响应</w:t>
      </w:r>
      <w:bookmarkEnd w:id="140"/>
      <w:bookmarkEnd w:id="141"/>
      <w:bookmarkEnd w:id="142"/>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20.1     对于投标文件中不构成实质性偏差的不正规、不一致或者不规则的内容，评标委员会可以接受，但这种接受不得损坏或者影响任何供应商的相对排序。</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21.2     在比较与评价之前，根据本须知的规定，评标委员会应当审查每份投标文件是否实质上响应了招标文件的要求。实质上响应的投标应当与招标文件要求的全部条款、条件和规格相符，并且没有重大偏离。对于关键条款，如投标保证金、适用法律、缴税等内容的偏离、保留和反对，均被认为是实质上的偏离。评标委员会决定投标的响应性仅仅根据投标文件本身的内容做出判断，而不寻求外部的证据。</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20.3     实质上没有响应招标文件要求的投标将视为</w:t>
      </w:r>
      <w:r>
        <w:rPr>
          <w:rFonts w:hint="eastAsia" w:ascii="宋体" w:hAnsi="宋体" w:cs="宋体"/>
          <w:color w:val="auto"/>
          <w:sz w:val="24"/>
          <w:highlight w:val="none"/>
          <w:u w:val="thick"/>
        </w:rPr>
        <w:t>无效投标</w:t>
      </w:r>
      <w:r>
        <w:rPr>
          <w:rFonts w:hint="eastAsia" w:ascii="宋体" w:hAnsi="宋体" w:cs="宋体"/>
          <w:color w:val="auto"/>
          <w:sz w:val="24"/>
          <w:highlight w:val="none"/>
        </w:rPr>
        <w:t>情形。供应商不得通过修正或者撤销不符合要求的偏离或者保留使其投标成为实质上响应的投标。</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20.4     供应商或者投标文件出现的下列情形将按照</w:t>
      </w:r>
      <w:r>
        <w:rPr>
          <w:rFonts w:hint="eastAsia" w:ascii="宋体" w:hAnsi="宋体" w:cs="宋体"/>
          <w:color w:val="auto"/>
          <w:sz w:val="24"/>
          <w:highlight w:val="none"/>
          <w:u w:val="thick"/>
        </w:rPr>
        <w:t>无效投标</w:t>
      </w:r>
      <w:r>
        <w:rPr>
          <w:rFonts w:hint="eastAsia" w:ascii="宋体" w:hAnsi="宋体" w:cs="宋体"/>
          <w:color w:val="auto"/>
          <w:sz w:val="24"/>
          <w:highlight w:val="none"/>
        </w:rPr>
        <w:t>处理，由评标委员会否决其投标：</w:t>
      </w:r>
    </w:p>
    <w:p>
      <w:pPr>
        <w:spacing w:before="120" w:line="360" w:lineRule="auto"/>
        <w:ind w:left="981" w:leftChars="467"/>
        <w:rPr>
          <w:rFonts w:ascii="宋体" w:hAnsi="宋体" w:cs="宋体"/>
          <w:color w:val="auto"/>
          <w:sz w:val="24"/>
          <w:highlight w:val="none"/>
        </w:rPr>
      </w:pPr>
      <w:r>
        <w:rPr>
          <w:rFonts w:hint="eastAsia" w:ascii="宋体" w:hAnsi="宋体" w:cs="宋体"/>
          <w:color w:val="auto"/>
          <w:sz w:val="24"/>
          <w:highlight w:val="none"/>
        </w:rPr>
        <w:t xml:space="preserve">（1）未按照招标文件的规定提交投标保证金的； </w:t>
      </w:r>
    </w:p>
    <w:p>
      <w:pPr>
        <w:spacing w:before="120" w:line="360" w:lineRule="auto"/>
        <w:ind w:left="981" w:leftChars="467"/>
        <w:rPr>
          <w:rFonts w:ascii="宋体" w:hAnsi="宋体" w:cs="宋体"/>
          <w:color w:val="auto"/>
          <w:sz w:val="24"/>
          <w:highlight w:val="none"/>
        </w:rPr>
      </w:pPr>
      <w:r>
        <w:rPr>
          <w:rFonts w:hint="eastAsia" w:ascii="宋体" w:hAnsi="宋体" w:cs="宋体"/>
          <w:color w:val="auto"/>
          <w:sz w:val="24"/>
          <w:highlight w:val="none"/>
        </w:rPr>
        <w:t>（2）投标文件未按照招标文件要求签署、盖章的；</w:t>
      </w:r>
    </w:p>
    <w:p>
      <w:pPr>
        <w:spacing w:before="120" w:line="360" w:lineRule="auto"/>
        <w:ind w:left="981" w:leftChars="467"/>
        <w:rPr>
          <w:rFonts w:ascii="宋体" w:hAnsi="宋体" w:cs="宋体"/>
          <w:color w:val="auto"/>
          <w:sz w:val="24"/>
          <w:highlight w:val="none"/>
        </w:rPr>
      </w:pPr>
      <w:r>
        <w:rPr>
          <w:rFonts w:hint="eastAsia" w:ascii="宋体" w:hAnsi="宋体" w:cs="宋体"/>
          <w:color w:val="auto"/>
          <w:sz w:val="24"/>
          <w:highlight w:val="none"/>
        </w:rPr>
        <w:t>（3）不具备招标文件中规定资格要求的；</w:t>
      </w:r>
    </w:p>
    <w:p>
      <w:pPr>
        <w:spacing w:before="120" w:line="360" w:lineRule="auto"/>
        <w:ind w:left="1581" w:leftChars="467" w:hanging="600" w:hangingChars="250"/>
        <w:rPr>
          <w:rFonts w:ascii="宋体" w:hAnsi="宋体" w:cs="宋体"/>
          <w:color w:val="auto"/>
          <w:sz w:val="24"/>
          <w:highlight w:val="none"/>
        </w:rPr>
      </w:pPr>
      <w:r>
        <w:rPr>
          <w:rFonts w:hint="eastAsia" w:ascii="宋体" w:hAnsi="宋体" w:cs="宋体"/>
          <w:color w:val="auto"/>
          <w:sz w:val="24"/>
          <w:highlight w:val="none"/>
        </w:rPr>
        <w:t>（4）报价超过招标文件中规定的预算金额或者最高限价的；</w:t>
      </w:r>
    </w:p>
    <w:p>
      <w:pPr>
        <w:spacing w:before="120" w:line="360" w:lineRule="auto"/>
        <w:ind w:firstLine="960" w:firstLineChars="400"/>
        <w:rPr>
          <w:rFonts w:ascii="宋体" w:hAnsi="宋体" w:cs="宋体"/>
          <w:color w:val="auto"/>
          <w:sz w:val="24"/>
          <w:highlight w:val="none"/>
        </w:rPr>
      </w:pPr>
      <w:r>
        <w:rPr>
          <w:rFonts w:hint="eastAsia" w:ascii="宋体" w:hAnsi="宋体" w:cs="宋体"/>
          <w:color w:val="auto"/>
          <w:sz w:val="24"/>
          <w:highlight w:val="none"/>
        </w:rPr>
        <w:t>（5）投标文件含有采购人不能接受的附加条件的；</w:t>
      </w:r>
    </w:p>
    <w:p>
      <w:pPr>
        <w:spacing w:before="120" w:line="360" w:lineRule="auto"/>
        <w:ind w:left="1078" w:leftChars="456" w:hanging="120" w:hangingChars="50"/>
        <w:rPr>
          <w:rFonts w:ascii="宋体" w:hAnsi="宋体" w:cs="宋体"/>
          <w:color w:val="auto"/>
          <w:sz w:val="24"/>
          <w:highlight w:val="none"/>
        </w:rPr>
      </w:pPr>
      <w:r>
        <w:rPr>
          <w:rFonts w:hint="eastAsia" w:ascii="宋体" w:hAnsi="宋体" w:cs="宋体"/>
          <w:color w:val="auto"/>
          <w:sz w:val="24"/>
          <w:highlight w:val="none"/>
        </w:rPr>
        <w:t>（6）法律、法规和招标文件规定的其他无效情形的。</w:t>
      </w:r>
    </w:p>
    <w:p>
      <w:pPr>
        <w:spacing w:before="120" w:line="360" w:lineRule="auto"/>
        <w:rPr>
          <w:rFonts w:ascii="宋体" w:hAnsi="宋体" w:cs="宋体"/>
          <w:color w:val="auto"/>
          <w:sz w:val="24"/>
          <w:highlight w:val="none"/>
        </w:rPr>
      </w:pPr>
      <w:r>
        <w:rPr>
          <w:rFonts w:hint="eastAsia" w:ascii="宋体" w:hAnsi="宋体" w:cs="宋体"/>
          <w:color w:val="auto"/>
          <w:sz w:val="24"/>
          <w:highlight w:val="none"/>
        </w:rPr>
        <w:t>20.5     有下列情形之一的，视为供应商串通投标，其投标无效：</w:t>
      </w:r>
    </w:p>
    <w:p>
      <w:pPr>
        <w:spacing w:before="120" w:line="360" w:lineRule="auto"/>
        <w:ind w:left="981" w:leftChars="467"/>
        <w:rPr>
          <w:rFonts w:ascii="宋体" w:hAnsi="宋体" w:cs="宋体"/>
          <w:color w:val="auto"/>
          <w:sz w:val="24"/>
          <w:highlight w:val="none"/>
        </w:rPr>
      </w:pPr>
      <w:r>
        <w:rPr>
          <w:rFonts w:hint="eastAsia" w:ascii="宋体" w:hAnsi="宋体" w:cs="宋体"/>
          <w:color w:val="auto"/>
          <w:sz w:val="24"/>
          <w:highlight w:val="none"/>
        </w:rPr>
        <w:t>（1）</w:t>
      </w:r>
      <w:r>
        <w:rPr>
          <w:rFonts w:ascii="Arial" w:hAnsi="Arial" w:cs="Arial"/>
          <w:color w:val="auto"/>
          <w:sz w:val="24"/>
          <w:highlight w:val="none"/>
        </w:rPr>
        <w:t>不同</w:t>
      </w:r>
      <w:r>
        <w:rPr>
          <w:rFonts w:hint="eastAsia" w:ascii="Arial" w:hAnsi="Arial" w:cs="Arial"/>
          <w:color w:val="auto"/>
          <w:sz w:val="24"/>
          <w:highlight w:val="none"/>
        </w:rPr>
        <w:t>供应商</w:t>
      </w:r>
      <w:r>
        <w:rPr>
          <w:rFonts w:ascii="Arial" w:hAnsi="Arial" w:cs="Arial"/>
          <w:color w:val="auto"/>
          <w:sz w:val="24"/>
          <w:highlight w:val="none"/>
        </w:rPr>
        <w:t>的投标文件由同一单位或者个人编制</w:t>
      </w:r>
      <w:r>
        <w:rPr>
          <w:rFonts w:hint="eastAsia" w:ascii="宋体" w:hAnsi="宋体" w:cs="宋体"/>
          <w:color w:val="auto"/>
          <w:sz w:val="24"/>
          <w:highlight w:val="none"/>
        </w:rPr>
        <w:t xml:space="preserve">； </w:t>
      </w:r>
    </w:p>
    <w:p>
      <w:pPr>
        <w:spacing w:before="120" w:line="360" w:lineRule="auto"/>
        <w:ind w:left="981" w:leftChars="467"/>
        <w:rPr>
          <w:rFonts w:ascii="宋体" w:hAnsi="宋体" w:cs="宋体"/>
          <w:color w:val="auto"/>
          <w:sz w:val="24"/>
          <w:highlight w:val="none"/>
        </w:rPr>
      </w:pPr>
      <w:r>
        <w:rPr>
          <w:rFonts w:hint="eastAsia" w:ascii="宋体" w:hAnsi="宋体" w:cs="宋体"/>
          <w:color w:val="auto"/>
          <w:sz w:val="24"/>
          <w:highlight w:val="none"/>
        </w:rPr>
        <w:t>（2）</w:t>
      </w:r>
      <w:r>
        <w:rPr>
          <w:rFonts w:ascii="Arial" w:hAnsi="Arial" w:cs="Arial"/>
          <w:color w:val="auto"/>
          <w:sz w:val="24"/>
          <w:highlight w:val="none"/>
        </w:rPr>
        <w:t>不同</w:t>
      </w:r>
      <w:r>
        <w:rPr>
          <w:rFonts w:hint="eastAsia" w:ascii="Arial" w:hAnsi="Arial" w:cs="Arial"/>
          <w:color w:val="auto"/>
          <w:sz w:val="24"/>
          <w:highlight w:val="none"/>
        </w:rPr>
        <w:t>供应商</w:t>
      </w:r>
      <w:r>
        <w:rPr>
          <w:rFonts w:ascii="Arial" w:hAnsi="Arial" w:cs="Arial"/>
          <w:color w:val="auto"/>
          <w:sz w:val="24"/>
          <w:highlight w:val="none"/>
        </w:rPr>
        <w:t>委托同一单位或者个人办理投标事宜</w:t>
      </w:r>
      <w:r>
        <w:rPr>
          <w:rFonts w:hint="eastAsia" w:ascii="宋体" w:hAnsi="宋体" w:cs="宋体"/>
          <w:color w:val="auto"/>
          <w:sz w:val="24"/>
          <w:highlight w:val="none"/>
        </w:rPr>
        <w:t>；</w:t>
      </w:r>
    </w:p>
    <w:p>
      <w:pPr>
        <w:spacing w:before="120" w:line="360" w:lineRule="auto"/>
        <w:ind w:left="981" w:leftChars="467"/>
        <w:rPr>
          <w:rFonts w:ascii="宋体" w:hAnsi="宋体" w:cs="宋体"/>
          <w:color w:val="auto"/>
          <w:sz w:val="24"/>
          <w:highlight w:val="none"/>
        </w:rPr>
      </w:pPr>
      <w:r>
        <w:rPr>
          <w:rFonts w:hint="eastAsia" w:ascii="宋体" w:hAnsi="宋体" w:cs="宋体"/>
          <w:color w:val="auto"/>
          <w:sz w:val="24"/>
          <w:highlight w:val="none"/>
        </w:rPr>
        <w:t>（3）</w:t>
      </w:r>
      <w:r>
        <w:rPr>
          <w:rFonts w:ascii="Arial" w:hAnsi="Arial" w:cs="Arial"/>
          <w:color w:val="auto"/>
          <w:sz w:val="24"/>
          <w:highlight w:val="none"/>
        </w:rPr>
        <w:t>不同</w:t>
      </w:r>
      <w:r>
        <w:rPr>
          <w:rFonts w:hint="eastAsia" w:ascii="Arial" w:hAnsi="Arial" w:cs="Arial"/>
          <w:color w:val="auto"/>
          <w:sz w:val="24"/>
          <w:highlight w:val="none"/>
        </w:rPr>
        <w:t>供应商</w:t>
      </w:r>
      <w:r>
        <w:rPr>
          <w:rFonts w:ascii="Arial" w:hAnsi="Arial" w:cs="Arial"/>
          <w:color w:val="auto"/>
          <w:sz w:val="24"/>
          <w:highlight w:val="none"/>
        </w:rPr>
        <w:t>的投标文件载明的项目管理成员或者联系人员为同一人</w:t>
      </w:r>
      <w:r>
        <w:rPr>
          <w:rFonts w:hint="eastAsia" w:ascii="宋体" w:hAnsi="宋体" w:cs="宋体"/>
          <w:color w:val="auto"/>
          <w:sz w:val="24"/>
          <w:highlight w:val="none"/>
        </w:rPr>
        <w:t>；</w:t>
      </w:r>
    </w:p>
    <w:p>
      <w:pPr>
        <w:spacing w:before="120" w:line="360" w:lineRule="auto"/>
        <w:ind w:left="1581" w:leftChars="467" w:hanging="600" w:hangingChars="250"/>
        <w:rPr>
          <w:rFonts w:ascii="宋体" w:hAnsi="宋体" w:cs="宋体"/>
          <w:color w:val="auto"/>
          <w:sz w:val="24"/>
          <w:highlight w:val="none"/>
        </w:rPr>
      </w:pPr>
      <w:r>
        <w:rPr>
          <w:rFonts w:hint="eastAsia" w:ascii="宋体" w:hAnsi="宋体" w:cs="宋体"/>
          <w:color w:val="auto"/>
          <w:sz w:val="24"/>
          <w:highlight w:val="none"/>
        </w:rPr>
        <w:t>（4）</w:t>
      </w:r>
      <w:r>
        <w:rPr>
          <w:rFonts w:ascii="Arial" w:hAnsi="Arial" w:cs="Arial"/>
          <w:color w:val="auto"/>
          <w:sz w:val="24"/>
          <w:highlight w:val="none"/>
        </w:rPr>
        <w:t>不同</w:t>
      </w:r>
      <w:r>
        <w:rPr>
          <w:rFonts w:hint="eastAsia" w:ascii="Arial" w:hAnsi="Arial" w:cs="Arial"/>
          <w:color w:val="auto"/>
          <w:sz w:val="24"/>
          <w:highlight w:val="none"/>
        </w:rPr>
        <w:t>供应商</w:t>
      </w:r>
      <w:r>
        <w:rPr>
          <w:rFonts w:ascii="Arial" w:hAnsi="Arial" w:cs="Arial"/>
          <w:color w:val="auto"/>
          <w:sz w:val="24"/>
          <w:highlight w:val="none"/>
        </w:rPr>
        <w:t>的投标文件异常一致或者投标报价呈规律性差异</w:t>
      </w:r>
      <w:r>
        <w:rPr>
          <w:rFonts w:hint="eastAsia" w:ascii="宋体" w:hAnsi="宋体" w:cs="宋体"/>
          <w:color w:val="auto"/>
          <w:sz w:val="24"/>
          <w:highlight w:val="none"/>
        </w:rPr>
        <w:t>；</w:t>
      </w:r>
    </w:p>
    <w:p>
      <w:pPr>
        <w:spacing w:before="120" w:line="360" w:lineRule="auto"/>
        <w:ind w:firstLine="960" w:firstLineChars="400"/>
        <w:rPr>
          <w:rFonts w:ascii="宋体" w:hAnsi="宋体" w:cs="宋体"/>
          <w:color w:val="auto"/>
          <w:sz w:val="24"/>
          <w:highlight w:val="none"/>
        </w:rPr>
      </w:pPr>
      <w:r>
        <w:rPr>
          <w:rFonts w:hint="eastAsia" w:ascii="宋体" w:hAnsi="宋体" w:cs="宋体"/>
          <w:color w:val="auto"/>
          <w:sz w:val="24"/>
          <w:highlight w:val="none"/>
        </w:rPr>
        <w:t>（5）</w:t>
      </w:r>
      <w:r>
        <w:rPr>
          <w:rFonts w:ascii="Arial" w:hAnsi="Arial" w:cs="Arial"/>
          <w:color w:val="auto"/>
          <w:sz w:val="24"/>
          <w:highlight w:val="none"/>
        </w:rPr>
        <w:t>不同</w:t>
      </w:r>
      <w:r>
        <w:rPr>
          <w:rFonts w:hint="eastAsia" w:ascii="Arial" w:hAnsi="Arial" w:cs="Arial"/>
          <w:color w:val="auto"/>
          <w:sz w:val="24"/>
          <w:highlight w:val="none"/>
        </w:rPr>
        <w:t>供应商</w:t>
      </w:r>
      <w:r>
        <w:rPr>
          <w:rFonts w:ascii="Arial" w:hAnsi="Arial" w:cs="Arial"/>
          <w:color w:val="auto"/>
          <w:sz w:val="24"/>
          <w:highlight w:val="none"/>
        </w:rPr>
        <w:t>的投标文件相互混装</w:t>
      </w:r>
      <w:r>
        <w:rPr>
          <w:rFonts w:hint="eastAsia" w:ascii="宋体" w:hAnsi="宋体" w:cs="宋体"/>
          <w:color w:val="auto"/>
          <w:sz w:val="24"/>
          <w:highlight w:val="none"/>
        </w:rPr>
        <w:t>；</w:t>
      </w:r>
    </w:p>
    <w:p>
      <w:pPr>
        <w:spacing w:before="120" w:line="360" w:lineRule="auto"/>
        <w:rPr>
          <w:rFonts w:ascii="宋体" w:hAnsi="宋体" w:cs="宋体"/>
          <w:color w:val="auto"/>
          <w:sz w:val="24"/>
          <w:highlight w:val="none"/>
        </w:rPr>
      </w:pPr>
      <w:r>
        <w:rPr>
          <w:rFonts w:hint="eastAsia" w:ascii="宋体" w:hAnsi="宋体" w:cs="宋体"/>
          <w:color w:val="auto"/>
          <w:sz w:val="24"/>
          <w:highlight w:val="none"/>
        </w:rPr>
        <w:t xml:space="preserve">        （6）</w:t>
      </w:r>
      <w:r>
        <w:rPr>
          <w:rFonts w:ascii="Arial" w:hAnsi="Arial" w:cs="Arial"/>
          <w:color w:val="auto"/>
          <w:sz w:val="24"/>
          <w:highlight w:val="none"/>
        </w:rPr>
        <w:t>不同</w:t>
      </w:r>
      <w:r>
        <w:rPr>
          <w:rFonts w:hint="eastAsia" w:ascii="Arial" w:hAnsi="Arial" w:cs="Arial"/>
          <w:color w:val="auto"/>
          <w:sz w:val="24"/>
          <w:highlight w:val="none"/>
        </w:rPr>
        <w:t>供应商</w:t>
      </w:r>
      <w:r>
        <w:rPr>
          <w:rFonts w:ascii="Arial" w:hAnsi="Arial" w:cs="Arial"/>
          <w:color w:val="auto"/>
          <w:sz w:val="24"/>
          <w:highlight w:val="none"/>
        </w:rPr>
        <w:t>的投标保证金从同一单位或者个人的账户转出</w:t>
      </w:r>
      <w:r>
        <w:rPr>
          <w:rFonts w:hint="eastAsia" w:ascii="宋体" w:hAnsi="宋体" w:cs="宋体"/>
          <w:color w:val="auto"/>
          <w:sz w:val="24"/>
          <w:highlight w:val="none"/>
        </w:rPr>
        <w:t>。</w:t>
      </w:r>
    </w:p>
    <w:p>
      <w:pPr>
        <w:spacing w:before="360" w:after="240" w:line="360" w:lineRule="auto"/>
        <w:outlineLvl w:val="2"/>
        <w:rPr>
          <w:rFonts w:ascii="宋体" w:hAnsi="宋体" w:cs="宋体"/>
          <w:b/>
          <w:bCs/>
          <w:color w:val="auto"/>
          <w:sz w:val="24"/>
          <w:highlight w:val="none"/>
        </w:rPr>
      </w:pPr>
      <w:bookmarkStart w:id="143" w:name="_Toc332807991"/>
      <w:bookmarkStart w:id="144" w:name="_Toc13007"/>
      <w:bookmarkStart w:id="145" w:name="_Toc18554"/>
      <w:r>
        <w:rPr>
          <w:rFonts w:hint="eastAsia" w:ascii="宋体" w:hAnsi="宋体" w:cs="宋体"/>
          <w:b/>
          <w:bCs/>
          <w:color w:val="auto"/>
          <w:sz w:val="24"/>
          <w:highlight w:val="none"/>
        </w:rPr>
        <w:t>21.比较与评价</w:t>
      </w:r>
      <w:bookmarkEnd w:id="143"/>
      <w:bookmarkEnd w:id="144"/>
      <w:bookmarkEnd w:id="145"/>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21.1</w:t>
      </w:r>
      <w:r>
        <w:rPr>
          <w:rFonts w:hint="eastAsia" w:ascii="宋体" w:hAnsi="宋体" w:cs="宋体"/>
          <w:color w:val="auto"/>
          <w:sz w:val="24"/>
          <w:highlight w:val="none"/>
        </w:rPr>
        <w:tab/>
      </w:r>
      <w:r>
        <w:rPr>
          <w:rFonts w:hint="eastAsia" w:ascii="宋体" w:hAnsi="宋体" w:cs="宋体"/>
          <w:color w:val="auto"/>
          <w:sz w:val="24"/>
          <w:highlight w:val="none"/>
        </w:rPr>
        <w:t>评标委员会根据招标文件确定的评标标准和方法，对初审合格的投标文件技术部分和商务部分作进一步的比较和评价。</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21.2</w:t>
      </w:r>
      <w:r>
        <w:rPr>
          <w:rFonts w:hint="eastAsia" w:ascii="宋体" w:hAnsi="宋体" w:cs="宋体"/>
          <w:color w:val="auto"/>
          <w:sz w:val="24"/>
          <w:highlight w:val="none"/>
        </w:rPr>
        <w:tab/>
      </w:r>
      <w:r>
        <w:rPr>
          <w:rFonts w:hint="eastAsia" w:ascii="宋体" w:hAnsi="宋体" w:cs="宋体"/>
          <w:color w:val="auto"/>
          <w:sz w:val="24"/>
          <w:highlight w:val="none"/>
        </w:rPr>
        <w:t>根据实际情况，在《供应商须知资料表》中规定采用下列一种评标方法，详细评标标准见招标文件第九章：</w:t>
      </w:r>
    </w:p>
    <w:p>
      <w:pPr>
        <w:pStyle w:val="11"/>
        <w:spacing w:before="120" w:line="360" w:lineRule="auto"/>
        <w:ind w:left="1081" w:leftChars="486" w:hanging="60" w:hangingChars="25"/>
        <w:rPr>
          <w:rFonts w:hAnsi="宋体" w:cs="宋体"/>
          <w:color w:val="auto"/>
          <w:sz w:val="24"/>
          <w:szCs w:val="24"/>
          <w:highlight w:val="none"/>
        </w:rPr>
      </w:pPr>
      <w:r>
        <w:rPr>
          <w:rFonts w:hint="eastAsia" w:hAnsi="宋体" w:cs="宋体"/>
          <w:color w:val="auto"/>
          <w:sz w:val="24"/>
          <w:szCs w:val="24"/>
          <w:highlight w:val="none"/>
        </w:rPr>
        <w:t>（1）最低评标价法。是指投标文件满足招标文件全部实质性要求且投标报价最低的供应商为中标候选人的评标方法。</w:t>
      </w:r>
    </w:p>
    <w:p>
      <w:pPr>
        <w:pStyle w:val="11"/>
        <w:spacing w:before="120" w:line="360" w:lineRule="auto"/>
        <w:ind w:left="1077" w:leftChars="513" w:firstLine="1"/>
        <w:rPr>
          <w:rFonts w:hAnsi="宋体" w:cs="宋体"/>
          <w:color w:val="auto"/>
          <w:sz w:val="24"/>
          <w:szCs w:val="24"/>
          <w:highlight w:val="none"/>
        </w:rPr>
      </w:pPr>
      <w:r>
        <w:rPr>
          <w:rFonts w:hint="eastAsia" w:hAnsi="宋体" w:cs="宋体"/>
          <w:color w:val="auto"/>
          <w:sz w:val="24"/>
          <w:szCs w:val="24"/>
          <w:highlight w:val="none"/>
        </w:rPr>
        <w:t>（2）综合评分法。是指投标文件满足招标文件全部实质性要求且按照评审因素的量化指标评审得分最高的供应商为中标候选人的评标方法。</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21.3       废标</w:t>
      </w:r>
    </w:p>
    <w:p>
      <w:pPr>
        <w:spacing w:before="120" w:line="360" w:lineRule="auto"/>
        <w:ind w:left="1200" w:hanging="1200" w:hangingChars="500"/>
        <w:rPr>
          <w:rFonts w:ascii="宋体" w:hAnsi="宋体" w:cs="宋体"/>
          <w:color w:val="auto"/>
          <w:sz w:val="24"/>
          <w:highlight w:val="none"/>
        </w:rPr>
      </w:pPr>
      <w:r>
        <w:rPr>
          <w:rFonts w:hint="eastAsia" w:ascii="宋体" w:hAnsi="宋体" w:cs="宋体"/>
          <w:color w:val="auto"/>
          <w:sz w:val="24"/>
          <w:highlight w:val="none"/>
        </w:rPr>
        <w:t xml:space="preserve">21.3.1    出现下列情形之一，将导致项目废标即本项目的所有投标按照无效投标处理： </w:t>
      </w:r>
    </w:p>
    <w:p>
      <w:pPr>
        <w:spacing w:before="120" w:line="360" w:lineRule="auto"/>
        <w:ind w:left="1557" w:leftChars="513" w:hanging="480" w:hangingChars="200"/>
        <w:rPr>
          <w:rFonts w:ascii="宋体" w:hAnsi="宋体" w:cs="宋体"/>
          <w:color w:val="auto"/>
          <w:sz w:val="24"/>
          <w:highlight w:val="none"/>
        </w:rPr>
      </w:pPr>
      <w:r>
        <w:rPr>
          <w:rFonts w:hint="eastAsia" w:ascii="宋体" w:hAnsi="宋体" w:cs="宋体"/>
          <w:color w:val="auto"/>
          <w:sz w:val="24"/>
          <w:highlight w:val="none"/>
        </w:rPr>
        <w:t>（1）符合专业条件的供应商或者对招标文件做实质性响应的供应商不足三家；</w:t>
      </w:r>
    </w:p>
    <w:p>
      <w:pPr>
        <w:spacing w:before="120" w:line="360" w:lineRule="auto"/>
        <w:ind w:left="1077" w:leftChars="513"/>
        <w:rPr>
          <w:rFonts w:ascii="宋体" w:hAnsi="宋体" w:cs="宋体"/>
          <w:color w:val="auto"/>
          <w:sz w:val="24"/>
          <w:highlight w:val="none"/>
        </w:rPr>
      </w:pPr>
      <w:r>
        <w:rPr>
          <w:rFonts w:hint="eastAsia" w:ascii="宋体" w:hAnsi="宋体" w:cs="宋体"/>
          <w:color w:val="auto"/>
          <w:sz w:val="24"/>
          <w:highlight w:val="none"/>
        </w:rPr>
        <w:t>（2）出现影响采购公正的违法、违规行为的；</w:t>
      </w:r>
    </w:p>
    <w:p>
      <w:pPr>
        <w:spacing w:before="120" w:line="360" w:lineRule="auto"/>
        <w:ind w:left="1077" w:leftChars="513"/>
        <w:rPr>
          <w:rFonts w:ascii="宋体" w:hAnsi="宋体" w:cs="宋体"/>
          <w:color w:val="auto"/>
          <w:sz w:val="24"/>
          <w:highlight w:val="none"/>
        </w:rPr>
      </w:pPr>
      <w:r>
        <w:rPr>
          <w:rFonts w:hint="eastAsia" w:ascii="宋体" w:hAnsi="宋体" w:cs="宋体"/>
          <w:color w:val="auto"/>
          <w:sz w:val="24"/>
          <w:highlight w:val="none"/>
        </w:rPr>
        <w:t>（3）供应商的报价均超过了采购预算，采购人不能支付的；</w:t>
      </w:r>
    </w:p>
    <w:p>
      <w:pPr>
        <w:spacing w:before="120" w:line="360" w:lineRule="auto"/>
        <w:ind w:firstLine="1080" w:firstLineChars="450"/>
        <w:rPr>
          <w:rFonts w:ascii="宋体" w:hAnsi="宋体" w:cs="宋体"/>
          <w:color w:val="auto"/>
          <w:sz w:val="24"/>
          <w:highlight w:val="none"/>
        </w:rPr>
      </w:pPr>
      <w:r>
        <w:rPr>
          <w:rFonts w:hint="eastAsia" w:ascii="宋体" w:hAnsi="宋体" w:cs="宋体"/>
          <w:color w:val="auto"/>
          <w:sz w:val="24"/>
          <w:highlight w:val="none"/>
        </w:rPr>
        <w:t xml:space="preserve">（4）因重大变故，采购任务取消的。   </w:t>
      </w:r>
    </w:p>
    <w:p>
      <w:pPr>
        <w:spacing w:before="120" w:line="360" w:lineRule="auto"/>
        <w:ind w:left="1080" w:hanging="1080"/>
        <w:rPr>
          <w:rFonts w:ascii="宋体" w:hAnsi="宋体" w:cs="宋体"/>
          <w:color w:val="auto"/>
          <w:sz w:val="28"/>
          <w:highlight w:val="none"/>
        </w:rPr>
      </w:pPr>
      <w:r>
        <w:rPr>
          <w:rFonts w:hint="eastAsia" w:ascii="宋体" w:hAnsi="宋体" w:cs="宋体"/>
          <w:color w:val="auto"/>
          <w:sz w:val="24"/>
          <w:highlight w:val="none"/>
        </w:rPr>
        <w:t>21.3.2     废标后，采购人应当将废标理由通知所有供应商。</w:t>
      </w:r>
    </w:p>
    <w:p>
      <w:pPr>
        <w:spacing w:before="360" w:after="240" w:line="360" w:lineRule="auto"/>
        <w:outlineLvl w:val="2"/>
        <w:rPr>
          <w:rFonts w:ascii="宋体" w:hAnsi="宋体" w:cs="宋体"/>
          <w:b/>
          <w:color w:val="auto"/>
          <w:kern w:val="0"/>
          <w:sz w:val="24"/>
          <w:highlight w:val="none"/>
        </w:rPr>
      </w:pPr>
      <w:bookmarkStart w:id="146" w:name="_Toc332807992"/>
      <w:bookmarkStart w:id="147" w:name="_Toc26138"/>
      <w:bookmarkStart w:id="148" w:name="_Toc11905"/>
      <w:r>
        <w:rPr>
          <w:rFonts w:hint="eastAsia" w:ascii="宋体" w:hAnsi="宋体" w:cs="宋体"/>
          <w:b/>
          <w:color w:val="auto"/>
          <w:kern w:val="0"/>
          <w:sz w:val="24"/>
          <w:highlight w:val="none"/>
        </w:rPr>
        <w:t>22</w:t>
      </w:r>
      <w:r>
        <w:rPr>
          <w:rFonts w:hint="eastAsia" w:ascii="宋体" w:hAnsi="宋体" w:cs="宋体"/>
          <w:b/>
          <w:bCs/>
          <w:color w:val="auto"/>
          <w:sz w:val="24"/>
          <w:highlight w:val="none"/>
        </w:rPr>
        <w:t>.</w:t>
      </w:r>
      <w:r>
        <w:rPr>
          <w:rFonts w:hint="eastAsia" w:ascii="宋体" w:hAnsi="宋体" w:cs="宋体"/>
          <w:b/>
          <w:color w:val="auto"/>
          <w:kern w:val="0"/>
          <w:sz w:val="24"/>
          <w:highlight w:val="none"/>
        </w:rPr>
        <w:t>评标过程及保密原则</w:t>
      </w:r>
      <w:bookmarkEnd w:id="146"/>
      <w:bookmarkEnd w:id="147"/>
      <w:bookmarkEnd w:id="148"/>
    </w:p>
    <w:p>
      <w:pPr>
        <w:spacing w:before="120" w:line="360" w:lineRule="auto"/>
        <w:ind w:left="1320" w:hanging="1320" w:hangingChars="550"/>
        <w:rPr>
          <w:rFonts w:ascii="宋体" w:hAnsi="宋体" w:cs="宋体"/>
          <w:color w:val="auto"/>
          <w:sz w:val="24"/>
          <w:highlight w:val="none"/>
        </w:rPr>
      </w:pPr>
      <w:r>
        <w:rPr>
          <w:rFonts w:hint="eastAsia" w:ascii="宋体" w:hAnsi="宋体" w:cs="宋体"/>
          <w:color w:val="auto"/>
          <w:sz w:val="24"/>
          <w:highlight w:val="none"/>
        </w:rPr>
        <w:t>22.1       开标之后，至采购人与中标供应商签订合同止，凡与本次采购有关人员对属于审查、澄清、评价和比较投标的有关资料以及授标意向等，均不得向供应商或者其他人员透露。</w:t>
      </w:r>
    </w:p>
    <w:p>
      <w:pPr>
        <w:spacing w:before="120" w:line="360" w:lineRule="auto"/>
        <w:ind w:left="1320" w:hanging="1320" w:hangingChars="550"/>
        <w:rPr>
          <w:rFonts w:ascii="宋体" w:hAnsi="宋体" w:cs="宋体"/>
          <w:color w:val="auto"/>
          <w:sz w:val="24"/>
          <w:highlight w:val="none"/>
        </w:rPr>
      </w:pPr>
      <w:r>
        <w:rPr>
          <w:rFonts w:hint="eastAsia" w:ascii="宋体" w:hAnsi="宋体" w:cs="宋体"/>
          <w:color w:val="auto"/>
          <w:sz w:val="24"/>
          <w:highlight w:val="none"/>
        </w:rPr>
        <w:t>22.2       在评标期间，供应商试图影响招标采购单位和评标委员会任何活动的，其投标属于无效投标情形，并承担相应的法律责任。</w:t>
      </w:r>
    </w:p>
    <w:p>
      <w:pPr>
        <w:spacing w:before="120" w:line="360" w:lineRule="auto"/>
        <w:jc w:val="center"/>
        <w:outlineLvl w:val="1"/>
        <w:rPr>
          <w:rFonts w:ascii="宋体" w:hAnsi="宋体" w:cs="宋体"/>
          <w:b/>
          <w:color w:val="auto"/>
          <w:sz w:val="28"/>
          <w:szCs w:val="28"/>
          <w:highlight w:val="none"/>
        </w:rPr>
      </w:pPr>
      <w:bookmarkStart w:id="149" w:name="_Toc9873"/>
      <w:bookmarkStart w:id="150" w:name="_Toc24940"/>
      <w:bookmarkStart w:id="151" w:name="_Toc332807993"/>
      <w:r>
        <w:rPr>
          <w:rFonts w:hint="eastAsia" w:ascii="宋体" w:hAnsi="宋体" w:cs="宋体"/>
          <w:b/>
          <w:color w:val="auto"/>
          <w:sz w:val="28"/>
          <w:szCs w:val="28"/>
          <w:highlight w:val="none"/>
        </w:rPr>
        <w:t>六 确定中标</w:t>
      </w:r>
      <w:bookmarkEnd w:id="149"/>
      <w:bookmarkEnd w:id="150"/>
      <w:bookmarkEnd w:id="151"/>
    </w:p>
    <w:p>
      <w:pPr>
        <w:spacing w:before="360" w:after="240" w:line="360" w:lineRule="auto"/>
        <w:outlineLvl w:val="2"/>
        <w:rPr>
          <w:rFonts w:ascii="宋体" w:hAnsi="宋体" w:cs="宋体"/>
          <w:b/>
          <w:color w:val="auto"/>
          <w:kern w:val="0"/>
          <w:sz w:val="24"/>
          <w:highlight w:val="none"/>
        </w:rPr>
      </w:pPr>
      <w:bookmarkStart w:id="152" w:name="_Toc30231"/>
      <w:bookmarkStart w:id="153" w:name="_Toc332807994"/>
      <w:bookmarkStart w:id="154" w:name="_Toc24983"/>
      <w:r>
        <w:rPr>
          <w:rFonts w:hint="eastAsia" w:ascii="宋体" w:hAnsi="宋体" w:cs="宋体"/>
          <w:b/>
          <w:color w:val="auto"/>
          <w:kern w:val="0"/>
          <w:sz w:val="24"/>
          <w:highlight w:val="none"/>
        </w:rPr>
        <w:t>23</w:t>
      </w:r>
      <w:r>
        <w:rPr>
          <w:rFonts w:hint="eastAsia" w:ascii="宋体" w:hAnsi="宋体" w:cs="宋体"/>
          <w:b/>
          <w:bCs/>
          <w:color w:val="auto"/>
          <w:sz w:val="24"/>
          <w:highlight w:val="none"/>
        </w:rPr>
        <w:t>.</w:t>
      </w:r>
      <w:r>
        <w:rPr>
          <w:rFonts w:hint="eastAsia" w:ascii="宋体" w:hAnsi="宋体" w:cs="宋体"/>
          <w:b/>
          <w:color w:val="auto"/>
          <w:kern w:val="0"/>
          <w:sz w:val="24"/>
          <w:highlight w:val="none"/>
        </w:rPr>
        <w:t>中标候选供应商的确定原则及标准</w:t>
      </w:r>
      <w:bookmarkEnd w:id="152"/>
      <w:bookmarkEnd w:id="153"/>
      <w:bookmarkEnd w:id="154"/>
    </w:p>
    <w:p>
      <w:pPr>
        <w:spacing w:before="120" w:line="360" w:lineRule="auto"/>
        <w:ind w:left="1320" w:hanging="1320" w:hangingChars="550"/>
        <w:rPr>
          <w:rFonts w:ascii="宋体" w:hAnsi="宋体" w:cs="宋体"/>
          <w:color w:val="auto"/>
          <w:sz w:val="24"/>
          <w:highlight w:val="none"/>
        </w:rPr>
      </w:pPr>
      <w:r>
        <w:rPr>
          <w:rFonts w:hint="eastAsia" w:ascii="宋体" w:hAnsi="宋体" w:cs="宋体"/>
          <w:color w:val="auto"/>
          <w:sz w:val="24"/>
          <w:highlight w:val="none"/>
        </w:rPr>
        <w:t>23.1</w:t>
      </w:r>
      <w:r>
        <w:rPr>
          <w:rFonts w:hint="eastAsia" w:ascii="宋体" w:hAnsi="宋体" w:cs="宋体"/>
          <w:color w:val="auto"/>
          <w:sz w:val="24"/>
          <w:highlight w:val="none"/>
        </w:rPr>
        <w:tab/>
      </w:r>
      <w:r>
        <w:rPr>
          <w:rFonts w:hint="eastAsia" w:ascii="宋体" w:hAnsi="宋体" w:cs="宋体"/>
          <w:color w:val="auto"/>
          <w:sz w:val="24"/>
          <w:highlight w:val="none"/>
        </w:rPr>
        <w:t>除本须知第25条规定外，被确定实质上响应招标文件的供应商且满足下列条件之一者为中标候选供应商。</w:t>
      </w:r>
    </w:p>
    <w:p>
      <w:pPr>
        <w:widowControl/>
        <w:spacing w:before="120" w:line="360" w:lineRule="auto"/>
        <w:ind w:left="1619" w:leftChars="514" w:hanging="540" w:hangingChars="225"/>
        <w:rPr>
          <w:rFonts w:ascii="宋体" w:hAnsi="宋体" w:cs="宋体"/>
          <w:color w:val="auto"/>
          <w:sz w:val="24"/>
          <w:highlight w:val="none"/>
        </w:rPr>
      </w:pPr>
      <w:bookmarkStart w:id="155" w:name="_Toc332807995"/>
      <w:r>
        <w:rPr>
          <w:rFonts w:hint="eastAsia" w:ascii="宋体" w:hAnsi="宋体" w:cs="宋体"/>
          <w:color w:val="auto"/>
          <w:sz w:val="24"/>
          <w:highlight w:val="none"/>
        </w:rPr>
        <w:t>（1）如果采用最低评标价法，评标结果按投标报价由低到高顺序排列。投标报价相同的并列。</w:t>
      </w:r>
    </w:p>
    <w:p>
      <w:pPr>
        <w:widowControl/>
        <w:spacing w:before="120" w:line="360" w:lineRule="auto"/>
        <w:ind w:left="1616" w:leftChars="514" w:hanging="537" w:hangingChars="224"/>
        <w:rPr>
          <w:rFonts w:ascii="宋体" w:hAnsi="宋体" w:cs="宋体"/>
          <w:color w:val="auto"/>
          <w:sz w:val="24"/>
          <w:highlight w:val="none"/>
        </w:rPr>
      </w:pPr>
      <w:r>
        <w:rPr>
          <w:rFonts w:hint="eastAsia" w:ascii="宋体" w:hAnsi="宋体" w:cs="宋体"/>
          <w:color w:val="auto"/>
          <w:sz w:val="24"/>
          <w:highlight w:val="none"/>
        </w:rPr>
        <w:t>（2）采用综合评分法的，评标结果按评审后得分由高到低顺序排列。得分相同的，按投标报价由低到高顺序排列。得分且投标报价相同的并列。</w:t>
      </w:r>
    </w:p>
    <w:p>
      <w:pPr>
        <w:spacing w:before="360" w:after="240" w:line="360" w:lineRule="auto"/>
        <w:outlineLvl w:val="2"/>
        <w:rPr>
          <w:rFonts w:ascii="宋体" w:hAnsi="宋体" w:cs="宋体"/>
          <w:b/>
          <w:color w:val="auto"/>
          <w:kern w:val="0"/>
          <w:sz w:val="24"/>
          <w:highlight w:val="none"/>
        </w:rPr>
      </w:pPr>
      <w:bookmarkStart w:id="156" w:name="_Toc4480"/>
      <w:bookmarkStart w:id="157" w:name="_Toc8693"/>
      <w:r>
        <w:rPr>
          <w:rFonts w:hint="eastAsia" w:ascii="宋体" w:hAnsi="宋体" w:cs="宋体"/>
          <w:b/>
          <w:color w:val="auto"/>
          <w:kern w:val="0"/>
          <w:sz w:val="24"/>
          <w:highlight w:val="none"/>
        </w:rPr>
        <w:t>24</w:t>
      </w:r>
      <w:r>
        <w:rPr>
          <w:rFonts w:hint="eastAsia" w:ascii="宋体" w:hAnsi="宋体" w:cs="宋体"/>
          <w:b/>
          <w:bCs/>
          <w:color w:val="auto"/>
          <w:sz w:val="24"/>
          <w:highlight w:val="none"/>
        </w:rPr>
        <w:t>.</w:t>
      </w:r>
      <w:r>
        <w:rPr>
          <w:rFonts w:hint="eastAsia" w:ascii="宋体" w:hAnsi="宋体" w:cs="宋体"/>
          <w:b/>
          <w:color w:val="auto"/>
          <w:kern w:val="0"/>
          <w:sz w:val="24"/>
          <w:highlight w:val="none"/>
        </w:rPr>
        <w:t>确定中标供应商</w:t>
      </w:r>
      <w:bookmarkEnd w:id="155"/>
      <w:bookmarkEnd w:id="156"/>
      <w:bookmarkEnd w:id="157"/>
    </w:p>
    <w:p>
      <w:pPr>
        <w:spacing w:before="120" w:line="360" w:lineRule="auto"/>
        <w:rPr>
          <w:rFonts w:ascii="宋体" w:hAnsi="宋体" w:cs="宋体"/>
          <w:color w:val="auto"/>
          <w:sz w:val="24"/>
          <w:highlight w:val="none"/>
        </w:rPr>
      </w:pPr>
      <w:r>
        <w:rPr>
          <w:rFonts w:hint="eastAsia" w:ascii="宋体" w:hAnsi="宋体" w:cs="宋体"/>
          <w:color w:val="auto"/>
          <w:sz w:val="24"/>
          <w:highlight w:val="none"/>
        </w:rPr>
        <w:t>24.1     评标委员会将根据评标办法推荐中标候选供应商名单。</w:t>
      </w:r>
    </w:p>
    <w:p>
      <w:pPr>
        <w:pStyle w:val="7"/>
        <w:spacing w:before="120" w:line="360" w:lineRule="auto"/>
        <w:ind w:left="1080" w:hanging="1080" w:hangingChars="450"/>
        <w:rPr>
          <w:color w:val="auto"/>
          <w:highlight w:val="none"/>
          <w:bdr w:val="single" w:color="auto" w:sz="4" w:space="0"/>
        </w:rPr>
      </w:pPr>
      <w:bookmarkStart w:id="158" w:name="_Toc332807996"/>
      <w:r>
        <w:rPr>
          <w:rFonts w:hint="eastAsia" w:ascii="宋体" w:hAnsi="宋体" w:cs="宋体"/>
          <w:color w:val="auto"/>
          <w:highlight w:val="none"/>
        </w:rPr>
        <w:t>24.2     采购代理机构在评审结束后2个工作日内将评标报告送采购人，采购人应当自收到评标报告之日起5个工作日内，在评标报告确定的中标候选人名单中按顺序确定中标人。中标候选人并列的，由采购人或者采购人委托评标委员会按照招标文件规定的方式确定中标人；招标文件未规定的，采取随机抽取的方式确定。</w:t>
      </w:r>
    </w:p>
    <w:p>
      <w:pPr>
        <w:spacing w:before="360" w:after="240" w:line="360" w:lineRule="auto"/>
        <w:outlineLvl w:val="2"/>
        <w:rPr>
          <w:rFonts w:ascii="宋体" w:hAnsi="宋体" w:cs="宋体"/>
          <w:b/>
          <w:color w:val="auto"/>
          <w:sz w:val="24"/>
          <w:highlight w:val="none"/>
        </w:rPr>
      </w:pPr>
      <w:bookmarkStart w:id="159" w:name="_Toc19959"/>
      <w:bookmarkStart w:id="160" w:name="_Toc6262"/>
      <w:r>
        <w:rPr>
          <w:rFonts w:hint="eastAsia" w:ascii="宋体" w:hAnsi="宋体" w:cs="宋体"/>
          <w:b/>
          <w:color w:val="auto"/>
          <w:sz w:val="24"/>
          <w:highlight w:val="none"/>
        </w:rPr>
        <w:t>25</w:t>
      </w:r>
      <w:r>
        <w:rPr>
          <w:rFonts w:hint="eastAsia" w:ascii="宋体" w:hAnsi="宋体" w:cs="宋体"/>
          <w:b/>
          <w:bCs/>
          <w:color w:val="auto"/>
          <w:sz w:val="24"/>
          <w:highlight w:val="none"/>
        </w:rPr>
        <w:t>.</w:t>
      </w:r>
      <w:r>
        <w:rPr>
          <w:rFonts w:hint="eastAsia" w:ascii="宋体" w:hAnsi="宋体" w:cs="宋体"/>
          <w:b/>
          <w:color w:val="auto"/>
          <w:sz w:val="24"/>
          <w:highlight w:val="none"/>
        </w:rPr>
        <w:t>接受或拒绝投标的权利</w:t>
      </w:r>
      <w:bookmarkEnd w:id="158"/>
      <w:bookmarkEnd w:id="159"/>
      <w:bookmarkEnd w:id="160"/>
    </w:p>
    <w:p>
      <w:pPr>
        <w:spacing w:before="120" w:line="360" w:lineRule="auto"/>
        <w:ind w:left="1200" w:hanging="1200" w:hangingChars="500"/>
        <w:rPr>
          <w:rFonts w:ascii="宋体" w:hAnsi="宋体" w:cs="宋体"/>
          <w:color w:val="auto"/>
          <w:sz w:val="24"/>
          <w:highlight w:val="none"/>
        </w:rPr>
      </w:pPr>
      <w:r>
        <w:rPr>
          <w:rFonts w:hint="eastAsia" w:ascii="宋体" w:hAnsi="宋体" w:cs="宋体"/>
          <w:color w:val="auto"/>
          <w:sz w:val="24"/>
          <w:highlight w:val="none"/>
        </w:rPr>
        <w:t>25.1</w:t>
      </w:r>
      <w:r>
        <w:rPr>
          <w:rFonts w:hint="eastAsia" w:ascii="宋体" w:hAnsi="宋体" w:cs="宋体"/>
          <w:color w:val="auto"/>
          <w:sz w:val="24"/>
          <w:highlight w:val="none"/>
        </w:rPr>
        <w:tab/>
      </w:r>
      <w:r>
        <w:rPr>
          <w:rFonts w:hint="eastAsia" w:ascii="宋体" w:hAnsi="宋体" w:cs="宋体"/>
          <w:color w:val="auto"/>
          <w:sz w:val="24"/>
          <w:highlight w:val="none"/>
        </w:rPr>
        <w:t>为维护国家和社会公共利益，或出现不可抗力的情形，采购人将根据国家有关法律法规，在授标之前保留接受或拒绝供应商中标的权利。</w:t>
      </w:r>
    </w:p>
    <w:p>
      <w:pPr>
        <w:spacing w:before="360" w:after="240" w:line="360" w:lineRule="auto"/>
        <w:outlineLvl w:val="2"/>
        <w:rPr>
          <w:rFonts w:ascii="宋体" w:hAnsi="宋体" w:cs="宋体"/>
          <w:b/>
          <w:color w:val="auto"/>
          <w:kern w:val="0"/>
          <w:sz w:val="24"/>
          <w:highlight w:val="none"/>
        </w:rPr>
      </w:pPr>
      <w:bookmarkStart w:id="161" w:name="_Toc23468"/>
      <w:bookmarkStart w:id="162" w:name="_Toc10840"/>
      <w:bookmarkStart w:id="163" w:name="_Toc332807997"/>
      <w:r>
        <w:rPr>
          <w:rFonts w:hint="eastAsia" w:ascii="宋体" w:hAnsi="宋体" w:cs="宋体"/>
          <w:b/>
          <w:color w:val="auto"/>
          <w:kern w:val="0"/>
          <w:sz w:val="24"/>
          <w:highlight w:val="none"/>
        </w:rPr>
        <w:t>26</w:t>
      </w:r>
      <w:r>
        <w:rPr>
          <w:rFonts w:hint="eastAsia" w:ascii="宋体" w:hAnsi="宋体" w:cs="宋体"/>
          <w:b/>
          <w:bCs/>
          <w:color w:val="auto"/>
          <w:sz w:val="24"/>
          <w:highlight w:val="none"/>
        </w:rPr>
        <w:t>.</w:t>
      </w:r>
      <w:r>
        <w:rPr>
          <w:rFonts w:hint="eastAsia" w:ascii="宋体" w:hAnsi="宋体" w:cs="宋体"/>
          <w:b/>
          <w:color w:val="auto"/>
          <w:kern w:val="0"/>
          <w:sz w:val="24"/>
          <w:highlight w:val="none"/>
        </w:rPr>
        <w:t>中标通知书</w:t>
      </w:r>
      <w:bookmarkEnd w:id="161"/>
      <w:bookmarkEnd w:id="162"/>
      <w:bookmarkEnd w:id="163"/>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26.1</w:t>
      </w:r>
      <w:r>
        <w:rPr>
          <w:rFonts w:hint="eastAsia" w:ascii="宋体" w:hAnsi="宋体" w:cs="宋体"/>
          <w:color w:val="auto"/>
          <w:sz w:val="24"/>
          <w:highlight w:val="none"/>
        </w:rPr>
        <w:tab/>
      </w:r>
      <w:r>
        <w:rPr>
          <w:rFonts w:hint="eastAsia" w:ascii="宋体" w:hAnsi="宋体" w:cs="宋体"/>
          <w:color w:val="auto"/>
          <w:sz w:val="24"/>
          <w:highlight w:val="none"/>
        </w:rPr>
        <w:t>招标采购单位将在中标供应商确定之日起2个工作日内以书面形式向中标供应商发出中标通知书，并在财政部门指定的媒体上公告中标结果。</w:t>
      </w:r>
    </w:p>
    <w:p>
      <w:pPr>
        <w:spacing w:before="120" w:line="360" w:lineRule="auto"/>
        <w:ind w:left="1080" w:hanging="1080"/>
        <w:rPr>
          <w:rFonts w:ascii="宋体" w:hAnsi="宋体" w:cs="宋体"/>
          <w:color w:val="auto"/>
          <w:sz w:val="24"/>
          <w:highlight w:val="none"/>
        </w:rPr>
      </w:pPr>
      <w:r>
        <w:rPr>
          <w:rFonts w:hint="eastAsia" w:ascii="宋体" w:hAnsi="宋体" w:cs="宋体"/>
          <w:color w:val="auto"/>
          <w:sz w:val="24"/>
          <w:highlight w:val="none"/>
        </w:rPr>
        <w:t>26.2</w:t>
      </w:r>
      <w:r>
        <w:rPr>
          <w:rFonts w:hint="eastAsia" w:ascii="宋体" w:hAnsi="宋体" w:cs="宋体"/>
          <w:color w:val="auto"/>
          <w:sz w:val="24"/>
          <w:highlight w:val="none"/>
        </w:rPr>
        <w:tab/>
      </w:r>
      <w:r>
        <w:rPr>
          <w:rFonts w:hint="eastAsia" w:ascii="宋体" w:hAnsi="宋体" w:cs="宋体"/>
          <w:color w:val="auto"/>
          <w:sz w:val="24"/>
          <w:highlight w:val="none"/>
        </w:rPr>
        <w:t>中标通知书是政府采购合同的组成部分。</w:t>
      </w:r>
    </w:p>
    <w:p>
      <w:pPr>
        <w:spacing w:before="360" w:after="240" w:line="360" w:lineRule="auto"/>
        <w:outlineLvl w:val="2"/>
        <w:rPr>
          <w:rFonts w:ascii="宋体" w:hAnsi="宋体" w:cs="宋体"/>
          <w:b/>
          <w:color w:val="auto"/>
          <w:kern w:val="0"/>
          <w:sz w:val="24"/>
          <w:highlight w:val="none"/>
        </w:rPr>
      </w:pPr>
      <w:bookmarkStart w:id="164" w:name="_Toc332807998"/>
      <w:bookmarkStart w:id="165" w:name="_Toc23471"/>
      <w:bookmarkStart w:id="166" w:name="_Toc32756"/>
      <w:r>
        <w:rPr>
          <w:rFonts w:hint="eastAsia" w:ascii="宋体" w:hAnsi="宋体" w:cs="宋体"/>
          <w:b/>
          <w:color w:val="auto"/>
          <w:kern w:val="0"/>
          <w:sz w:val="24"/>
          <w:highlight w:val="none"/>
        </w:rPr>
        <w:t>27</w:t>
      </w:r>
      <w:r>
        <w:rPr>
          <w:rFonts w:hint="eastAsia" w:ascii="宋体" w:hAnsi="宋体" w:cs="宋体"/>
          <w:b/>
          <w:bCs/>
          <w:color w:val="auto"/>
          <w:sz w:val="24"/>
          <w:highlight w:val="none"/>
        </w:rPr>
        <w:t>.</w:t>
      </w:r>
      <w:r>
        <w:rPr>
          <w:rFonts w:hint="eastAsia" w:ascii="宋体" w:hAnsi="宋体" w:cs="宋体"/>
          <w:b/>
          <w:color w:val="auto"/>
          <w:kern w:val="0"/>
          <w:sz w:val="24"/>
          <w:highlight w:val="none"/>
        </w:rPr>
        <w:t>签订合同</w:t>
      </w:r>
      <w:bookmarkEnd w:id="164"/>
      <w:bookmarkEnd w:id="165"/>
      <w:bookmarkEnd w:id="166"/>
    </w:p>
    <w:p>
      <w:pPr>
        <w:spacing w:before="120" w:line="360" w:lineRule="auto"/>
        <w:ind w:left="1200" w:hanging="1200" w:hangingChars="500"/>
        <w:rPr>
          <w:rFonts w:ascii="宋体" w:hAnsi="宋体" w:cs="宋体"/>
          <w:color w:val="auto"/>
          <w:sz w:val="24"/>
          <w:highlight w:val="none"/>
        </w:rPr>
      </w:pPr>
      <w:r>
        <w:rPr>
          <w:rFonts w:hint="eastAsia" w:ascii="宋体" w:hAnsi="宋体" w:cs="宋体"/>
          <w:color w:val="auto"/>
          <w:sz w:val="24"/>
          <w:highlight w:val="none"/>
        </w:rPr>
        <w:t>27.1</w:t>
      </w:r>
      <w:r>
        <w:rPr>
          <w:rFonts w:hint="eastAsia" w:ascii="宋体" w:hAnsi="宋体" w:cs="宋体"/>
          <w:color w:val="auto"/>
          <w:sz w:val="24"/>
          <w:highlight w:val="none"/>
        </w:rPr>
        <w:tab/>
      </w:r>
      <w:r>
        <w:rPr>
          <w:rFonts w:hint="eastAsia" w:ascii="宋体" w:hAnsi="宋体" w:cs="宋体"/>
          <w:color w:val="auto"/>
          <w:sz w:val="24"/>
          <w:highlight w:val="none"/>
        </w:rPr>
        <w:t>中标供应商应当自中标通知书发出之日起30日内，与采购人签订合同。</w:t>
      </w:r>
    </w:p>
    <w:p>
      <w:pPr>
        <w:spacing w:before="120" w:line="360" w:lineRule="auto"/>
        <w:ind w:left="1200" w:hanging="1200" w:hangingChars="500"/>
        <w:rPr>
          <w:rFonts w:ascii="宋体" w:hAnsi="宋体" w:cs="宋体"/>
          <w:color w:val="auto"/>
          <w:sz w:val="24"/>
          <w:highlight w:val="none"/>
        </w:rPr>
      </w:pPr>
      <w:r>
        <w:rPr>
          <w:rFonts w:hint="eastAsia" w:ascii="宋体" w:hAnsi="宋体" w:cs="宋体"/>
          <w:color w:val="auto"/>
          <w:sz w:val="24"/>
          <w:highlight w:val="none"/>
        </w:rPr>
        <w:t>27.2      招标文件、中标供应商的投标文件及其澄清文件等，均为签订合同的依据。所签订的合同不得对招标文件和中标供应商投标文件作实质性修改。</w:t>
      </w:r>
    </w:p>
    <w:p>
      <w:pPr>
        <w:spacing w:before="360" w:after="240" w:line="360" w:lineRule="auto"/>
        <w:outlineLvl w:val="2"/>
        <w:rPr>
          <w:rFonts w:ascii="宋体" w:hAnsi="宋体" w:cs="宋体"/>
          <w:b/>
          <w:color w:val="auto"/>
          <w:kern w:val="0"/>
          <w:sz w:val="24"/>
          <w:highlight w:val="none"/>
        </w:rPr>
      </w:pPr>
      <w:bookmarkStart w:id="167" w:name="_Toc23303"/>
      <w:bookmarkStart w:id="168" w:name="_Toc332807999"/>
      <w:bookmarkStart w:id="169" w:name="_Toc18671"/>
      <w:r>
        <w:rPr>
          <w:rFonts w:hint="eastAsia" w:ascii="宋体" w:hAnsi="宋体" w:cs="宋体"/>
          <w:b/>
          <w:color w:val="auto"/>
          <w:kern w:val="0"/>
          <w:sz w:val="24"/>
          <w:highlight w:val="none"/>
        </w:rPr>
        <w:t>28</w:t>
      </w:r>
      <w:r>
        <w:rPr>
          <w:rFonts w:hint="eastAsia" w:ascii="宋体" w:hAnsi="宋体" w:cs="宋体"/>
          <w:b/>
          <w:bCs/>
          <w:color w:val="auto"/>
          <w:sz w:val="24"/>
          <w:highlight w:val="none"/>
        </w:rPr>
        <w:t>.</w:t>
      </w:r>
      <w:r>
        <w:rPr>
          <w:rFonts w:hint="eastAsia" w:ascii="宋体" w:hAnsi="宋体" w:cs="宋体"/>
          <w:b/>
          <w:color w:val="auto"/>
          <w:kern w:val="0"/>
          <w:sz w:val="24"/>
          <w:highlight w:val="none"/>
        </w:rPr>
        <w:t>履约保证金</w:t>
      </w:r>
      <w:bookmarkEnd w:id="167"/>
      <w:bookmarkEnd w:id="168"/>
      <w:bookmarkEnd w:id="169"/>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28.1</w:t>
      </w:r>
      <w:r>
        <w:rPr>
          <w:rFonts w:hint="eastAsia" w:ascii="宋体" w:hAnsi="宋体" w:cs="宋体"/>
          <w:color w:val="auto"/>
          <w:sz w:val="24"/>
          <w:highlight w:val="none"/>
        </w:rPr>
        <w:tab/>
      </w:r>
      <w:r>
        <w:rPr>
          <w:rFonts w:hint="eastAsia" w:ascii="宋体" w:hAnsi="宋体" w:cs="宋体"/>
          <w:color w:val="auto"/>
          <w:sz w:val="24"/>
          <w:highlight w:val="none"/>
        </w:rPr>
        <w:t xml:space="preserve"> 中标供应商根据招标文件的规定，在签订合同后按招标文件中提供的</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 xml:space="preserve">          履约保证金保函格式或者采购人可以接受的其他形式向招标采购单</w:t>
      </w:r>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 xml:space="preserve">          位交纳履约保证金，具体规定详见《供应商须知资料表》。</w:t>
      </w:r>
    </w:p>
    <w:p>
      <w:pPr>
        <w:spacing w:before="360" w:after="240" w:line="360" w:lineRule="auto"/>
        <w:outlineLvl w:val="2"/>
        <w:rPr>
          <w:rFonts w:ascii="宋体" w:hAnsi="宋体" w:cs="宋体"/>
          <w:b/>
          <w:color w:val="auto"/>
          <w:kern w:val="0"/>
          <w:sz w:val="24"/>
          <w:highlight w:val="none"/>
        </w:rPr>
      </w:pPr>
      <w:bookmarkStart w:id="170" w:name="_Toc332808000"/>
      <w:bookmarkStart w:id="171" w:name="_Toc32015"/>
      <w:bookmarkStart w:id="172" w:name="_Toc16197"/>
      <w:r>
        <w:rPr>
          <w:rFonts w:hint="eastAsia" w:ascii="宋体" w:hAnsi="宋体" w:cs="宋体"/>
          <w:b/>
          <w:color w:val="auto"/>
          <w:kern w:val="0"/>
          <w:sz w:val="24"/>
          <w:highlight w:val="none"/>
        </w:rPr>
        <w:t>29</w:t>
      </w:r>
      <w:r>
        <w:rPr>
          <w:rFonts w:hint="eastAsia" w:ascii="宋体" w:hAnsi="宋体" w:cs="宋体"/>
          <w:b/>
          <w:bCs/>
          <w:color w:val="auto"/>
          <w:sz w:val="24"/>
          <w:highlight w:val="none"/>
        </w:rPr>
        <w:t>.</w:t>
      </w:r>
      <w:r>
        <w:rPr>
          <w:rFonts w:hint="eastAsia" w:ascii="宋体" w:hAnsi="宋体" w:cs="宋体"/>
          <w:b/>
          <w:color w:val="auto"/>
          <w:kern w:val="0"/>
          <w:sz w:val="24"/>
          <w:highlight w:val="none"/>
        </w:rPr>
        <w:t>保密和披露</w:t>
      </w:r>
      <w:bookmarkEnd w:id="170"/>
      <w:bookmarkEnd w:id="171"/>
      <w:bookmarkEnd w:id="172"/>
    </w:p>
    <w:p>
      <w:pPr>
        <w:tabs>
          <w:tab w:val="left" w:pos="1080"/>
        </w:tabs>
        <w:spacing w:before="120" w:line="360" w:lineRule="auto"/>
        <w:ind w:left="1080" w:hanging="1080" w:hangingChars="450"/>
        <w:jc w:val="left"/>
        <w:textAlignment w:val="baseline"/>
        <w:rPr>
          <w:rFonts w:ascii="宋体" w:hAnsi="宋体" w:cs="宋体"/>
          <w:color w:val="auto"/>
          <w:sz w:val="24"/>
          <w:highlight w:val="none"/>
        </w:rPr>
      </w:pPr>
      <w:r>
        <w:rPr>
          <w:rFonts w:hint="eastAsia" w:ascii="宋体" w:hAnsi="宋体" w:cs="宋体"/>
          <w:color w:val="auto"/>
          <w:sz w:val="24"/>
          <w:highlight w:val="none"/>
        </w:rPr>
        <w:t>29.1      供应商自领取招标文件之日起，须承诺承担本采购项目下保密义务，</w:t>
      </w:r>
    </w:p>
    <w:p>
      <w:pPr>
        <w:tabs>
          <w:tab w:val="left" w:pos="1080"/>
        </w:tabs>
        <w:spacing w:before="120" w:line="360" w:lineRule="auto"/>
        <w:ind w:left="1080" w:hanging="1080" w:hangingChars="450"/>
        <w:jc w:val="left"/>
        <w:textAlignment w:val="baseline"/>
        <w:rPr>
          <w:rFonts w:ascii="宋体" w:hAnsi="宋体" w:cs="宋体"/>
          <w:color w:val="auto"/>
          <w:sz w:val="24"/>
          <w:highlight w:val="none"/>
        </w:rPr>
      </w:pPr>
      <w:r>
        <w:rPr>
          <w:rFonts w:hint="eastAsia" w:ascii="宋体" w:hAnsi="宋体" w:cs="宋体"/>
          <w:color w:val="auto"/>
          <w:sz w:val="24"/>
          <w:highlight w:val="none"/>
        </w:rPr>
        <w:t xml:space="preserve">          不得将因本次采购获得的信息向第三人外传。</w:t>
      </w:r>
    </w:p>
    <w:p>
      <w:pPr>
        <w:tabs>
          <w:tab w:val="left" w:pos="1080"/>
        </w:tabs>
        <w:spacing w:before="120" w:line="360" w:lineRule="auto"/>
        <w:ind w:left="1080" w:hanging="1080" w:hangingChars="450"/>
        <w:jc w:val="left"/>
        <w:textAlignment w:val="baseline"/>
        <w:rPr>
          <w:rFonts w:ascii="宋体" w:hAnsi="宋体" w:cs="宋体"/>
          <w:color w:val="auto"/>
          <w:sz w:val="24"/>
          <w:highlight w:val="none"/>
        </w:rPr>
      </w:pPr>
      <w:r>
        <w:rPr>
          <w:rFonts w:hint="eastAsia" w:ascii="宋体" w:hAnsi="宋体" w:cs="宋体"/>
          <w:color w:val="auto"/>
          <w:sz w:val="24"/>
          <w:highlight w:val="none"/>
        </w:rPr>
        <w:t>29.2      采购代理机构有权将供应商提供的所有资料向有关政府部门或者评</w:t>
      </w:r>
    </w:p>
    <w:p>
      <w:pPr>
        <w:tabs>
          <w:tab w:val="left" w:pos="1080"/>
        </w:tabs>
        <w:spacing w:before="120" w:line="360" w:lineRule="auto"/>
        <w:ind w:left="1080" w:hanging="1080" w:hangingChars="450"/>
        <w:jc w:val="left"/>
        <w:textAlignment w:val="baseline"/>
        <w:rPr>
          <w:rFonts w:ascii="宋体" w:hAnsi="宋体" w:cs="宋体"/>
          <w:color w:val="auto"/>
          <w:sz w:val="24"/>
          <w:highlight w:val="none"/>
        </w:rPr>
      </w:pPr>
      <w:r>
        <w:rPr>
          <w:rFonts w:hint="eastAsia" w:ascii="宋体" w:hAnsi="宋体" w:cs="宋体"/>
          <w:color w:val="auto"/>
          <w:sz w:val="24"/>
          <w:highlight w:val="none"/>
        </w:rPr>
        <w:t xml:space="preserve">          审有关人员披露。</w:t>
      </w:r>
    </w:p>
    <w:p>
      <w:pPr>
        <w:spacing w:before="360" w:after="240" w:line="360" w:lineRule="auto"/>
        <w:outlineLvl w:val="2"/>
        <w:rPr>
          <w:rFonts w:ascii="宋体" w:hAnsi="宋体" w:cs="宋体"/>
          <w:b/>
          <w:color w:val="auto"/>
          <w:kern w:val="0"/>
          <w:sz w:val="24"/>
          <w:highlight w:val="none"/>
        </w:rPr>
      </w:pPr>
      <w:bookmarkStart w:id="173" w:name="_Toc167351262"/>
      <w:bookmarkStart w:id="174" w:name="_Toc99187422"/>
      <w:bookmarkStart w:id="175" w:name="_Toc332808001"/>
      <w:bookmarkStart w:id="176" w:name="_Toc26723"/>
      <w:bookmarkStart w:id="177" w:name="_Toc94762767"/>
      <w:bookmarkStart w:id="178" w:name="_Toc20531"/>
      <w:r>
        <w:rPr>
          <w:rFonts w:hint="eastAsia" w:ascii="宋体" w:hAnsi="宋体" w:cs="宋体"/>
          <w:b/>
          <w:color w:val="auto"/>
          <w:kern w:val="0"/>
          <w:sz w:val="24"/>
          <w:highlight w:val="none"/>
        </w:rPr>
        <w:t>30</w:t>
      </w:r>
      <w:r>
        <w:rPr>
          <w:rFonts w:hint="eastAsia" w:ascii="宋体" w:hAnsi="宋体" w:cs="宋体"/>
          <w:b/>
          <w:bCs/>
          <w:color w:val="auto"/>
          <w:sz w:val="24"/>
          <w:highlight w:val="none"/>
        </w:rPr>
        <w:t>.</w:t>
      </w:r>
      <w:r>
        <w:rPr>
          <w:rFonts w:hint="eastAsia" w:ascii="宋体" w:hAnsi="宋体" w:cs="宋体"/>
          <w:b/>
          <w:color w:val="auto"/>
          <w:kern w:val="0"/>
          <w:sz w:val="24"/>
          <w:highlight w:val="none"/>
        </w:rPr>
        <w:t>腐败和欺诈行为</w:t>
      </w:r>
      <w:bookmarkEnd w:id="173"/>
      <w:bookmarkEnd w:id="174"/>
      <w:bookmarkEnd w:id="175"/>
      <w:bookmarkEnd w:id="176"/>
      <w:bookmarkEnd w:id="177"/>
      <w:bookmarkEnd w:id="178"/>
    </w:p>
    <w:p>
      <w:pPr>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30.1     招标采购单位和中标供应商在本次采购、合同签订及合同实际履行过程中不得损害国家利益、社会公共利益及他人合法权益，不得实施下列行为。</w:t>
      </w:r>
    </w:p>
    <w:p>
      <w:pPr>
        <w:spacing w:before="120" w:line="360" w:lineRule="auto"/>
        <w:ind w:left="1200" w:hanging="1200" w:hangingChars="500"/>
        <w:rPr>
          <w:rFonts w:ascii="宋体" w:hAnsi="宋体" w:cs="宋体"/>
          <w:color w:val="auto"/>
          <w:sz w:val="24"/>
          <w:highlight w:val="none"/>
        </w:rPr>
      </w:pPr>
      <w:r>
        <w:rPr>
          <w:rFonts w:hint="eastAsia" w:ascii="宋体" w:hAnsi="宋体" w:cs="宋体"/>
          <w:color w:val="auto"/>
          <w:sz w:val="24"/>
          <w:highlight w:val="none"/>
        </w:rPr>
        <w:t>30.1.1    “腐败行为”是指在采购过程中或者合同签订、履行过程中，通过提供或者变相提供、接受或者变相接受、索取或者变相索取任何不正当利益的行为。</w:t>
      </w:r>
    </w:p>
    <w:p>
      <w:pPr>
        <w:spacing w:before="120" w:line="360" w:lineRule="auto"/>
        <w:ind w:left="1200" w:hanging="1200" w:hangingChars="500"/>
        <w:rPr>
          <w:rFonts w:ascii="宋体" w:hAnsi="宋体" w:cs="宋体"/>
          <w:color w:val="auto"/>
          <w:sz w:val="24"/>
          <w:highlight w:val="none"/>
        </w:rPr>
      </w:pPr>
      <w:r>
        <w:rPr>
          <w:rFonts w:hint="eastAsia" w:ascii="宋体" w:hAnsi="宋体" w:cs="宋体"/>
          <w:color w:val="auto"/>
          <w:sz w:val="24"/>
          <w:highlight w:val="none"/>
        </w:rPr>
        <w:t>30.1.2    “欺诈行为”是指中标供应商在采购过程或者合同签订、履行过程中恶意串通、虚构事实，损害采购人、其他供应商权益及社会公共利益的行为，包括供应商之间在递交投标文件前后恶意串通投标，人为地使投标丧失公平竞争性，扰乱招投标公平竞争秩序的行为。</w:t>
      </w:r>
    </w:p>
    <w:p>
      <w:pPr>
        <w:spacing w:before="120" w:line="360" w:lineRule="auto"/>
        <w:ind w:left="1200" w:hanging="1200" w:hangingChars="500"/>
        <w:rPr>
          <w:rFonts w:ascii="宋体" w:hAnsi="宋体" w:cs="宋体"/>
          <w:color w:val="auto"/>
          <w:sz w:val="24"/>
          <w:highlight w:val="none"/>
        </w:rPr>
      </w:pPr>
      <w:r>
        <w:rPr>
          <w:rFonts w:hint="eastAsia" w:ascii="宋体" w:hAnsi="宋体" w:cs="宋体"/>
          <w:color w:val="auto"/>
          <w:sz w:val="24"/>
          <w:highlight w:val="none"/>
        </w:rPr>
        <w:t>30.2      在采购过程或者合同签订、履行过程中，发现被推荐的中标供应商在本采购过程中有腐败和欺诈行为的，应当依法取消其中标资格并解除已经签订的采购合同。</w:t>
      </w:r>
    </w:p>
    <w:p>
      <w:pPr>
        <w:spacing w:before="360" w:after="240" w:line="360" w:lineRule="auto"/>
        <w:outlineLvl w:val="2"/>
        <w:rPr>
          <w:rFonts w:ascii="宋体" w:hAnsi="宋体" w:cs="宋体"/>
          <w:b/>
          <w:color w:val="auto"/>
          <w:sz w:val="24"/>
          <w:highlight w:val="none"/>
        </w:rPr>
      </w:pPr>
      <w:bookmarkStart w:id="179" w:name="_Toc332808002"/>
    </w:p>
    <w:p>
      <w:pPr>
        <w:spacing w:before="360" w:after="240" w:line="360" w:lineRule="auto"/>
        <w:outlineLvl w:val="2"/>
        <w:rPr>
          <w:rFonts w:ascii="宋体" w:hAnsi="宋体" w:cs="宋体"/>
          <w:b/>
          <w:color w:val="auto"/>
          <w:sz w:val="24"/>
          <w:highlight w:val="none"/>
        </w:rPr>
      </w:pPr>
      <w:bookmarkStart w:id="180" w:name="_Toc12433"/>
      <w:bookmarkStart w:id="181" w:name="_Toc30477"/>
      <w:r>
        <w:rPr>
          <w:rFonts w:hint="eastAsia" w:ascii="宋体" w:hAnsi="宋体" w:cs="宋体"/>
          <w:b/>
          <w:color w:val="auto"/>
          <w:sz w:val="24"/>
          <w:highlight w:val="none"/>
        </w:rPr>
        <w:t>31</w:t>
      </w:r>
      <w:r>
        <w:rPr>
          <w:rFonts w:hint="eastAsia" w:ascii="宋体" w:hAnsi="宋体" w:cs="宋体"/>
          <w:b/>
          <w:bCs/>
          <w:color w:val="auto"/>
          <w:sz w:val="24"/>
          <w:highlight w:val="none"/>
        </w:rPr>
        <w:t>.</w:t>
      </w:r>
      <w:r>
        <w:rPr>
          <w:rFonts w:hint="eastAsia" w:ascii="宋体" w:hAnsi="宋体" w:cs="宋体"/>
          <w:b/>
          <w:color w:val="auto"/>
          <w:sz w:val="24"/>
          <w:highlight w:val="none"/>
        </w:rPr>
        <w:t>质疑与投诉</w:t>
      </w:r>
      <w:bookmarkEnd w:id="179"/>
      <w:bookmarkEnd w:id="180"/>
      <w:bookmarkEnd w:id="181"/>
    </w:p>
    <w:p>
      <w:pPr>
        <w:tabs>
          <w:tab w:val="left" w:pos="720"/>
        </w:tabs>
        <w:autoSpaceDE w:val="0"/>
        <w:autoSpaceDN w:val="0"/>
        <w:spacing w:before="120" w:line="360" w:lineRule="auto"/>
        <w:ind w:left="1200" w:right="18" w:hanging="1200" w:hangingChars="500"/>
        <w:jc w:val="left"/>
        <w:rPr>
          <w:rFonts w:hint="eastAsia" w:ascii="宋体" w:hAnsi="宋体" w:eastAsia="宋体" w:cs="宋体"/>
          <w:color w:val="auto"/>
          <w:sz w:val="24"/>
          <w:highlight w:val="none"/>
        </w:rPr>
      </w:pPr>
      <w:bookmarkStart w:id="182" w:name="_Toc332808003"/>
      <w:bookmarkStart w:id="183" w:name="_Toc5441"/>
      <w:bookmarkStart w:id="184" w:name="_Toc188171797"/>
      <w:bookmarkStart w:id="185" w:name="_Toc32314"/>
      <w:r>
        <w:rPr>
          <w:rFonts w:hint="eastAsia" w:ascii="宋体" w:hAnsi="宋体" w:eastAsia="宋体" w:cs="宋体"/>
          <w:color w:val="auto"/>
          <w:sz w:val="24"/>
          <w:highlight w:val="none"/>
        </w:rPr>
        <w:t>3</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 xml:space="preserve">.1      </w:t>
      </w:r>
      <w:r>
        <w:rPr>
          <w:rFonts w:hint="eastAsia" w:ascii="宋体" w:hAnsi="宋体" w:eastAsia="宋体" w:cs="宋体"/>
          <w:color w:val="auto"/>
          <w:sz w:val="24"/>
          <w:highlight w:val="none"/>
          <w:lang w:eastAsia="zh-CN"/>
        </w:rPr>
        <w:t>采购人或者采购代理机构在</w:t>
      </w:r>
      <w:r>
        <w:rPr>
          <w:rFonts w:hint="eastAsia" w:ascii="宋体" w:hAnsi="宋体" w:eastAsia="宋体" w:cs="宋体"/>
          <w:color w:val="auto"/>
          <w:sz w:val="24"/>
          <w:highlight w:val="none"/>
          <w:lang w:val="en-US" w:eastAsia="zh-CN"/>
        </w:rPr>
        <w:t>3个工作日内对供应商依法提出的询问作出答复。</w:t>
      </w:r>
      <w:r>
        <w:rPr>
          <w:rFonts w:hint="eastAsia" w:ascii="宋体" w:hAnsi="宋体" w:eastAsia="宋体" w:cs="宋体"/>
          <w:color w:val="auto"/>
          <w:sz w:val="24"/>
          <w:highlight w:val="none"/>
        </w:rPr>
        <w:t>供应商认为本项目招标文件、采购过程及中标结果使其自身的权益受到损害，可以在法定期限内向招标采购单位提出质疑，质疑的范围仅限于上述三方面的事项。</w:t>
      </w:r>
    </w:p>
    <w:p>
      <w:pPr>
        <w:tabs>
          <w:tab w:val="left" w:pos="720"/>
        </w:tabs>
        <w:autoSpaceDE w:val="0"/>
        <w:autoSpaceDN w:val="0"/>
        <w:spacing w:before="120" w:line="360" w:lineRule="auto"/>
        <w:ind w:left="1080" w:right="18" w:hanging="1080" w:hangingChars="450"/>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3</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.2      提出质疑的期限：</w:t>
      </w:r>
    </w:p>
    <w:p>
      <w:pPr>
        <w:tabs>
          <w:tab w:val="left" w:pos="720"/>
        </w:tabs>
        <w:autoSpaceDE w:val="0"/>
        <w:autoSpaceDN w:val="0"/>
        <w:spacing w:before="120" w:line="360" w:lineRule="auto"/>
        <w:ind w:left="1080" w:right="18" w:hanging="1080" w:hangingChars="450"/>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3</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.2.1   供应商对招标文件提出质疑的，应当在收到招标文件之日或者招标文件公告期限届满之日起7个工作日内</w:t>
      </w:r>
      <w:r>
        <w:rPr>
          <w:rFonts w:hint="eastAsia" w:ascii="宋体" w:hAnsi="宋体" w:cs="宋体"/>
          <w:color w:val="auto"/>
          <w:sz w:val="24"/>
          <w:highlight w:val="none"/>
          <w:lang w:val="en-US" w:eastAsia="zh-CN"/>
        </w:rPr>
        <w:t>一次性</w:t>
      </w:r>
      <w:r>
        <w:rPr>
          <w:rFonts w:hint="eastAsia" w:ascii="宋体" w:hAnsi="宋体" w:eastAsia="宋体" w:cs="宋体"/>
          <w:color w:val="auto"/>
          <w:sz w:val="24"/>
          <w:highlight w:val="none"/>
        </w:rPr>
        <w:t xml:space="preserve">提出。 </w:t>
      </w:r>
    </w:p>
    <w:p>
      <w:pPr>
        <w:tabs>
          <w:tab w:val="left" w:pos="720"/>
        </w:tabs>
        <w:autoSpaceDE w:val="0"/>
        <w:autoSpaceDN w:val="0"/>
        <w:spacing w:before="120" w:line="360" w:lineRule="auto"/>
        <w:ind w:left="1079" w:leftChars="2" w:right="18" w:hanging="1075" w:hangingChars="448"/>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3</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.2.2   供应商对采购过程提出质疑的，应当在各招标程序环节结束之日起7个工作日内</w:t>
      </w:r>
      <w:r>
        <w:rPr>
          <w:rFonts w:hint="eastAsia" w:ascii="宋体" w:hAnsi="宋体" w:cs="宋体"/>
          <w:color w:val="auto"/>
          <w:sz w:val="24"/>
          <w:highlight w:val="none"/>
          <w:lang w:val="en-US" w:eastAsia="zh-CN"/>
        </w:rPr>
        <w:t>一次性</w:t>
      </w:r>
      <w:r>
        <w:rPr>
          <w:rFonts w:hint="eastAsia" w:ascii="宋体" w:hAnsi="宋体" w:eastAsia="宋体" w:cs="宋体"/>
          <w:color w:val="auto"/>
          <w:sz w:val="24"/>
          <w:highlight w:val="none"/>
        </w:rPr>
        <w:t>提出。</w:t>
      </w:r>
    </w:p>
    <w:p>
      <w:pPr>
        <w:tabs>
          <w:tab w:val="left" w:pos="720"/>
        </w:tabs>
        <w:autoSpaceDE w:val="0"/>
        <w:autoSpaceDN w:val="0"/>
        <w:spacing w:before="120" w:line="360" w:lineRule="auto"/>
        <w:ind w:left="1079" w:leftChars="2" w:right="18" w:hanging="1075" w:hangingChars="448"/>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3</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.2.3   供应商对中标结果提出质疑的，应当在中标公告期限届满之日起7个工作日内</w:t>
      </w:r>
      <w:r>
        <w:rPr>
          <w:rFonts w:hint="eastAsia" w:ascii="宋体" w:hAnsi="宋体" w:cs="宋体"/>
          <w:color w:val="auto"/>
          <w:sz w:val="24"/>
          <w:highlight w:val="none"/>
          <w:lang w:val="en-US" w:eastAsia="zh-CN"/>
        </w:rPr>
        <w:t>一次性</w:t>
      </w:r>
      <w:r>
        <w:rPr>
          <w:rFonts w:hint="eastAsia" w:ascii="宋体" w:hAnsi="宋体" w:eastAsia="宋体" w:cs="宋体"/>
          <w:color w:val="auto"/>
          <w:sz w:val="24"/>
          <w:highlight w:val="none"/>
        </w:rPr>
        <w:t>提出。</w:t>
      </w:r>
    </w:p>
    <w:p>
      <w:pPr>
        <w:tabs>
          <w:tab w:val="left" w:pos="720"/>
        </w:tabs>
        <w:autoSpaceDE w:val="0"/>
        <w:autoSpaceDN w:val="0"/>
        <w:spacing w:before="120" w:line="360" w:lineRule="auto"/>
        <w:ind w:left="1080" w:right="18" w:hanging="1080" w:hangingChars="450"/>
        <w:jc w:val="left"/>
        <w:rPr>
          <w:rFonts w:hint="eastAsia" w:ascii="宋体" w:hAnsi="宋体" w:eastAsia="宋体" w:cs="宋体"/>
          <w:color w:val="auto"/>
          <w:sz w:val="24"/>
          <w:highlight w:val="none"/>
        </w:rPr>
      </w:pPr>
    </w:p>
    <w:p>
      <w:pPr>
        <w:tabs>
          <w:tab w:val="left" w:pos="720"/>
        </w:tabs>
        <w:autoSpaceDE w:val="0"/>
        <w:autoSpaceDN w:val="0"/>
        <w:spacing w:before="120" w:line="360" w:lineRule="auto"/>
        <w:ind w:left="1320" w:right="18" w:hanging="1320" w:hangingChars="550"/>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3</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.3       供应商提出质疑时，应当提交书面质疑函原件。以传真形式提起质疑的，应当尽快提交质疑函原件。</w:t>
      </w:r>
    </w:p>
    <w:p>
      <w:pPr>
        <w:tabs>
          <w:tab w:val="left" w:pos="720"/>
        </w:tabs>
        <w:autoSpaceDE w:val="0"/>
        <w:autoSpaceDN w:val="0"/>
        <w:spacing w:before="120" w:line="360" w:lineRule="auto"/>
        <w:ind w:left="1080" w:right="18" w:hanging="1080" w:hangingChars="450"/>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3</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.3.1     质疑函应当包括：</w:t>
      </w:r>
    </w:p>
    <w:p>
      <w:pPr>
        <w:tabs>
          <w:tab w:val="left" w:pos="720"/>
        </w:tabs>
        <w:autoSpaceDE w:val="0"/>
        <w:autoSpaceDN w:val="0"/>
        <w:spacing w:before="120" w:line="360" w:lineRule="auto"/>
        <w:ind w:left="1077" w:leftChars="513" w:right="18" w:firstLine="120" w:firstLineChars="50"/>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（1）质疑人和被质疑人的名称、地址、电话等；</w:t>
      </w:r>
    </w:p>
    <w:p>
      <w:pPr>
        <w:tabs>
          <w:tab w:val="left" w:pos="720"/>
        </w:tabs>
        <w:autoSpaceDE w:val="0"/>
        <w:autoSpaceDN w:val="0"/>
        <w:spacing w:before="120" w:line="360" w:lineRule="auto"/>
        <w:ind w:left="1077" w:leftChars="513" w:right="18" w:firstLine="120" w:firstLineChars="50"/>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（2）具体的质疑事项及事实依据；</w:t>
      </w:r>
    </w:p>
    <w:p>
      <w:pPr>
        <w:tabs>
          <w:tab w:val="left" w:pos="720"/>
        </w:tabs>
        <w:autoSpaceDE w:val="0"/>
        <w:autoSpaceDN w:val="0"/>
        <w:spacing w:before="120" w:line="360" w:lineRule="auto"/>
        <w:ind w:left="1317" w:leftChars="570" w:right="18" w:hanging="120" w:hangingChars="50"/>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（3）必要的证明材料。</w:t>
      </w:r>
    </w:p>
    <w:p>
      <w:pPr>
        <w:tabs>
          <w:tab w:val="left" w:pos="720"/>
        </w:tabs>
        <w:autoSpaceDE w:val="0"/>
        <w:autoSpaceDN w:val="0"/>
        <w:spacing w:before="120" w:line="360" w:lineRule="auto"/>
        <w:ind w:left="1077" w:leftChars="513" w:right="18" w:firstLine="240" w:firstLineChars="100"/>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供应商对质疑材料的真实性承担相应法律责任。</w:t>
      </w:r>
    </w:p>
    <w:p>
      <w:pPr>
        <w:tabs>
          <w:tab w:val="left" w:pos="720"/>
        </w:tabs>
        <w:autoSpaceDE w:val="0"/>
        <w:autoSpaceDN w:val="0"/>
        <w:spacing w:before="120" w:line="360" w:lineRule="auto"/>
        <w:ind w:left="1260" w:right="18" w:hanging="1260" w:hangingChars="525"/>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3</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.3.2     质疑函应当署名并加盖单位公章供应商为法人或者其他组织的，应当由法定代表人或者主要负责人签字。</w:t>
      </w:r>
    </w:p>
    <w:p>
      <w:pPr>
        <w:tabs>
          <w:tab w:val="left" w:pos="720"/>
        </w:tabs>
        <w:autoSpaceDE w:val="0"/>
        <w:autoSpaceDN w:val="0"/>
        <w:spacing w:before="120" w:line="360" w:lineRule="auto"/>
        <w:ind w:left="1320" w:right="18" w:hanging="1320" w:hangingChars="550"/>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3</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.3.3     质疑人可以委托代理人办理质疑事务。代理人办理质疑事务时，除提交相关质疑材料外，还应当提交质疑人的授权委托书，授权委托书应当载明委托代理的具体权限和事项。</w:t>
      </w:r>
    </w:p>
    <w:p>
      <w:pPr>
        <w:tabs>
          <w:tab w:val="left" w:pos="720"/>
        </w:tabs>
        <w:autoSpaceDE w:val="0"/>
        <w:autoSpaceDN w:val="0"/>
        <w:spacing w:before="120" w:line="360" w:lineRule="auto"/>
        <w:ind w:left="1320" w:right="18" w:hanging="1320" w:hangingChars="550"/>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3</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 xml:space="preserve">.4       </w:t>
      </w:r>
      <w:r>
        <w:rPr>
          <w:rFonts w:hint="eastAsia" w:ascii="宋体" w:hAnsi="宋体" w:eastAsia="宋体" w:cs="宋体"/>
          <w:color w:val="auto"/>
          <w:sz w:val="24"/>
          <w:highlight w:val="none"/>
          <w:lang w:eastAsia="zh-CN"/>
        </w:rPr>
        <w:t>招标采购单位应当在收到供应商的书面质疑后七个工作日内作出答复。</w:t>
      </w:r>
      <w:r>
        <w:rPr>
          <w:rFonts w:hint="eastAsia" w:ascii="宋体" w:hAnsi="宋体" w:eastAsia="宋体" w:cs="宋体"/>
          <w:color w:val="auto"/>
          <w:sz w:val="24"/>
          <w:highlight w:val="none"/>
        </w:rPr>
        <w:t>供应商对招标采购单位的质疑答复不满意或者招标采购单位未在规定时间内作出答复的，可以在答复期满后15个工作日内向同级财政部门提起投诉。</w:t>
      </w:r>
    </w:p>
    <w:p>
      <w:pPr>
        <w:tabs>
          <w:tab w:val="left" w:pos="720"/>
        </w:tabs>
        <w:autoSpaceDE w:val="0"/>
        <w:autoSpaceDN w:val="0"/>
        <w:spacing w:before="120" w:line="360" w:lineRule="auto"/>
        <w:ind w:left="1320" w:right="18" w:hanging="1320" w:hangingChars="550"/>
        <w:jc w:val="left"/>
        <w:rPr>
          <w:rFonts w:hint="eastAsia" w:ascii="宋体" w:hAnsi="宋体" w:cs="宋体"/>
          <w:color w:val="auto"/>
          <w:sz w:val="24"/>
          <w:highlight w:val="none"/>
          <w:lang w:val="en-US" w:eastAsia="zh-CN"/>
        </w:rPr>
      </w:pPr>
      <w:r>
        <w:rPr>
          <w:rFonts w:hint="eastAsia" w:ascii="宋体" w:hAnsi="宋体" w:cs="宋体"/>
          <w:color w:val="auto"/>
          <w:sz w:val="24"/>
          <w:highlight w:val="none"/>
          <w:lang w:val="en-US" w:eastAsia="zh-CN"/>
        </w:rPr>
        <w:t>31.5       本项目接收质疑函的方式：书面方式</w:t>
      </w:r>
    </w:p>
    <w:p>
      <w:pPr>
        <w:tabs>
          <w:tab w:val="left" w:pos="720"/>
        </w:tabs>
        <w:autoSpaceDE w:val="0"/>
        <w:autoSpaceDN w:val="0"/>
        <w:spacing w:before="120" w:line="360" w:lineRule="auto"/>
        <w:ind w:left="1320" w:right="18" w:hanging="1320" w:hangingChars="550"/>
        <w:jc w:val="left"/>
        <w:rPr>
          <w:rFonts w:hint="eastAsia" w:ascii="宋体" w:hAnsi="宋体" w:cs="宋体"/>
          <w:color w:val="auto"/>
          <w:sz w:val="24"/>
          <w:highlight w:val="none"/>
          <w:lang w:val="en-US" w:eastAsia="zh-CN"/>
        </w:rPr>
      </w:pPr>
      <w:r>
        <w:rPr>
          <w:rFonts w:hint="eastAsia" w:ascii="宋体" w:hAnsi="宋体" w:cs="宋体"/>
          <w:color w:val="auto"/>
          <w:sz w:val="24"/>
          <w:highlight w:val="none"/>
          <w:lang w:val="en-US" w:eastAsia="zh-CN"/>
        </w:rPr>
        <w:t xml:space="preserve">           联系部门及联系人：北京国际贸易公司第五业务处  祁娜  邓帅 </w:t>
      </w:r>
    </w:p>
    <w:p>
      <w:pPr>
        <w:tabs>
          <w:tab w:val="left" w:pos="720"/>
        </w:tabs>
        <w:autoSpaceDE w:val="0"/>
        <w:autoSpaceDN w:val="0"/>
        <w:spacing w:before="120" w:line="360" w:lineRule="auto"/>
        <w:ind w:left="1320" w:right="18" w:hanging="1320" w:hangingChars="550"/>
        <w:jc w:val="left"/>
        <w:rPr>
          <w:rFonts w:hint="eastAsia" w:ascii="宋体" w:hAnsi="宋体" w:cs="宋体"/>
          <w:color w:val="auto"/>
          <w:sz w:val="24"/>
          <w:highlight w:val="none"/>
          <w:lang w:val="en-US" w:eastAsia="zh-CN"/>
        </w:rPr>
      </w:pPr>
      <w:r>
        <w:rPr>
          <w:rFonts w:hint="eastAsia" w:ascii="宋体" w:hAnsi="宋体" w:cs="宋体"/>
          <w:color w:val="auto"/>
          <w:sz w:val="24"/>
          <w:highlight w:val="none"/>
          <w:lang w:val="en-US" w:eastAsia="zh-CN"/>
        </w:rPr>
        <w:t xml:space="preserve">           联系电话：010-65042608     </w:t>
      </w:r>
    </w:p>
    <w:p>
      <w:pPr>
        <w:tabs>
          <w:tab w:val="left" w:pos="720"/>
        </w:tabs>
        <w:autoSpaceDE w:val="0"/>
        <w:autoSpaceDN w:val="0"/>
        <w:spacing w:before="120" w:line="360" w:lineRule="auto"/>
        <w:ind w:left="0" w:leftChars="0" w:right="18" w:firstLine="1260" w:firstLineChars="525"/>
        <w:jc w:val="left"/>
        <w:rPr>
          <w:rFonts w:hint="eastAsia" w:ascii="宋体" w:hAnsi="宋体" w:cs="宋体"/>
          <w:color w:val="auto"/>
          <w:sz w:val="24"/>
          <w:highlight w:val="none"/>
          <w:lang w:val="en-US" w:eastAsia="zh-CN"/>
        </w:rPr>
      </w:pPr>
      <w:r>
        <w:rPr>
          <w:rFonts w:hint="eastAsia" w:ascii="宋体" w:hAnsi="宋体" w:cs="宋体"/>
          <w:color w:val="auto"/>
          <w:sz w:val="24"/>
          <w:highlight w:val="none"/>
          <w:lang w:val="en-US" w:eastAsia="zh-CN"/>
        </w:rPr>
        <w:t xml:space="preserve">通讯地址：北京市朝阳区建外大街甲3号 </w:t>
      </w:r>
    </w:p>
    <w:p>
      <w:pPr>
        <w:spacing w:before="360" w:after="240" w:line="360" w:lineRule="auto"/>
        <w:outlineLvl w:val="2"/>
        <w:rPr>
          <w:rFonts w:ascii="宋体" w:hAnsi="宋体" w:cs="宋体"/>
          <w:b/>
          <w:color w:val="auto"/>
          <w:kern w:val="0"/>
          <w:sz w:val="24"/>
          <w:highlight w:val="none"/>
        </w:rPr>
      </w:pPr>
      <w:r>
        <w:rPr>
          <w:rFonts w:hint="eastAsia" w:ascii="宋体" w:hAnsi="宋体" w:cs="宋体"/>
          <w:b/>
          <w:color w:val="auto"/>
          <w:kern w:val="0"/>
          <w:sz w:val="24"/>
          <w:highlight w:val="none"/>
        </w:rPr>
        <w:t>32</w:t>
      </w:r>
      <w:r>
        <w:rPr>
          <w:rFonts w:hint="eastAsia" w:ascii="宋体" w:hAnsi="宋体" w:cs="宋体"/>
          <w:b/>
          <w:bCs/>
          <w:color w:val="auto"/>
          <w:sz w:val="24"/>
          <w:highlight w:val="none"/>
        </w:rPr>
        <w:t>.</w:t>
      </w:r>
      <w:bookmarkEnd w:id="182"/>
      <w:bookmarkEnd w:id="183"/>
      <w:bookmarkEnd w:id="184"/>
      <w:bookmarkEnd w:id="185"/>
      <w:r>
        <w:rPr>
          <w:rFonts w:hint="eastAsia" w:ascii="宋体" w:hAnsi="宋体" w:cs="宋体"/>
          <w:b/>
          <w:color w:val="auto"/>
          <w:kern w:val="0"/>
          <w:sz w:val="24"/>
          <w:highlight w:val="none"/>
        </w:rPr>
        <w:t>招标代理费用</w:t>
      </w:r>
    </w:p>
    <w:p>
      <w:pPr>
        <w:widowControl/>
        <w:numPr>
          <w:ilvl w:val="1"/>
          <w:numId w:val="0"/>
        </w:numPr>
        <w:tabs>
          <w:tab w:val="left" w:pos="480"/>
        </w:tabs>
        <w:spacing w:before="120" w:line="360" w:lineRule="auto"/>
        <w:ind w:left="1080" w:hanging="1080" w:hangingChars="450"/>
        <w:rPr>
          <w:rFonts w:ascii="宋体" w:hAnsi="宋体" w:cs="宋体"/>
          <w:color w:val="auto"/>
          <w:sz w:val="24"/>
          <w:highlight w:val="none"/>
        </w:rPr>
      </w:pPr>
      <w:bookmarkStart w:id="186" w:name="_Ref467307288"/>
      <w:r>
        <w:rPr>
          <w:rFonts w:hint="eastAsia" w:ascii="宋体" w:hAnsi="宋体" w:cs="宋体"/>
          <w:color w:val="auto"/>
          <w:sz w:val="24"/>
          <w:highlight w:val="none"/>
        </w:rPr>
        <w:t>32.1       中标供应商应当向采购代理机构支付招标代理费用。</w:t>
      </w:r>
      <w:bookmarkEnd w:id="186"/>
    </w:p>
    <w:p>
      <w:pPr>
        <w:widowControl/>
        <w:numPr>
          <w:ilvl w:val="1"/>
          <w:numId w:val="0"/>
        </w:numPr>
        <w:tabs>
          <w:tab w:val="left" w:pos="480"/>
        </w:tabs>
        <w:spacing w:before="120" w:line="360" w:lineRule="auto"/>
        <w:ind w:left="1320" w:hanging="1320" w:hangingChars="550"/>
        <w:rPr>
          <w:rFonts w:ascii="宋体" w:hAnsi="宋体" w:cs="宋体"/>
          <w:color w:val="auto"/>
          <w:sz w:val="24"/>
          <w:highlight w:val="none"/>
        </w:rPr>
      </w:pPr>
      <w:r>
        <w:rPr>
          <w:rFonts w:hint="eastAsia" w:ascii="宋体" w:hAnsi="宋体" w:cs="宋体"/>
          <w:color w:val="auto"/>
          <w:sz w:val="24"/>
          <w:highlight w:val="none"/>
        </w:rPr>
        <w:t>32.2       招标代理费用的具体收费办法和标准参照国家发展计划委员会颁发的《招标代理服务收费管理暂行办法》（计价格[2002]1980号）和国家发展改革委办公厅关于招标代理服务收费有关问题的通知（发改办价格[2003]857号）及《国家发改委关于降低部分建设项目收费标准规范收费行为等有关问题的通知》（发改价格[2011]534号）执行。</w:t>
      </w:r>
    </w:p>
    <w:p>
      <w:pPr>
        <w:widowControl/>
        <w:numPr>
          <w:ilvl w:val="1"/>
          <w:numId w:val="0"/>
        </w:numPr>
        <w:tabs>
          <w:tab w:val="left" w:pos="480"/>
        </w:tabs>
        <w:spacing w:before="120" w:line="360" w:lineRule="auto"/>
        <w:ind w:left="1320" w:hanging="1320" w:hangingChars="550"/>
        <w:rPr>
          <w:rFonts w:ascii="宋体" w:hAnsi="宋体" w:cs="宋体"/>
          <w:color w:val="auto"/>
          <w:sz w:val="24"/>
          <w:highlight w:val="none"/>
        </w:rPr>
      </w:pPr>
      <w:r>
        <w:rPr>
          <w:rFonts w:hint="eastAsia" w:ascii="宋体" w:hAnsi="宋体" w:cs="宋体"/>
          <w:color w:val="auto"/>
          <w:sz w:val="24"/>
          <w:highlight w:val="none"/>
        </w:rPr>
        <w:t>32.3       中标供应商应当在领取中标通知书的同时向采购代理机构一次性支付招标代理费用。</w:t>
      </w:r>
    </w:p>
    <w:p>
      <w:pPr>
        <w:widowControl/>
        <w:numPr>
          <w:ilvl w:val="1"/>
          <w:numId w:val="0"/>
        </w:numPr>
        <w:tabs>
          <w:tab w:val="left" w:pos="480"/>
        </w:tabs>
        <w:spacing w:before="120" w:line="360" w:lineRule="auto"/>
        <w:ind w:left="1080" w:hanging="1080" w:hangingChars="450"/>
        <w:rPr>
          <w:rFonts w:ascii="宋体" w:hAnsi="宋体" w:cs="宋体"/>
          <w:color w:val="auto"/>
          <w:sz w:val="24"/>
          <w:highlight w:val="none"/>
        </w:rPr>
      </w:pPr>
      <w:r>
        <w:rPr>
          <w:rFonts w:hint="eastAsia" w:ascii="宋体" w:hAnsi="宋体" w:cs="宋体"/>
          <w:color w:val="auto"/>
          <w:sz w:val="24"/>
          <w:highlight w:val="none"/>
        </w:rPr>
        <w:t>32.4      招标代理费用应当以支票或电汇形式支付。</w:t>
      </w:r>
    </w:p>
    <w:p>
      <w:pPr>
        <w:spacing w:before="360" w:after="240" w:line="360" w:lineRule="auto"/>
        <w:jc w:val="center"/>
        <w:outlineLvl w:val="0"/>
        <w:rPr>
          <w:rFonts w:ascii="宋体" w:hAnsi="宋体" w:cs="宋体"/>
          <w:b/>
          <w:color w:val="auto"/>
          <w:sz w:val="24"/>
          <w:highlight w:val="none"/>
        </w:rPr>
      </w:pPr>
      <w:r>
        <w:rPr>
          <w:rFonts w:hint="eastAsia" w:ascii="宋体" w:hAnsi="宋体" w:cs="宋体"/>
          <w:color w:val="auto"/>
          <w:sz w:val="24"/>
          <w:highlight w:val="none"/>
        </w:rPr>
        <w:br w:type="page"/>
      </w:r>
      <w:bookmarkStart w:id="187" w:name="_Toc5267"/>
      <w:r>
        <w:rPr>
          <w:rFonts w:hint="eastAsia" w:ascii="宋体" w:hAnsi="宋体" w:cs="宋体"/>
          <w:b/>
          <w:color w:val="auto"/>
          <w:sz w:val="28"/>
          <w:szCs w:val="28"/>
          <w:highlight w:val="none"/>
        </w:rPr>
        <w:t xml:space="preserve">第二章  </w:t>
      </w:r>
      <w:bookmarkStart w:id="188" w:name="_Toc99437650"/>
      <w:r>
        <w:rPr>
          <w:rFonts w:hint="eastAsia" w:ascii="宋体" w:hAnsi="宋体" w:cs="宋体"/>
          <w:b/>
          <w:color w:val="auto"/>
          <w:sz w:val="28"/>
          <w:szCs w:val="28"/>
          <w:highlight w:val="none"/>
        </w:rPr>
        <w:t>合同格式及条款</w:t>
      </w:r>
      <w:bookmarkEnd w:id="187"/>
    </w:p>
    <w:bookmarkEnd w:id="188"/>
    <w:p>
      <w:pPr>
        <w:rPr>
          <w:rFonts w:ascii="宋体" w:hAnsi="宋体"/>
          <w:color w:val="auto"/>
          <w:sz w:val="28"/>
          <w:szCs w:val="28"/>
          <w:highlight w:val="none"/>
        </w:rPr>
      </w:pPr>
      <w:bookmarkStart w:id="189" w:name="_Toc332808020"/>
      <w:bookmarkStart w:id="190" w:name="_Toc12197"/>
      <w:r>
        <w:rPr>
          <w:rFonts w:hint="eastAsia" w:ascii="宋体" w:hAnsi="宋体"/>
          <w:color w:val="auto"/>
          <w:sz w:val="28"/>
          <w:szCs w:val="28"/>
          <w:highlight w:val="none"/>
        </w:rPr>
        <w:t>合同登记编号：</w:t>
      </w:r>
    </w:p>
    <w:tbl>
      <w:tblPr>
        <w:tblStyle w:val="28"/>
        <w:tblW w:w="7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1"/>
        <w:gridCol w:w="461"/>
        <w:gridCol w:w="462"/>
        <w:gridCol w:w="461"/>
        <w:gridCol w:w="462"/>
        <w:gridCol w:w="461"/>
        <w:gridCol w:w="462"/>
        <w:gridCol w:w="461"/>
        <w:gridCol w:w="461"/>
        <w:gridCol w:w="462"/>
        <w:gridCol w:w="461"/>
        <w:gridCol w:w="462"/>
        <w:gridCol w:w="461"/>
        <w:gridCol w:w="462"/>
        <w:gridCol w:w="462"/>
        <w:gridCol w:w="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8" w:hRule="atLeast"/>
        </w:trPr>
        <w:tc>
          <w:tcPr>
            <w:tcW w:w="461" w:type="dxa"/>
          </w:tcPr>
          <w:p>
            <w:pPr>
              <w:rPr>
                <w:rFonts w:ascii="宋体" w:hAnsi="宋体"/>
                <w:color w:val="auto"/>
                <w:highlight w:val="none"/>
              </w:rPr>
            </w:pPr>
          </w:p>
        </w:tc>
        <w:tc>
          <w:tcPr>
            <w:tcW w:w="461" w:type="dxa"/>
          </w:tcPr>
          <w:p>
            <w:pPr>
              <w:rPr>
                <w:rFonts w:ascii="宋体" w:hAnsi="宋体"/>
                <w:color w:val="auto"/>
                <w:highlight w:val="none"/>
              </w:rPr>
            </w:pPr>
          </w:p>
        </w:tc>
        <w:tc>
          <w:tcPr>
            <w:tcW w:w="462" w:type="dxa"/>
          </w:tcPr>
          <w:p>
            <w:pPr>
              <w:rPr>
                <w:rFonts w:ascii="宋体" w:hAnsi="宋体"/>
                <w:color w:val="auto"/>
                <w:highlight w:val="none"/>
              </w:rPr>
            </w:pPr>
          </w:p>
        </w:tc>
        <w:tc>
          <w:tcPr>
            <w:tcW w:w="461" w:type="dxa"/>
          </w:tcPr>
          <w:p>
            <w:pPr>
              <w:rPr>
                <w:rFonts w:ascii="宋体" w:hAnsi="宋体"/>
                <w:color w:val="auto"/>
                <w:highlight w:val="none"/>
              </w:rPr>
            </w:pPr>
          </w:p>
        </w:tc>
        <w:tc>
          <w:tcPr>
            <w:tcW w:w="462" w:type="dxa"/>
          </w:tcPr>
          <w:p>
            <w:pPr>
              <w:rPr>
                <w:rFonts w:ascii="宋体" w:hAnsi="宋体"/>
                <w:color w:val="auto"/>
                <w:highlight w:val="none"/>
              </w:rPr>
            </w:pPr>
          </w:p>
        </w:tc>
        <w:tc>
          <w:tcPr>
            <w:tcW w:w="461" w:type="dxa"/>
          </w:tcPr>
          <w:p>
            <w:pPr>
              <w:rPr>
                <w:rFonts w:ascii="宋体" w:hAnsi="宋体"/>
                <w:color w:val="auto"/>
                <w:highlight w:val="none"/>
              </w:rPr>
            </w:pPr>
          </w:p>
        </w:tc>
        <w:tc>
          <w:tcPr>
            <w:tcW w:w="462" w:type="dxa"/>
          </w:tcPr>
          <w:p>
            <w:pPr>
              <w:rPr>
                <w:rFonts w:ascii="宋体" w:hAnsi="宋体"/>
                <w:color w:val="auto"/>
                <w:highlight w:val="none"/>
              </w:rPr>
            </w:pPr>
          </w:p>
        </w:tc>
        <w:tc>
          <w:tcPr>
            <w:tcW w:w="461" w:type="dxa"/>
          </w:tcPr>
          <w:p>
            <w:pPr>
              <w:rPr>
                <w:rFonts w:ascii="宋体" w:hAnsi="宋体"/>
                <w:color w:val="auto"/>
                <w:highlight w:val="none"/>
              </w:rPr>
            </w:pPr>
          </w:p>
        </w:tc>
        <w:tc>
          <w:tcPr>
            <w:tcW w:w="461" w:type="dxa"/>
          </w:tcPr>
          <w:p>
            <w:pPr>
              <w:rPr>
                <w:rFonts w:ascii="宋体" w:hAnsi="宋体"/>
                <w:color w:val="auto"/>
                <w:highlight w:val="none"/>
              </w:rPr>
            </w:pPr>
          </w:p>
        </w:tc>
        <w:tc>
          <w:tcPr>
            <w:tcW w:w="462" w:type="dxa"/>
          </w:tcPr>
          <w:p>
            <w:pPr>
              <w:rPr>
                <w:rFonts w:ascii="宋体" w:hAnsi="宋体"/>
                <w:color w:val="auto"/>
                <w:highlight w:val="none"/>
              </w:rPr>
            </w:pPr>
          </w:p>
        </w:tc>
        <w:tc>
          <w:tcPr>
            <w:tcW w:w="461" w:type="dxa"/>
          </w:tcPr>
          <w:p>
            <w:pPr>
              <w:rPr>
                <w:rFonts w:ascii="宋体" w:hAnsi="宋体"/>
                <w:color w:val="auto"/>
                <w:highlight w:val="none"/>
              </w:rPr>
            </w:pPr>
          </w:p>
        </w:tc>
        <w:tc>
          <w:tcPr>
            <w:tcW w:w="462" w:type="dxa"/>
          </w:tcPr>
          <w:p>
            <w:pPr>
              <w:rPr>
                <w:rFonts w:ascii="宋体" w:hAnsi="宋体"/>
                <w:color w:val="auto"/>
                <w:highlight w:val="none"/>
              </w:rPr>
            </w:pPr>
          </w:p>
        </w:tc>
        <w:tc>
          <w:tcPr>
            <w:tcW w:w="461" w:type="dxa"/>
          </w:tcPr>
          <w:p>
            <w:pPr>
              <w:rPr>
                <w:rFonts w:ascii="宋体" w:hAnsi="宋体"/>
                <w:color w:val="auto"/>
                <w:highlight w:val="none"/>
              </w:rPr>
            </w:pPr>
          </w:p>
        </w:tc>
        <w:tc>
          <w:tcPr>
            <w:tcW w:w="462" w:type="dxa"/>
          </w:tcPr>
          <w:p>
            <w:pPr>
              <w:rPr>
                <w:rFonts w:ascii="宋体" w:hAnsi="宋体"/>
                <w:color w:val="auto"/>
                <w:highlight w:val="none"/>
              </w:rPr>
            </w:pPr>
          </w:p>
        </w:tc>
        <w:tc>
          <w:tcPr>
            <w:tcW w:w="462" w:type="dxa"/>
          </w:tcPr>
          <w:p>
            <w:pPr>
              <w:rPr>
                <w:rFonts w:ascii="宋体" w:hAnsi="宋体"/>
                <w:color w:val="auto"/>
                <w:highlight w:val="none"/>
              </w:rPr>
            </w:pPr>
          </w:p>
        </w:tc>
        <w:tc>
          <w:tcPr>
            <w:tcW w:w="462" w:type="dxa"/>
          </w:tcPr>
          <w:p>
            <w:pPr>
              <w:rPr>
                <w:rFonts w:ascii="宋体" w:hAnsi="宋体"/>
                <w:color w:val="auto"/>
                <w:highlight w:val="none"/>
              </w:rPr>
            </w:pPr>
          </w:p>
        </w:tc>
      </w:tr>
    </w:tbl>
    <w:p>
      <w:pPr>
        <w:rPr>
          <w:rFonts w:ascii="宋体" w:hAnsi="宋体"/>
          <w:color w:val="auto"/>
          <w:highlight w:val="none"/>
        </w:rPr>
      </w:pPr>
    </w:p>
    <w:p>
      <w:pPr>
        <w:rPr>
          <w:rFonts w:ascii="宋体" w:hAnsi="宋体"/>
          <w:color w:val="auto"/>
          <w:highlight w:val="none"/>
        </w:rPr>
      </w:pPr>
    </w:p>
    <w:p>
      <w:pPr>
        <w:tabs>
          <w:tab w:val="left" w:pos="2835"/>
        </w:tabs>
        <w:spacing w:line="480" w:lineRule="auto"/>
        <w:ind w:left="2855" w:hanging="2855" w:hangingChars="790"/>
        <w:jc w:val="center"/>
        <w:rPr>
          <w:rFonts w:ascii="宋体" w:hAnsi="宋体"/>
          <w:b/>
          <w:color w:val="auto"/>
          <w:sz w:val="36"/>
          <w:szCs w:val="36"/>
          <w:highlight w:val="none"/>
        </w:rPr>
      </w:pPr>
    </w:p>
    <w:p>
      <w:pPr>
        <w:tabs>
          <w:tab w:val="left" w:pos="2835"/>
        </w:tabs>
        <w:spacing w:line="480" w:lineRule="auto"/>
        <w:ind w:left="2855" w:hanging="2855" w:hangingChars="790"/>
        <w:jc w:val="center"/>
        <w:rPr>
          <w:rFonts w:ascii="宋体" w:hAnsi="宋体"/>
          <w:b/>
          <w:color w:val="auto"/>
          <w:sz w:val="36"/>
          <w:szCs w:val="36"/>
          <w:highlight w:val="none"/>
        </w:rPr>
      </w:pPr>
    </w:p>
    <w:p>
      <w:pPr>
        <w:spacing w:before="300"/>
        <w:jc w:val="center"/>
        <w:rPr>
          <w:rFonts w:ascii="宋体" w:hAnsi="宋体"/>
          <w:b/>
          <w:bCs/>
          <w:color w:val="auto"/>
          <w:spacing w:val="180"/>
          <w:sz w:val="48"/>
          <w:highlight w:val="none"/>
        </w:rPr>
      </w:pPr>
      <w:r>
        <w:rPr>
          <w:rFonts w:hint="eastAsia" w:ascii="宋体" w:hAnsi="宋体"/>
          <w:b/>
          <w:color w:val="auto"/>
          <w:sz w:val="36"/>
          <w:szCs w:val="36"/>
          <w:highlight w:val="none"/>
        </w:rPr>
        <w:t>北京市福彩综合业务系统升级改造项目</w:t>
      </w:r>
    </w:p>
    <w:p>
      <w:pPr>
        <w:spacing w:before="300"/>
        <w:jc w:val="center"/>
        <w:rPr>
          <w:rFonts w:ascii="宋体" w:hAnsi="宋体"/>
          <w:b/>
          <w:bCs/>
          <w:color w:val="auto"/>
          <w:spacing w:val="180"/>
          <w:sz w:val="48"/>
          <w:highlight w:val="none"/>
        </w:rPr>
      </w:pPr>
      <w:r>
        <w:rPr>
          <w:rFonts w:hint="eastAsia" w:ascii="宋体" w:hAnsi="宋体"/>
          <w:b/>
          <w:bCs/>
          <w:color w:val="auto"/>
          <w:spacing w:val="180"/>
          <w:sz w:val="48"/>
          <w:highlight w:val="none"/>
        </w:rPr>
        <w:t>技术服务合同</w:t>
      </w:r>
    </w:p>
    <w:p>
      <w:pPr>
        <w:spacing w:before="300"/>
        <w:jc w:val="center"/>
        <w:rPr>
          <w:rFonts w:ascii="宋体" w:hAnsi="宋体"/>
          <w:b/>
          <w:bCs/>
          <w:color w:val="auto"/>
          <w:spacing w:val="180"/>
          <w:sz w:val="48"/>
          <w:highlight w:val="none"/>
        </w:rPr>
      </w:pPr>
    </w:p>
    <w:p>
      <w:pPr>
        <w:spacing w:before="360" w:line="360" w:lineRule="exact"/>
        <w:ind w:firstLine="964" w:firstLineChars="300"/>
        <w:rPr>
          <w:rFonts w:ascii="宋体" w:hAnsi="宋体"/>
          <w:b/>
          <w:color w:val="auto"/>
          <w:sz w:val="32"/>
          <w:szCs w:val="32"/>
          <w:highlight w:val="none"/>
        </w:rPr>
      </w:pPr>
      <w:r>
        <w:rPr>
          <w:rFonts w:hint="eastAsia" w:ascii="宋体" w:hAnsi="宋体"/>
          <w:b/>
          <w:color w:val="auto"/>
          <w:sz w:val="32"/>
          <w:szCs w:val="32"/>
          <w:highlight w:val="none"/>
        </w:rPr>
        <w:t>甲    方：</w:t>
      </w:r>
      <w:r>
        <w:rPr>
          <w:rFonts w:ascii="宋体" w:hAnsi="宋体"/>
          <w:b/>
          <w:color w:val="auto"/>
          <w:sz w:val="32"/>
          <w:szCs w:val="32"/>
          <w:highlight w:val="none"/>
        </w:rPr>
        <w:t xml:space="preserve"> </w:t>
      </w:r>
      <w:r>
        <w:rPr>
          <w:rFonts w:hint="eastAsia" w:ascii="宋体" w:hAnsi="宋体"/>
          <w:b/>
          <w:color w:val="auto"/>
          <w:sz w:val="32"/>
          <w:szCs w:val="32"/>
          <w:highlight w:val="none"/>
        </w:rPr>
        <w:t>北京市福利彩票发行中心</w:t>
      </w:r>
    </w:p>
    <w:p>
      <w:pPr>
        <w:spacing w:line="360" w:lineRule="exact"/>
        <w:outlineLvl w:val="0"/>
        <w:rPr>
          <w:rFonts w:ascii="宋体" w:hAnsi="宋体"/>
          <w:b/>
          <w:color w:val="auto"/>
          <w:sz w:val="32"/>
          <w:szCs w:val="32"/>
          <w:highlight w:val="none"/>
        </w:rPr>
      </w:pPr>
    </w:p>
    <w:p>
      <w:pPr>
        <w:spacing w:before="360" w:line="400" w:lineRule="exact"/>
        <w:ind w:firstLine="964" w:firstLineChars="300"/>
        <w:rPr>
          <w:rFonts w:ascii="宋体" w:hAnsi="宋体"/>
          <w:b/>
          <w:color w:val="auto"/>
          <w:sz w:val="32"/>
          <w:szCs w:val="32"/>
          <w:highlight w:val="none"/>
        </w:rPr>
      </w:pPr>
      <w:r>
        <w:rPr>
          <w:rFonts w:hint="eastAsia" w:ascii="宋体" w:hAnsi="宋体"/>
          <w:b/>
          <w:color w:val="auto"/>
          <w:sz w:val="32"/>
          <w:szCs w:val="32"/>
          <w:highlight w:val="none"/>
        </w:rPr>
        <w:t>乙    方：</w:t>
      </w:r>
    </w:p>
    <w:p>
      <w:pPr>
        <w:spacing w:before="360" w:line="400" w:lineRule="exact"/>
        <w:ind w:firstLine="2570" w:firstLineChars="800"/>
        <w:rPr>
          <w:rFonts w:ascii="宋体" w:hAnsi="宋体"/>
          <w:b/>
          <w:color w:val="auto"/>
          <w:sz w:val="32"/>
          <w:szCs w:val="32"/>
          <w:highlight w:val="none"/>
        </w:rPr>
      </w:pPr>
    </w:p>
    <w:p>
      <w:pPr>
        <w:rPr>
          <w:rFonts w:ascii="宋体" w:hAnsi="宋体"/>
          <w:b/>
          <w:color w:val="auto"/>
          <w:sz w:val="32"/>
          <w:szCs w:val="32"/>
          <w:highlight w:val="none"/>
        </w:rPr>
      </w:pPr>
    </w:p>
    <w:p>
      <w:pPr>
        <w:spacing w:line="360" w:lineRule="auto"/>
        <w:ind w:firstLine="964" w:firstLineChars="300"/>
        <w:jc w:val="left"/>
        <w:rPr>
          <w:rFonts w:ascii="宋体" w:hAnsi="宋体"/>
          <w:b/>
          <w:color w:val="auto"/>
          <w:kern w:val="44"/>
          <w:sz w:val="32"/>
          <w:szCs w:val="32"/>
          <w:highlight w:val="none"/>
        </w:rPr>
      </w:pPr>
      <w:r>
        <w:rPr>
          <w:rFonts w:hint="eastAsia" w:ascii="宋体" w:hAnsi="宋体"/>
          <w:b/>
          <w:color w:val="auto"/>
          <w:kern w:val="44"/>
          <w:sz w:val="32"/>
          <w:szCs w:val="32"/>
          <w:highlight w:val="none"/>
        </w:rPr>
        <w:t>签订地点</w:t>
      </w:r>
      <w:r>
        <w:rPr>
          <w:rFonts w:ascii="宋体" w:hAnsi="宋体"/>
          <w:b/>
          <w:color w:val="auto"/>
          <w:kern w:val="44"/>
          <w:sz w:val="32"/>
          <w:szCs w:val="32"/>
          <w:highlight w:val="none"/>
        </w:rPr>
        <w:t>:</w:t>
      </w:r>
      <w:r>
        <w:rPr>
          <w:rFonts w:hint="eastAsia" w:ascii="宋体" w:hAnsi="宋体"/>
          <w:b/>
          <w:color w:val="auto"/>
          <w:kern w:val="44"/>
          <w:sz w:val="32"/>
          <w:szCs w:val="32"/>
          <w:highlight w:val="none"/>
        </w:rPr>
        <w:t xml:space="preserve">      </w:t>
      </w:r>
    </w:p>
    <w:p>
      <w:pPr>
        <w:spacing w:line="360" w:lineRule="auto"/>
        <w:ind w:firstLine="964" w:firstLineChars="300"/>
        <w:jc w:val="left"/>
        <w:rPr>
          <w:rFonts w:ascii="宋体" w:hAnsi="宋体"/>
          <w:b/>
          <w:color w:val="auto"/>
          <w:kern w:val="44"/>
          <w:sz w:val="32"/>
          <w:szCs w:val="32"/>
          <w:highlight w:val="none"/>
        </w:rPr>
      </w:pPr>
      <w:r>
        <w:rPr>
          <w:rFonts w:hint="eastAsia" w:ascii="宋体" w:hAnsi="宋体"/>
          <w:b/>
          <w:color w:val="auto"/>
          <w:kern w:val="44"/>
          <w:sz w:val="32"/>
          <w:szCs w:val="32"/>
          <w:highlight w:val="none"/>
        </w:rPr>
        <w:t>签订时间：     年   月   日</w:t>
      </w:r>
    </w:p>
    <w:p>
      <w:pPr>
        <w:spacing w:line="360" w:lineRule="auto"/>
        <w:ind w:firstLine="964" w:firstLineChars="300"/>
        <w:jc w:val="left"/>
        <w:rPr>
          <w:rFonts w:ascii="宋体" w:hAnsi="宋体"/>
          <w:b/>
          <w:color w:val="auto"/>
          <w:kern w:val="44"/>
          <w:sz w:val="32"/>
          <w:szCs w:val="32"/>
          <w:highlight w:val="none"/>
        </w:rPr>
      </w:pPr>
      <w:r>
        <w:rPr>
          <w:rFonts w:hint="eastAsia" w:ascii="宋体" w:hAnsi="宋体"/>
          <w:b/>
          <w:color w:val="auto"/>
          <w:kern w:val="44"/>
          <w:sz w:val="32"/>
          <w:szCs w:val="32"/>
          <w:highlight w:val="none"/>
        </w:rPr>
        <w:t>有效期限</w:t>
      </w:r>
      <w:r>
        <w:rPr>
          <w:rFonts w:ascii="宋体" w:hAnsi="宋体"/>
          <w:b/>
          <w:color w:val="auto"/>
          <w:kern w:val="44"/>
          <w:sz w:val="32"/>
          <w:szCs w:val="32"/>
          <w:highlight w:val="none"/>
        </w:rPr>
        <w:t>:</w:t>
      </w:r>
      <w:r>
        <w:rPr>
          <w:rFonts w:hint="eastAsia" w:ascii="宋体" w:hAnsi="宋体"/>
          <w:b/>
          <w:color w:val="auto"/>
          <w:kern w:val="44"/>
          <w:sz w:val="32"/>
          <w:szCs w:val="32"/>
          <w:highlight w:val="none"/>
        </w:rPr>
        <w:t xml:space="preserve">      年   月   日    至    年   月   日</w:t>
      </w:r>
    </w:p>
    <w:p>
      <w:pPr>
        <w:spacing w:line="360" w:lineRule="auto"/>
        <w:ind w:firstLine="600" w:firstLineChars="250"/>
        <w:rPr>
          <w:rFonts w:hint="eastAsia" w:ascii="宋体" w:hAnsi="宋体"/>
          <w:color w:val="auto"/>
          <w:sz w:val="24"/>
          <w:highlight w:val="none"/>
          <w:u w:val="single"/>
        </w:rPr>
      </w:pPr>
      <w:r>
        <w:rPr>
          <w:rFonts w:hint="eastAsia" w:ascii="宋体" w:hAnsi="宋体"/>
          <w:color w:val="auto"/>
          <w:sz w:val="24"/>
          <w:highlight w:val="none"/>
          <w:u w:val="single"/>
        </w:rPr>
        <w:br w:type="page"/>
      </w:r>
    </w:p>
    <w:p>
      <w:pPr>
        <w:spacing w:line="360" w:lineRule="auto"/>
        <w:ind w:firstLine="600" w:firstLineChars="250"/>
        <w:rPr>
          <w:rFonts w:ascii="宋体" w:hAnsi="宋体"/>
          <w:color w:val="auto"/>
          <w:sz w:val="24"/>
          <w:highlight w:val="none"/>
        </w:rPr>
      </w:pPr>
      <w:r>
        <w:rPr>
          <w:rFonts w:hint="eastAsia" w:ascii="宋体" w:hAnsi="宋体"/>
          <w:color w:val="auto"/>
          <w:sz w:val="24"/>
          <w:highlight w:val="none"/>
          <w:u w:val="single"/>
        </w:rPr>
        <w:t>北京市福利彩票发行中心</w:t>
      </w:r>
      <w:r>
        <w:rPr>
          <w:rFonts w:hint="eastAsia" w:ascii="宋体" w:hAnsi="宋体"/>
          <w:color w:val="auto"/>
          <w:sz w:val="24"/>
          <w:highlight w:val="none"/>
        </w:rPr>
        <w:t>（甲方）的</w:t>
      </w:r>
      <w:r>
        <w:rPr>
          <w:rFonts w:hint="eastAsia" w:ascii="宋体" w:hAnsi="宋体"/>
          <w:color w:val="auto"/>
          <w:sz w:val="24"/>
          <w:highlight w:val="none"/>
          <w:u w:val="single"/>
        </w:rPr>
        <w:t>北京市福彩综合业务系统升级改造项目</w:t>
      </w:r>
      <w:r>
        <w:rPr>
          <w:rFonts w:hint="eastAsia" w:ascii="宋体" w:hAnsi="宋体"/>
          <w:color w:val="auto"/>
          <w:sz w:val="24"/>
          <w:highlight w:val="none"/>
        </w:rPr>
        <w:t>经</w:t>
      </w:r>
      <w:r>
        <w:rPr>
          <w:rFonts w:hint="eastAsia" w:ascii="宋体" w:hAnsi="宋体"/>
          <w:color w:val="auto"/>
          <w:sz w:val="24"/>
          <w:highlight w:val="none"/>
          <w:u w:val="single"/>
        </w:rPr>
        <w:t>北京国际贸易</w:t>
      </w:r>
      <w:r>
        <w:rPr>
          <w:rFonts w:ascii="宋体" w:hAnsi="宋体"/>
          <w:color w:val="auto"/>
          <w:sz w:val="24"/>
          <w:highlight w:val="none"/>
          <w:u w:val="single"/>
        </w:rPr>
        <w:t>公司</w:t>
      </w:r>
      <w:r>
        <w:rPr>
          <w:rFonts w:hint="eastAsia" w:ascii="宋体" w:hAnsi="宋体"/>
          <w:color w:val="auto"/>
          <w:sz w:val="24"/>
          <w:highlight w:val="none"/>
        </w:rPr>
        <w:t>（招标代理单位）以（项目编号）招标文件在国内进行公开招标。 经评标委员会评定，确定（乙方）为中标人。甲乙双方根据《中华人民共和国政府采购法》、《中华人民共和国合同法》等相关法律法规以及本项目招标文件的规定，经合同双方平等协商达成本合同：</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下列文件构成本合同的组成部分，应该认为是一个整体，彼此相互解释，相互补充。为便于解释，组成合同的多个文件的优先支配地位的次序如下：</w:t>
      </w:r>
    </w:p>
    <w:p>
      <w:pPr>
        <w:numPr>
          <w:ilvl w:val="0"/>
          <w:numId w:val="2"/>
        </w:numPr>
        <w:snapToGrid w:val="0"/>
        <w:spacing w:line="360" w:lineRule="auto"/>
        <w:rPr>
          <w:rFonts w:ascii="宋体" w:hAnsi="宋体"/>
          <w:color w:val="auto"/>
          <w:sz w:val="24"/>
          <w:highlight w:val="none"/>
        </w:rPr>
      </w:pPr>
      <w:r>
        <w:rPr>
          <w:rFonts w:hint="eastAsia" w:ascii="宋体" w:hAnsi="宋体"/>
          <w:color w:val="auto"/>
          <w:sz w:val="24"/>
          <w:highlight w:val="none"/>
        </w:rPr>
        <w:t>本合同书</w:t>
      </w:r>
    </w:p>
    <w:p>
      <w:pPr>
        <w:numPr>
          <w:ilvl w:val="0"/>
          <w:numId w:val="2"/>
        </w:numPr>
        <w:snapToGrid w:val="0"/>
        <w:spacing w:line="360" w:lineRule="auto"/>
        <w:rPr>
          <w:rFonts w:ascii="宋体" w:hAnsi="宋体"/>
          <w:color w:val="auto"/>
          <w:sz w:val="24"/>
          <w:highlight w:val="none"/>
        </w:rPr>
      </w:pPr>
      <w:r>
        <w:rPr>
          <w:rFonts w:hint="eastAsia" w:ascii="宋体" w:hAnsi="宋体"/>
          <w:color w:val="auto"/>
          <w:sz w:val="24"/>
          <w:highlight w:val="none"/>
        </w:rPr>
        <w:t>补充协议　</w:t>
      </w:r>
    </w:p>
    <w:p>
      <w:pPr>
        <w:numPr>
          <w:ilvl w:val="0"/>
          <w:numId w:val="2"/>
        </w:numPr>
        <w:snapToGrid w:val="0"/>
        <w:spacing w:line="360" w:lineRule="auto"/>
        <w:rPr>
          <w:rFonts w:ascii="宋体" w:hAnsi="宋体"/>
          <w:color w:val="auto"/>
          <w:sz w:val="24"/>
          <w:highlight w:val="none"/>
        </w:rPr>
      </w:pPr>
      <w:r>
        <w:rPr>
          <w:rFonts w:hint="eastAsia" w:ascii="宋体" w:hAnsi="宋体"/>
          <w:color w:val="auto"/>
          <w:sz w:val="24"/>
          <w:highlight w:val="none"/>
        </w:rPr>
        <w:t>中标通知书</w:t>
      </w:r>
    </w:p>
    <w:p>
      <w:pPr>
        <w:numPr>
          <w:ilvl w:val="0"/>
          <w:numId w:val="2"/>
        </w:numPr>
        <w:snapToGrid w:val="0"/>
        <w:spacing w:line="360" w:lineRule="auto"/>
        <w:rPr>
          <w:rFonts w:ascii="宋体" w:hAnsi="宋体"/>
          <w:color w:val="auto"/>
          <w:sz w:val="24"/>
          <w:highlight w:val="none"/>
        </w:rPr>
      </w:pPr>
      <w:r>
        <w:rPr>
          <w:rFonts w:hint="eastAsia" w:ascii="宋体" w:hAnsi="宋体"/>
          <w:color w:val="auto"/>
          <w:sz w:val="24"/>
          <w:highlight w:val="none"/>
        </w:rPr>
        <w:t>投标文件</w:t>
      </w:r>
    </w:p>
    <w:p>
      <w:pPr>
        <w:numPr>
          <w:ilvl w:val="0"/>
          <w:numId w:val="2"/>
        </w:numPr>
        <w:snapToGrid w:val="0"/>
        <w:spacing w:line="360" w:lineRule="auto"/>
        <w:rPr>
          <w:rFonts w:ascii="宋体" w:hAnsi="宋体"/>
          <w:b/>
          <w:color w:val="auto"/>
          <w:sz w:val="24"/>
          <w:highlight w:val="none"/>
        </w:rPr>
      </w:pPr>
      <w:r>
        <w:rPr>
          <w:rFonts w:hint="eastAsia" w:ascii="宋体" w:hAnsi="宋体"/>
          <w:color w:val="auto"/>
          <w:sz w:val="24"/>
          <w:highlight w:val="none"/>
        </w:rPr>
        <w:t>招标文件</w:t>
      </w:r>
    </w:p>
    <w:p>
      <w:pPr>
        <w:snapToGrid w:val="0"/>
        <w:spacing w:line="360" w:lineRule="auto"/>
        <w:ind w:left="560"/>
        <w:rPr>
          <w:rFonts w:ascii="宋体" w:hAnsi="宋体"/>
          <w:color w:val="auto"/>
          <w:sz w:val="24"/>
          <w:highlight w:val="none"/>
        </w:rPr>
      </w:pPr>
      <w:r>
        <w:rPr>
          <w:rFonts w:ascii="宋体" w:hAnsi="宋体"/>
          <w:color w:val="auto"/>
          <w:sz w:val="24"/>
          <w:highlight w:val="none"/>
        </w:rPr>
        <w:t>本合同附件及补充协议与本合同具有同等法律效力</w:t>
      </w:r>
      <w:r>
        <w:rPr>
          <w:rFonts w:hint="eastAsia" w:ascii="宋体" w:hAnsi="宋体"/>
          <w:color w:val="auto"/>
          <w:sz w:val="24"/>
          <w:highlight w:val="none"/>
        </w:rPr>
        <w:t>。</w:t>
      </w:r>
    </w:p>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一. 合同名词术语定义</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 xml:space="preserve">. </w:t>
      </w:r>
      <w:r>
        <w:rPr>
          <w:rFonts w:hint="eastAsia" w:ascii="宋体" w:hAnsi="宋体"/>
          <w:color w:val="auto"/>
          <w:sz w:val="24"/>
          <w:highlight w:val="none"/>
        </w:rPr>
        <w:t>“项目”指</w:t>
      </w:r>
      <w:r>
        <w:rPr>
          <w:rFonts w:hint="eastAsia" w:ascii="宋体" w:hAnsi="宋体" w:cs="宋体"/>
          <w:color w:val="auto"/>
          <w:sz w:val="24"/>
          <w:highlight w:val="none"/>
        </w:rPr>
        <w:t>北京市福彩综合业务系统升级改造项目</w:t>
      </w:r>
      <w:r>
        <w:rPr>
          <w:rFonts w:hint="eastAsia" w:ascii="宋体" w:hAnsi="宋体"/>
          <w:color w:val="auto"/>
          <w:sz w:val="24"/>
          <w:highlight w:val="none"/>
        </w:rPr>
        <w:t>。“合同”指甲乙双方签署的，与本项目相关的协议、附件、附录和其他一切文件。</w:t>
      </w:r>
    </w:p>
    <w:p>
      <w:pPr>
        <w:snapToGrid w:val="0"/>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2. </w:t>
      </w:r>
      <w:r>
        <w:rPr>
          <w:rFonts w:hint="eastAsia" w:ascii="宋体" w:hAnsi="宋体"/>
          <w:color w:val="auto"/>
          <w:sz w:val="24"/>
          <w:highlight w:val="none"/>
        </w:rPr>
        <w:t>“附件”是指与本合同的订立、履行有关的，经甲乙双方有权代表书面签字认可的，对本合同约定的内容进行细化、补充、修改、变更的文件、图纸、音像制品等资料。本合同包括《</w:t>
      </w:r>
      <w:r>
        <w:rPr>
          <w:rFonts w:hint="eastAsia" w:ascii="宋体" w:hAnsi="宋体" w:cs="宋体"/>
          <w:color w:val="auto"/>
          <w:sz w:val="24"/>
          <w:highlight w:val="none"/>
        </w:rPr>
        <w:t>北京市福彩综合业务系统升级改造项目</w:t>
      </w:r>
      <w:r>
        <w:rPr>
          <w:rFonts w:hint="eastAsia" w:ascii="宋体" w:hAnsi="宋体"/>
          <w:color w:val="auto"/>
          <w:sz w:val="24"/>
          <w:highlight w:val="none"/>
        </w:rPr>
        <w:t>报价》和《</w:t>
      </w:r>
      <w:r>
        <w:rPr>
          <w:rFonts w:hint="eastAsia" w:ascii="宋体" w:hAnsi="宋体" w:cs="宋体"/>
          <w:color w:val="auto"/>
          <w:sz w:val="24"/>
          <w:highlight w:val="none"/>
        </w:rPr>
        <w:t>北京市福彩综合业务系统升级改造项目</w:t>
      </w:r>
      <w:r>
        <w:rPr>
          <w:rFonts w:hint="eastAsia" w:ascii="宋体" w:hAnsi="宋体"/>
          <w:color w:val="auto"/>
          <w:sz w:val="24"/>
          <w:highlight w:val="none"/>
        </w:rPr>
        <w:t>主要人员名单》两个附件。</w:t>
      </w:r>
    </w:p>
    <w:p>
      <w:pPr>
        <w:snapToGrid w:val="0"/>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3. </w:t>
      </w:r>
      <w:r>
        <w:rPr>
          <w:rFonts w:hint="eastAsia" w:ascii="宋体" w:hAnsi="宋体"/>
          <w:color w:val="auto"/>
          <w:sz w:val="24"/>
          <w:highlight w:val="none"/>
        </w:rPr>
        <w:t>“合同价款”：系指根据本合同规定乙方在正确、全面地履行合同义务后，甲方应支付给乙方的费用金额。</w:t>
      </w:r>
    </w:p>
    <w:p>
      <w:pPr>
        <w:snapToGrid w:val="0"/>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4. </w:t>
      </w:r>
      <w:r>
        <w:rPr>
          <w:rFonts w:hint="eastAsia" w:ascii="宋体" w:hAnsi="宋体"/>
          <w:color w:val="auto"/>
          <w:sz w:val="24"/>
          <w:highlight w:val="none"/>
        </w:rPr>
        <w:t>“服务”指根据合同规定乙方应承担的与供货有关的辅助服务，包括（但不限于）基础保障服务、常规服务、专业服务以及人员外包服务。</w:t>
      </w:r>
    </w:p>
    <w:p>
      <w:pPr>
        <w:snapToGrid w:val="0"/>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5. </w:t>
      </w:r>
      <w:r>
        <w:rPr>
          <w:rFonts w:hint="eastAsia" w:ascii="宋体" w:hAnsi="宋体"/>
          <w:color w:val="auto"/>
          <w:sz w:val="24"/>
          <w:highlight w:val="none"/>
        </w:rPr>
        <w:t>“产品”：系指乙方在合同项下负责提供并安装的所有软件、硬件设备。</w:t>
      </w:r>
    </w:p>
    <w:p>
      <w:pPr>
        <w:snapToGrid w:val="0"/>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6. </w:t>
      </w:r>
      <w:r>
        <w:rPr>
          <w:rFonts w:hint="eastAsia" w:ascii="宋体" w:hAnsi="宋体"/>
          <w:color w:val="auto"/>
          <w:sz w:val="24"/>
          <w:highlight w:val="none"/>
        </w:rPr>
        <w:t>“监理人”：指甲方委托对本合同实施监理的当事人（即XXX（中标监理公司</w:t>
      </w:r>
      <w:r>
        <w:rPr>
          <w:rFonts w:ascii="宋体" w:hAnsi="宋体"/>
          <w:color w:val="auto"/>
          <w:sz w:val="24"/>
          <w:highlight w:val="none"/>
        </w:rPr>
        <w:t>名称</w:t>
      </w:r>
      <w:r>
        <w:rPr>
          <w:rFonts w:hint="eastAsia" w:ascii="宋体" w:hAnsi="宋体"/>
          <w:color w:val="auto"/>
          <w:sz w:val="24"/>
          <w:highlight w:val="none"/>
        </w:rPr>
        <w:t>））</w:t>
      </w:r>
    </w:p>
    <w:p>
      <w:pPr>
        <w:snapToGrid w:val="0"/>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7. </w:t>
      </w:r>
      <w:r>
        <w:rPr>
          <w:rFonts w:hint="eastAsia" w:ascii="宋体" w:hAnsi="宋体"/>
          <w:color w:val="auto"/>
          <w:sz w:val="24"/>
          <w:highlight w:val="none"/>
        </w:rPr>
        <w:t>“质量保证期”指自项目完成验收合格之日起</w:t>
      </w:r>
      <w:r>
        <w:rPr>
          <w:rFonts w:ascii="宋体" w:hAnsi="宋体"/>
          <w:color w:val="auto"/>
          <w:sz w:val="24"/>
          <w:highlight w:val="none"/>
        </w:rPr>
        <w:t>36</w:t>
      </w:r>
      <w:r>
        <w:rPr>
          <w:rFonts w:hint="eastAsia" w:ascii="宋体" w:hAnsi="宋体"/>
          <w:color w:val="auto"/>
          <w:sz w:val="24"/>
          <w:highlight w:val="none"/>
        </w:rPr>
        <w:t>个月内，乙方以自担费用方式保证合同产品正常运行的时期。</w:t>
      </w:r>
    </w:p>
    <w:p>
      <w:pPr>
        <w:snapToGrid w:val="0"/>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8. </w:t>
      </w:r>
      <w:r>
        <w:rPr>
          <w:rFonts w:hint="eastAsia" w:ascii="宋体" w:hAnsi="宋体"/>
          <w:color w:val="auto"/>
          <w:sz w:val="24"/>
          <w:highlight w:val="none"/>
        </w:rPr>
        <w:t>“补充协议”指合同签订后经甲乙双方协商一致形成的，对合同进行的补充或变更。</w:t>
      </w:r>
    </w:p>
    <w:p>
      <w:pPr>
        <w:pStyle w:val="2"/>
        <w:numPr>
          <w:ilvl w:val="0"/>
          <w:numId w:val="0"/>
        </w:numPr>
        <w:spacing w:before="0" w:after="0" w:line="360" w:lineRule="auto"/>
        <w:ind w:left="432" w:hanging="432"/>
        <w:jc w:val="both"/>
        <w:rPr>
          <w:color w:val="auto"/>
          <w:sz w:val="24"/>
          <w:highlight w:val="none"/>
        </w:rPr>
      </w:pPr>
      <w:bookmarkStart w:id="191" w:name="_Toc266893067"/>
      <w:bookmarkStart w:id="192" w:name="_Toc266880895"/>
      <w:bookmarkStart w:id="193" w:name="_Toc266711110"/>
      <w:bookmarkStart w:id="194" w:name="_Toc266880777"/>
      <w:r>
        <w:rPr>
          <w:rFonts w:hint="eastAsia"/>
          <w:color w:val="auto"/>
          <w:sz w:val="24"/>
          <w:highlight w:val="none"/>
        </w:rPr>
        <w:t>二. 合同的范围、内容</w:t>
      </w:r>
      <w:bookmarkEnd w:id="191"/>
      <w:bookmarkEnd w:id="192"/>
      <w:bookmarkEnd w:id="193"/>
      <w:bookmarkEnd w:id="194"/>
    </w:p>
    <w:p>
      <w:pPr>
        <w:pStyle w:val="29"/>
        <w:numPr>
          <w:ilvl w:val="0"/>
          <w:numId w:val="3"/>
        </w:numPr>
        <w:spacing w:line="360" w:lineRule="auto"/>
        <w:ind w:left="0" w:firstLine="484" w:firstLineChars="202"/>
        <w:rPr>
          <w:rFonts w:ascii="宋体" w:hAnsi="宋体"/>
          <w:color w:val="auto"/>
          <w:sz w:val="24"/>
          <w:szCs w:val="24"/>
          <w:highlight w:val="none"/>
        </w:rPr>
      </w:pPr>
      <w:r>
        <w:rPr>
          <w:rFonts w:hint="eastAsia" w:ascii="宋体" w:hAnsi="宋体"/>
          <w:color w:val="auto"/>
          <w:sz w:val="24"/>
          <w:szCs w:val="24"/>
          <w:highlight w:val="none"/>
        </w:rPr>
        <w:t>本项目主要完成</w:t>
      </w:r>
      <w:r>
        <w:rPr>
          <w:rFonts w:hint="eastAsia" w:ascii="宋体" w:hAnsi="宋体" w:cs="宋体"/>
          <w:color w:val="auto"/>
          <w:sz w:val="24"/>
          <w:highlight w:val="none"/>
        </w:rPr>
        <w:t>北京市福彩综合业务系统升级改造项目</w:t>
      </w:r>
      <w:r>
        <w:rPr>
          <w:rFonts w:hint="eastAsia" w:ascii="宋体" w:hAnsi="宋体"/>
          <w:color w:val="auto"/>
          <w:sz w:val="24"/>
          <w:szCs w:val="24"/>
          <w:highlight w:val="none"/>
        </w:rPr>
        <w:t>建设工作。</w:t>
      </w:r>
    </w:p>
    <w:p>
      <w:pPr>
        <w:pStyle w:val="29"/>
        <w:numPr>
          <w:ilvl w:val="0"/>
          <w:numId w:val="3"/>
        </w:numPr>
        <w:spacing w:line="360" w:lineRule="auto"/>
        <w:ind w:left="0" w:firstLine="484" w:firstLineChars="202"/>
        <w:rPr>
          <w:rFonts w:ascii="宋体" w:hAnsi="宋体"/>
          <w:color w:val="auto"/>
          <w:sz w:val="24"/>
          <w:szCs w:val="24"/>
          <w:highlight w:val="none"/>
        </w:rPr>
      </w:pPr>
      <w:r>
        <w:rPr>
          <w:rFonts w:hint="eastAsia" w:ascii="宋体" w:hAnsi="宋体"/>
          <w:color w:val="auto"/>
          <w:sz w:val="24"/>
          <w:szCs w:val="24"/>
          <w:highlight w:val="none"/>
        </w:rPr>
        <w:t>本项目各系统具体功能和技术要求如下（详见附件三项目技术要求）：</w:t>
      </w:r>
    </w:p>
    <w:p>
      <w:pPr>
        <w:pStyle w:val="19"/>
        <w:spacing w:line="360" w:lineRule="auto"/>
        <w:ind w:left="0" w:leftChars="0" w:firstLine="480" w:firstLineChars="200"/>
        <w:rPr>
          <w:color w:val="auto"/>
          <w:sz w:val="24"/>
          <w:szCs w:val="24"/>
          <w:highlight w:val="none"/>
        </w:rPr>
      </w:pPr>
      <w:r>
        <w:rPr>
          <w:rFonts w:hint="eastAsia" w:ascii="宋体" w:hAnsi="宋体"/>
          <w:color w:val="auto"/>
          <w:sz w:val="24"/>
          <w:highlight w:val="none"/>
        </w:rPr>
        <w:t>基于</w:t>
      </w:r>
      <w:r>
        <w:rPr>
          <w:rFonts w:hint="eastAsia" w:ascii="宋体" w:hAnsi="宋体" w:cs="宋体"/>
          <w:color w:val="auto"/>
          <w:sz w:val="24"/>
          <w:highlight w:val="none"/>
        </w:rPr>
        <w:t>北京市福彩综合业务</w:t>
      </w:r>
      <w:r>
        <w:rPr>
          <w:rFonts w:hint="eastAsia" w:ascii="宋体" w:hAnsi="宋体"/>
          <w:color w:val="auto"/>
          <w:sz w:val="24"/>
          <w:highlight w:val="none"/>
        </w:rPr>
        <w:t>需求，</w:t>
      </w:r>
      <w:r>
        <w:rPr>
          <w:rFonts w:hint="eastAsia"/>
          <w:color w:val="auto"/>
          <w:sz w:val="24"/>
          <w:szCs w:val="24"/>
          <w:highlight w:val="none"/>
        </w:rPr>
        <w:t>按照中心的工作计划要求，实事求是地采取多种措施，解决影响和制约中心今后发展面临的问题,辅助中心完成重要决策。使之更好的为中心各项工作的开展提供强有力的技术支持，完成网点子系统、GIS子系统、设备管理子系统、财务子系统、后台综合管理系统和与民政局数据资源服务平台接口。</w:t>
      </w:r>
    </w:p>
    <w:p>
      <w:pPr>
        <w:pStyle w:val="19"/>
        <w:numPr>
          <w:ilvl w:val="0"/>
          <w:numId w:val="4"/>
        </w:numPr>
        <w:spacing w:line="360" w:lineRule="auto"/>
        <w:ind w:leftChars="0"/>
        <w:rPr>
          <w:color w:val="auto"/>
          <w:sz w:val="24"/>
          <w:szCs w:val="24"/>
          <w:highlight w:val="none"/>
        </w:rPr>
      </w:pPr>
      <w:r>
        <w:rPr>
          <w:rFonts w:hint="eastAsia"/>
          <w:color w:val="auto"/>
          <w:sz w:val="24"/>
          <w:szCs w:val="24"/>
          <w:highlight w:val="none"/>
        </w:rPr>
        <w:t>网点子系统</w:t>
      </w:r>
    </w:p>
    <w:p>
      <w:pPr>
        <w:pStyle w:val="19"/>
        <w:spacing w:line="360" w:lineRule="auto"/>
        <w:ind w:left="900" w:leftChars="0"/>
        <w:rPr>
          <w:color w:val="auto"/>
          <w:sz w:val="24"/>
          <w:szCs w:val="24"/>
          <w:highlight w:val="none"/>
        </w:rPr>
      </w:pPr>
      <w:r>
        <w:rPr>
          <w:rFonts w:hint="eastAsia"/>
          <w:color w:val="auto"/>
          <w:sz w:val="24"/>
          <w:szCs w:val="24"/>
          <w:highlight w:val="none"/>
        </w:rPr>
        <w:t xml:space="preserve"> </w:t>
      </w:r>
      <w:r>
        <w:rPr>
          <w:color w:val="auto"/>
          <w:sz w:val="24"/>
          <w:szCs w:val="24"/>
          <w:highlight w:val="none"/>
        </w:rPr>
        <w:t xml:space="preserve">  </w:t>
      </w:r>
      <w:r>
        <w:rPr>
          <w:rFonts w:hint="eastAsia"/>
          <w:color w:val="auto"/>
          <w:sz w:val="24"/>
          <w:szCs w:val="24"/>
          <w:highlight w:val="none"/>
        </w:rPr>
        <w:t>网点子系统是本系统业务功能的基础，实现了对各个网点的基本信息维护以及管理等功能。</w:t>
      </w:r>
    </w:p>
    <w:p>
      <w:pPr>
        <w:pStyle w:val="19"/>
        <w:spacing w:line="360" w:lineRule="auto"/>
        <w:ind w:left="900" w:hanging="480" w:hangingChars="200"/>
        <w:rPr>
          <w:color w:val="auto"/>
          <w:sz w:val="24"/>
          <w:szCs w:val="24"/>
          <w:highlight w:val="none"/>
        </w:rPr>
      </w:pPr>
      <w:r>
        <w:rPr>
          <w:rFonts w:hint="eastAsia"/>
          <w:color w:val="auto"/>
          <w:sz w:val="24"/>
          <w:szCs w:val="24"/>
          <w:highlight w:val="none"/>
        </w:rPr>
        <w:t xml:space="preserve"> </w:t>
      </w:r>
      <w:r>
        <w:rPr>
          <w:color w:val="auto"/>
          <w:sz w:val="24"/>
          <w:szCs w:val="24"/>
          <w:highlight w:val="none"/>
        </w:rPr>
        <w:t xml:space="preserve">      </w:t>
      </w:r>
      <w:r>
        <w:rPr>
          <w:rFonts w:hint="eastAsia"/>
          <w:color w:val="auto"/>
          <w:sz w:val="24"/>
          <w:szCs w:val="24"/>
          <w:highlight w:val="none"/>
        </w:rPr>
        <w:t>主要包含：网点开停机管理、网点报修管理、网点资料变更管理、网点奖惩、每月收费管理。</w:t>
      </w:r>
    </w:p>
    <w:p>
      <w:pPr>
        <w:pStyle w:val="19"/>
        <w:numPr>
          <w:ilvl w:val="0"/>
          <w:numId w:val="4"/>
        </w:numPr>
        <w:spacing w:line="360" w:lineRule="auto"/>
        <w:ind w:leftChars="0"/>
        <w:rPr>
          <w:color w:val="auto"/>
          <w:sz w:val="24"/>
          <w:szCs w:val="24"/>
          <w:highlight w:val="none"/>
        </w:rPr>
      </w:pPr>
      <w:r>
        <w:rPr>
          <w:rFonts w:hint="eastAsia"/>
          <w:color w:val="auto"/>
          <w:sz w:val="24"/>
          <w:szCs w:val="24"/>
          <w:highlight w:val="none"/>
        </w:rPr>
        <w:t>GIS子系统</w:t>
      </w:r>
    </w:p>
    <w:p>
      <w:pPr>
        <w:pStyle w:val="19"/>
        <w:spacing w:line="360" w:lineRule="auto"/>
        <w:rPr>
          <w:color w:val="auto"/>
          <w:sz w:val="24"/>
          <w:szCs w:val="24"/>
          <w:highlight w:val="none"/>
        </w:rPr>
      </w:pPr>
      <w:r>
        <w:rPr>
          <w:rFonts w:hint="eastAsia"/>
          <w:color w:val="auto"/>
          <w:sz w:val="24"/>
          <w:szCs w:val="24"/>
          <w:highlight w:val="none"/>
        </w:rPr>
        <w:t xml:space="preserve"> </w:t>
      </w:r>
      <w:r>
        <w:rPr>
          <w:color w:val="auto"/>
          <w:sz w:val="24"/>
          <w:szCs w:val="24"/>
          <w:highlight w:val="none"/>
        </w:rPr>
        <w:t xml:space="preserve">      </w:t>
      </w:r>
      <w:r>
        <w:rPr>
          <w:rFonts w:hint="eastAsia"/>
          <w:color w:val="auto"/>
          <w:sz w:val="24"/>
          <w:szCs w:val="24"/>
          <w:highlight w:val="none"/>
        </w:rPr>
        <w:t>GIS子系统通过地图相关功能，实现以下功能。</w:t>
      </w:r>
    </w:p>
    <w:p>
      <w:pPr>
        <w:pStyle w:val="19"/>
        <w:spacing w:line="360" w:lineRule="auto"/>
        <w:ind w:left="630" w:leftChars="300" w:firstLine="480" w:firstLineChars="200"/>
        <w:rPr>
          <w:color w:val="auto"/>
          <w:sz w:val="24"/>
          <w:szCs w:val="24"/>
          <w:highlight w:val="none"/>
        </w:rPr>
      </w:pPr>
      <w:r>
        <w:rPr>
          <w:rFonts w:hint="eastAsia"/>
          <w:color w:val="auto"/>
          <w:sz w:val="24"/>
          <w:szCs w:val="24"/>
          <w:highlight w:val="none"/>
        </w:rPr>
        <w:t xml:space="preserve">主要包含：地图服务管理、导航服务管理、周边服务管理、我的任务管理、位置标注管理、投注站详情管理、投注站活动管理、意见标注管理。 </w:t>
      </w:r>
    </w:p>
    <w:p>
      <w:pPr>
        <w:pStyle w:val="19"/>
        <w:numPr>
          <w:ilvl w:val="0"/>
          <w:numId w:val="4"/>
        </w:numPr>
        <w:spacing w:line="360" w:lineRule="auto"/>
        <w:ind w:leftChars="0"/>
        <w:rPr>
          <w:color w:val="auto"/>
          <w:sz w:val="24"/>
          <w:szCs w:val="24"/>
          <w:highlight w:val="none"/>
        </w:rPr>
      </w:pPr>
      <w:r>
        <w:rPr>
          <w:rFonts w:hint="eastAsia"/>
          <w:color w:val="auto"/>
          <w:sz w:val="24"/>
          <w:szCs w:val="24"/>
          <w:highlight w:val="none"/>
        </w:rPr>
        <w:t>设备管理子系统</w:t>
      </w:r>
    </w:p>
    <w:p>
      <w:pPr>
        <w:pStyle w:val="19"/>
        <w:spacing w:line="360" w:lineRule="auto"/>
        <w:rPr>
          <w:color w:val="auto"/>
          <w:sz w:val="24"/>
          <w:szCs w:val="24"/>
          <w:highlight w:val="none"/>
        </w:rPr>
      </w:pPr>
      <w:r>
        <w:rPr>
          <w:rFonts w:hint="eastAsia"/>
          <w:color w:val="auto"/>
          <w:sz w:val="24"/>
          <w:szCs w:val="24"/>
          <w:highlight w:val="none"/>
        </w:rPr>
        <w:t xml:space="preserve"> </w:t>
      </w:r>
      <w:r>
        <w:rPr>
          <w:color w:val="auto"/>
          <w:sz w:val="24"/>
          <w:szCs w:val="24"/>
          <w:highlight w:val="none"/>
        </w:rPr>
        <w:t xml:space="preserve">      </w:t>
      </w:r>
      <w:r>
        <w:rPr>
          <w:rFonts w:hint="eastAsia"/>
          <w:color w:val="auto"/>
          <w:sz w:val="24"/>
          <w:szCs w:val="24"/>
          <w:highlight w:val="none"/>
        </w:rPr>
        <w:t>设备管理子系统主要针对设备的相关业务进行处理。</w:t>
      </w:r>
    </w:p>
    <w:p>
      <w:pPr>
        <w:pStyle w:val="19"/>
        <w:spacing w:line="360" w:lineRule="auto"/>
        <w:ind w:left="840" w:leftChars="400" w:firstLine="480" w:firstLineChars="200"/>
        <w:rPr>
          <w:color w:val="auto"/>
          <w:sz w:val="24"/>
          <w:szCs w:val="24"/>
          <w:highlight w:val="none"/>
        </w:rPr>
      </w:pPr>
      <w:r>
        <w:rPr>
          <w:rFonts w:hint="eastAsia"/>
          <w:color w:val="auto"/>
          <w:sz w:val="24"/>
          <w:szCs w:val="24"/>
          <w:highlight w:val="none"/>
        </w:rPr>
        <w:t>主要包含：装机管理、移机管理、撤机管理、耗材库房管理、通讯管理、人员车辆管理、设备库房管理、即开票库房管理。</w:t>
      </w:r>
    </w:p>
    <w:p>
      <w:pPr>
        <w:pStyle w:val="19"/>
        <w:numPr>
          <w:ilvl w:val="0"/>
          <w:numId w:val="4"/>
        </w:numPr>
        <w:spacing w:line="360" w:lineRule="auto"/>
        <w:ind w:leftChars="0"/>
        <w:rPr>
          <w:color w:val="auto"/>
          <w:sz w:val="24"/>
          <w:szCs w:val="24"/>
          <w:highlight w:val="none"/>
        </w:rPr>
      </w:pPr>
      <w:r>
        <w:rPr>
          <w:rFonts w:hint="eastAsia"/>
          <w:color w:val="auto"/>
          <w:sz w:val="24"/>
          <w:szCs w:val="24"/>
          <w:highlight w:val="none"/>
        </w:rPr>
        <w:t>财务子系统</w:t>
      </w:r>
    </w:p>
    <w:p>
      <w:pPr>
        <w:pStyle w:val="19"/>
        <w:spacing w:line="360" w:lineRule="auto"/>
        <w:rPr>
          <w:color w:val="auto"/>
          <w:sz w:val="24"/>
          <w:szCs w:val="24"/>
          <w:highlight w:val="none"/>
        </w:rPr>
      </w:pPr>
      <w:r>
        <w:rPr>
          <w:rFonts w:hint="eastAsia"/>
          <w:color w:val="auto"/>
          <w:sz w:val="24"/>
          <w:szCs w:val="24"/>
          <w:highlight w:val="none"/>
        </w:rPr>
        <w:t xml:space="preserve"> </w:t>
      </w:r>
      <w:r>
        <w:rPr>
          <w:color w:val="auto"/>
          <w:sz w:val="24"/>
          <w:szCs w:val="24"/>
          <w:highlight w:val="none"/>
        </w:rPr>
        <w:t xml:space="preserve">      </w:t>
      </w:r>
      <w:r>
        <w:rPr>
          <w:rFonts w:hint="eastAsia"/>
          <w:color w:val="auto"/>
          <w:sz w:val="24"/>
          <w:szCs w:val="24"/>
          <w:highlight w:val="none"/>
        </w:rPr>
        <w:t>财务子系统主要针对各种费用管理业务进行处理。</w:t>
      </w:r>
    </w:p>
    <w:p>
      <w:pPr>
        <w:pStyle w:val="19"/>
        <w:spacing w:line="360" w:lineRule="auto"/>
        <w:ind w:left="840" w:leftChars="400" w:firstLine="480" w:firstLineChars="200"/>
        <w:rPr>
          <w:color w:val="auto"/>
          <w:sz w:val="24"/>
          <w:szCs w:val="24"/>
          <w:highlight w:val="none"/>
        </w:rPr>
      </w:pPr>
      <w:r>
        <w:rPr>
          <w:rFonts w:hint="eastAsia"/>
          <w:color w:val="auto"/>
          <w:sz w:val="24"/>
          <w:szCs w:val="24"/>
          <w:highlight w:val="none"/>
        </w:rPr>
        <w:t>主要包含：通讯费管理、款项批量处理管理、固定资产管理、银行卡信息管理、耗材在线订单周结算管理、网点保险费管理。</w:t>
      </w:r>
    </w:p>
    <w:p>
      <w:pPr>
        <w:pStyle w:val="19"/>
        <w:numPr>
          <w:ilvl w:val="0"/>
          <w:numId w:val="4"/>
        </w:numPr>
        <w:spacing w:line="360" w:lineRule="auto"/>
        <w:ind w:leftChars="0"/>
        <w:rPr>
          <w:color w:val="auto"/>
          <w:sz w:val="24"/>
          <w:szCs w:val="24"/>
          <w:highlight w:val="none"/>
        </w:rPr>
      </w:pPr>
      <w:r>
        <w:rPr>
          <w:rFonts w:hint="eastAsia"/>
          <w:color w:val="auto"/>
          <w:sz w:val="24"/>
          <w:szCs w:val="24"/>
          <w:highlight w:val="none"/>
        </w:rPr>
        <w:t>后台综合管理系统</w:t>
      </w:r>
    </w:p>
    <w:p>
      <w:pPr>
        <w:pStyle w:val="19"/>
        <w:spacing w:line="360" w:lineRule="auto"/>
        <w:ind w:leftChars="0" w:firstLine="960" w:firstLineChars="400"/>
        <w:rPr>
          <w:color w:val="auto"/>
          <w:sz w:val="24"/>
          <w:szCs w:val="24"/>
          <w:highlight w:val="none"/>
        </w:rPr>
      </w:pPr>
      <w:r>
        <w:rPr>
          <w:rFonts w:hint="eastAsia"/>
          <w:color w:val="auto"/>
          <w:sz w:val="24"/>
          <w:szCs w:val="24"/>
          <w:highlight w:val="none"/>
        </w:rPr>
        <w:t>后台综合管理系统主要针对系统支持的后台数据进行处理。</w:t>
      </w:r>
    </w:p>
    <w:p>
      <w:pPr>
        <w:pStyle w:val="19"/>
        <w:spacing w:line="360" w:lineRule="auto"/>
        <w:ind w:left="840" w:leftChars="400" w:firstLine="480" w:firstLineChars="200"/>
        <w:rPr>
          <w:color w:val="auto"/>
          <w:sz w:val="24"/>
          <w:szCs w:val="24"/>
          <w:highlight w:val="none"/>
        </w:rPr>
      </w:pPr>
      <w:r>
        <w:rPr>
          <w:rFonts w:hint="eastAsia"/>
          <w:color w:val="auto"/>
          <w:sz w:val="24"/>
          <w:szCs w:val="24"/>
          <w:highlight w:val="none"/>
        </w:rPr>
        <w:t>主要包含：基础信息管理、信息识别管理、数据审核管理、统计分析管理、组织结构管理、权限管理。</w:t>
      </w:r>
    </w:p>
    <w:p>
      <w:pPr>
        <w:pStyle w:val="19"/>
        <w:numPr>
          <w:ilvl w:val="0"/>
          <w:numId w:val="4"/>
        </w:numPr>
        <w:spacing w:line="360" w:lineRule="auto"/>
        <w:ind w:leftChars="0"/>
        <w:rPr>
          <w:color w:val="auto"/>
          <w:sz w:val="24"/>
          <w:szCs w:val="24"/>
          <w:highlight w:val="none"/>
        </w:rPr>
      </w:pPr>
      <w:r>
        <w:rPr>
          <w:rFonts w:hint="eastAsia"/>
          <w:color w:val="auto"/>
          <w:sz w:val="24"/>
          <w:szCs w:val="24"/>
          <w:highlight w:val="none"/>
        </w:rPr>
        <w:t>民政局数据资源服务平台接口</w:t>
      </w:r>
    </w:p>
    <w:p>
      <w:pPr>
        <w:pStyle w:val="19"/>
        <w:spacing w:line="360" w:lineRule="auto"/>
        <w:ind w:left="900" w:leftChars="0" w:firstLine="240" w:firstLineChars="100"/>
        <w:rPr>
          <w:color w:val="auto"/>
          <w:sz w:val="24"/>
          <w:szCs w:val="24"/>
          <w:highlight w:val="none"/>
        </w:rPr>
      </w:pPr>
      <w:r>
        <w:rPr>
          <w:rFonts w:hint="eastAsia"/>
          <w:color w:val="auto"/>
          <w:sz w:val="24"/>
          <w:szCs w:val="24"/>
          <w:highlight w:val="none"/>
        </w:rPr>
        <w:t>与民政局数据资源服务平台接口主要处理该系统与民政局数据资源服务平台之间的数据交互，通过接口传输文件。</w:t>
      </w:r>
    </w:p>
    <w:p>
      <w:pPr>
        <w:pStyle w:val="29"/>
        <w:numPr>
          <w:ilvl w:val="0"/>
          <w:numId w:val="3"/>
        </w:numPr>
        <w:spacing w:line="360" w:lineRule="auto"/>
        <w:ind w:left="0" w:firstLine="484" w:firstLineChars="202"/>
        <w:rPr>
          <w:rFonts w:ascii="宋体" w:hAnsi="宋体"/>
          <w:color w:val="auto"/>
          <w:sz w:val="24"/>
          <w:szCs w:val="24"/>
          <w:highlight w:val="none"/>
        </w:rPr>
      </w:pPr>
      <w:r>
        <w:rPr>
          <w:rFonts w:hint="eastAsia" w:ascii="宋体" w:hAnsi="宋体"/>
          <w:color w:val="auto"/>
          <w:sz w:val="24"/>
          <w:szCs w:val="24"/>
          <w:highlight w:val="none"/>
        </w:rPr>
        <w:t>任务分工：</w:t>
      </w:r>
    </w:p>
    <w:p>
      <w:pPr>
        <w:pStyle w:val="29"/>
        <w:spacing w:line="360" w:lineRule="auto"/>
        <w:ind w:left="0" w:firstLine="480" w:firstLineChars="200"/>
        <w:rPr>
          <w:rFonts w:ascii="宋体" w:hAnsi="宋体"/>
          <w:color w:val="auto"/>
          <w:sz w:val="24"/>
          <w:szCs w:val="24"/>
          <w:highlight w:val="none"/>
        </w:rPr>
      </w:pPr>
      <w:r>
        <w:rPr>
          <w:rFonts w:hint="eastAsia" w:ascii="宋体" w:hAnsi="宋体"/>
          <w:color w:val="auto"/>
          <w:sz w:val="24"/>
          <w:szCs w:val="24"/>
          <w:highlight w:val="none"/>
        </w:rPr>
        <w:t>如</w:t>
      </w:r>
      <w:r>
        <w:rPr>
          <w:rFonts w:ascii="宋体" w:hAnsi="宋体"/>
          <w:color w:val="auto"/>
          <w:sz w:val="24"/>
          <w:szCs w:val="24"/>
          <w:highlight w:val="none"/>
        </w:rPr>
        <w:t>中标</w:t>
      </w:r>
      <w:r>
        <w:rPr>
          <w:rFonts w:hint="eastAsia" w:ascii="宋体" w:hAnsi="宋体"/>
          <w:color w:val="auto"/>
          <w:sz w:val="24"/>
          <w:szCs w:val="24"/>
          <w:highlight w:val="none"/>
        </w:rPr>
        <w:t>单位</w:t>
      </w:r>
      <w:r>
        <w:rPr>
          <w:rFonts w:ascii="宋体" w:hAnsi="宋体"/>
          <w:color w:val="auto"/>
          <w:sz w:val="24"/>
          <w:szCs w:val="24"/>
          <w:highlight w:val="none"/>
        </w:rPr>
        <w:t>为联合体，在此</w:t>
      </w:r>
      <w:r>
        <w:rPr>
          <w:rFonts w:hint="eastAsia" w:ascii="宋体" w:hAnsi="宋体"/>
          <w:color w:val="auto"/>
          <w:sz w:val="24"/>
          <w:szCs w:val="24"/>
          <w:highlight w:val="none"/>
        </w:rPr>
        <w:t>进行</w:t>
      </w:r>
      <w:r>
        <w:rPr>
          <w:rFonts w:ascii="宋体" w:hAnsi="宋体"/>
          <w:color w:val="auto"/>
          <w:sz w:val="24"/>
          <w:szCs w:val="24"/>
          <w:highlight w:val="none"/>
        </w:rPr>
        <w:t>说明</w:t>
      </w:r>
      <w:r>
        <w:rPr>
          <w:rFonts w:hint="eastAsia" w:ascii="宋体" w:hAnsi="宋体"/>
          <w:color w:val="auto"/>
          <w:sz w:val="24"/>
          <w:szCs w:val="24"/>
          <w:highlight w:val="none"/>
        </w:rPr>
        <w:t>。</w:t>
      </w:r>
    </w:p>
    <w:p>
      <w:pPr>
        <w:pStyle w:val="29"/>
        <w:numPr>
          <w:ilvl w:val="0"/>
          <w:numId w:val="5"/>
        </w:numPr>
        <w:spacing w:line="360" w:lineRule="auto"/>
        <w:rPr>
          <w:rFonts w:ascii="宋体" w:hAnsi="宋体"/>
          <w:color w:val="auto"/>
          <w:sz w:val="24"/>
          <w:szCs w:val="24"/>
          <w:highlight w:val="none"/>
        </w:rPr>
      </w:pPr>
      <w:r>
        <w:rPr>
          <w:rFonts w:hint="eastAsia" w:ascii="宋体" w:hAnsi="宋体"/>
          <w:color w:val="auto"/>
          <w:sz w:val="24"/>
          <w:szCs w:val="24"/>
          <w:highlight w:val="none"/>
        </w:rPr>
        <w:t>整个项目允许甲方（</w:t>
      </w:r>
      <w:r>
        <w:rPr>
          <w:rFonts w:hint="eastAsia" w:ascii="宋体" w:hAnsi="宋体" w:cs="宋体"/>
          <w:color w:val="auto"/>
          <w:sz w:val="24"/>
          <w:highlight w:val="none"/>
        </w:rPr>
        <w:t>北京市福利彩票发行中心</w:t>
      </w:r>
      <w:r>
        <w:rPr>
          <w:rFonts w:hint="eastAsia" w:ascii="宋体" w:hAnsi="宋体"/>
          <w:color w:val="auto"/>
          <w:sz w:val="24"/>
          <w:szCs w:val="24"/>
          <w:highlight w:val="none"/>
        </w:rPr>
        <w:t>）在项目交付后，进行项目规模30%以内的需要变更。</w:t>
      </w:r>
    </w:p>
    <w:p>
      <w:pPr>
        <w:pStyle w:val="2"/>
        <w:numPr>
          <w:ilvl w:val="0"/>
          <w:numId w:val="6"/>
        </w:numPr>
        <w:spacing w:before="0" w:after="0" w:line="360" w:lineRule="auto"/>
        <w:jc w:val="both"/>
        <w:rPr>
          <w:color w:val="auto"/>
          <w:sz w:val="24"/>
          <w:highlight w:val="none"/>
        </w:rPr>
      </w:pPr>
      <w:r>
        <w:rPr>
          <w:rFonts w:hint="eastAsia"/>
          <w:color w:val="auto"/>
          <w:sz w:val="24"/>
          <w:highlight w:val="none"/>
        </w:rPr>
        <w:t>考核</w:t>
      </w:r>
      <w:r>
        <w:rPr>
          <w:color w:val="auto"/>
          <w:sz w:val="24"/>
          <w:highlight w:val="none"/>
        </w:rPr>
        <w:t>指标及进度安排</w:t>
      </w:r>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1.考核</w:t>
      </w:r>
      <w:r>
        <w:rPr>
          <w:rFonts w:ascii="宋体" w:hAnsi="宋体"/>
          <w:color w:val="auto"/>
          <w:sz w:val="24"/>
          <w:highlight w:val="none"/>
        </w:rPr>
        <w:t>指标</w:t>
      </w:r>
    </w:p>
    <w:p>
      <w:pPr>
        <w:spacing w:line="360" w:lineRule="auto"/>
        <w:ind w:firstLine="480" w:firstLineChars="200"/>
        <w:rPr>
          <w:rFonts w:ascii="宋体" w:hAnsi="宋体"/>
          <w:color w:val="auto"/>
          <w:sz w:val="24"/>
          <w:highlight w:val="none"/>
        </w:rPr>
      </w:pPr>
      <w:r>
        <w:rPr>
          <w:rFonts w:hint="eastAsia" w:ascii="宋体" w:hAnsi="宋体" w:cs="宋体"/>
          <w:color w:val="auto"/>
          <w:sz w:val="24"/>
          <w:highlight w:val="none"/>
        </w:rPr>
        <w:t>北京市福彩综合业务系统升级改造项目</w:t>
      </w:r>
      <w:r>
        <w:rPr>
          <w:rFonts w:hint="eastAsia" w:ascii="宋体" w:hAnsi="宋体"/>
          <w:color w:val="auto"/>
          <w:sz w:val="24"/>
          <w:highlight w:val="none"/>
        </w:rPr>
        <w:t>满足技术要求，</w:t>
      </w:r>
      <w:r>
        <w:rPr>
          <w:rFonts w:ascii="宋体" w:hAnsi="宋体"/>
          <w:color w:val="auto"/>
          <w:sz w:val="24"/>
          <w:highlight w:val="none"/>
        </w:rPr>
        <w:t>通过</w:t>
      </w:r>
      <w:r>
        <w:rPr>
          <w:rFonts w:hint="eastAsia" w:ascii="宋体" w:hAnsi="宋体"/>
          <w:color w:val="auto"/>
          <w:sz w:val="24"/>
          <w:highlight w:val="none"/>
        </w:rPr>
        <w:t>软件测评和安全测评，</w:t>
      </w:r>
      <w:r>
        <w:rPr>
          <w:rFonts w:ascii="宋体" w:hAnsi="宋体"/>
          <w:color w:val="auto"/>
          <w:sz w:val="24"/>
          <w:highlight w:val="none"/>
        </w:rPr>
        <w:t>且</w:t>
      </w:r>
      <w:r>
        <w:rPr>
          <w:rFonts w:hint="eastAsia" w:ascii="宋体" w:hAnsi="宋体"/>
          <w:color w:val="auto"/>
          <w:sz w:val="24"/>
          <w:highlight w:val="none"/>
        </w:rPr>
        <w:t>形成软件著作权。</w:t>
      </w:r>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2.进度安排</w:t>
      </w:r>
    </w:p>
    <w:tbl>
      <w:tblPr>
        <w:tblStyle w:val="28"/>
        <w:tblW w:w="8558" w:type="dxa"/>
        <w:jc w:val="center"/>
        <w:tblInd w:w="0" w:type="dxa"/>
        <w:tblLayout w:type="fixed"/>
        <w:tblCellMar>
          <w:top w:w="0" w:type="dxa"/>
          <w:left w:w="108" w:type="dxa"/>
          <w:bottom w:w="0" w:type="dxa"/>
          <w:right w:w="108" w:type="dxa"/>
        </w:tblCellMar>
      </w:tblPr>
      <w:tblGrid>
        <w:gridCol w:w="2694"/>
        <w:gridCol w:w="1600"/>
        <w:gridCol w:w="2137"/>
        <w:gridCol w:w="2127"/>
      </w:tblGrid>
      <w:tr>
        <w:tblPrEx>
          <w:tblLayout w:type="fixed"/>
          <w:tblCellMar>
            <w:top w:w="0" w:type="dxa"/>
            <w:left w:w="108" w:type="dxa"/>
            <w:bottom w:w="0" w:type="dxa"/>
            <w:right w:w="108" w:type="dxa"/>
          </w:tblCellMar>
        </w:tblPrEx>
        <w:trPr>
          <w:trHeight w:val="375" w:hRule="atLeast"/>
          <w:jc w:val="center"/>
        </w:trPr>
        <w:tc>
          <w:tcPr>
            <w:tcW w:w="2694"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工作内容</w:t>
            </w:r>
          </w:p>
        </w:tc>
        <w:tc>
          <w:tcPr>
            <w:tcW w:w="1600" w:type="dxa"/>
            <w:tcBorders>
              <w:top w:val="single" w:color="auto" w:sz="4" w:space="0"/>
              <w:left w:val="nil"/>
              <w:bottom w:val="single" w:color="auto" w:sz="4" w:space="0"/>
              <w:right w:val="single" w:color="auto" w:sz="4" w:space="0"/>
            </w:tcBorders>
            <w:shd w:val="clear" w:color="auto" w:fill="F2F2F2"/>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时间（天）</w:t>
            </w:r>
          </w:p>
        </w:tc>
        <w:tc>
          <w:tcPr>
            <w:tcW w:w="2137" w:type="dxa"/>
            <w:tcBorders>
              <w:top w:val="single" w:color="auto" w:sz="4" w:space="0"/>
              <w:left w:val="nil"/>
              <w:bottom w:val="single" w:color="auto" w:sz="4" w:space="0"/>
              <w:right w:val="single" w:color="auto" w:sz="4" w:space="0"/>
            </w:tcBorders>
            <w:shd w:val="clear" w:color="auto" w:fill="F2F2F2"/>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计划开始时间</w:t>
            </w:r>
          </w:p>
        </w:tc>
        <w:tc>
          <w:tcPr>
            <w:tcW w:w="2127" w:type="dxa"/>
            <w:tcBorders>
              <w:top w:val="single" w:color="auto" w:sz="4" w:space="0"/>
              <w:left w:val="nil"/>
              <w:bottom w:val="single" w:color="auto" w:sz="4" w:space="0"/>
              <w:right w:val="single" w:color="auto" w:sz="4" w:space="0"/>
            </w:tcBorders>
            <w:shd w:val="clear" w:color="auto" w:fill="F2F2F2"/>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计划结束时间</w:t>
            </w:r>
          </w:p>
        </w:tc>
      </w:tr>
      <w:tr>
        <w:tblPrEx>
          <w:tblLayout w:type="fixed"/>
          <w:tblCellMar>
            <w:top w:w="0" w:type="dxa"/>
            <w:left w:w="108" w:type="dxa"/>
            <w:bottom w:w="0" w:type="dxa"/>
            <w:right w:w="108" w:type="dxa"/>
          </w:tblCellMar>
        </w:tblPrEx>
        <w:trPr>
          <w:trHeight w:val="285" w:hRule="atLeast"/>
          <w:jc w:val="center"/>
        </w:trPr>
        <w:tc>
          <w:tcPr>
            <w:tcW w:w="269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启动阶段</w:t>
            </w:r>
          </w:p>
        </w:tc>
        <w:tc>
          <w:tcPr>
            <w:tcW w:w="1600" w:type="dxa"/>
            <w:tcBorders>
              <w:top w:val="nil"/>
              <w:left w:val="nil"/>
              <w:bottom w:val="single" w:color="auto" w:sz="4" w:space="0"/>
              <w:right w:val="single" w:color="auto" w:sz="4" w:space="0"/>
            </w:tcBorders>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天</w:t>
            </w:r>
          </w:p>
        </w:tc>
        <w:tc>
          <w:tcPr>
            <w:tcW w:w="2137" w:type="dxa"/>
            <w:tcBorders>
              <w:top w:val="nil"/>
              <w:left w:val="nil"/>
              <w:bottom w:val="single" w:color="auto" w:sz="4" w:space="0"/>
              <w:right w:val="single" w:color="auto" w:sz="4" w:space="0"/>
            </w:tcBorders>
            <w:vAlign w:val="bottom"/>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年 月 日</w:t>
            </w:r>
          </w:p>
        </w:tc>
        <w:tc>
          <w:tcPr>
            <w:tcW w:w="2127" w:type="dxa"/>
            <w:tcBorders>
              <w:top w:val="nil"/>
              <w:left w:val="nil"/>
              <w:bottom w:val="single" w:color="auto" w:sz="4" w:space="0"/>
              <w:right w:val="single" w:color="auto" w:sz="4" w:space="0"/>
            </w:tcBorders>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年 月 日</w:t>
            </w:r>
          </w:p>
        </w:tc>
      </w:tr>
      <w:tr>
        <w:tblPrEx>
          <w:tblLayout w:type="fixed"/>
          <w:tblCellMar>
            <w:top w:w="0" w:type="dxa"/>
            <w:left w:w="108" w:type="dxa"/>
            <w:bottom w:w="0" w:type="dxa"/>
            <w:right w:w="108" w:type="dxa"/>
          </w:tblCellMar>
        </w:tblPrEx>
        <w:trPr>
          <w:trHeight w:val="285" w:hRule="atLeast"/>
          <w:jc w:val="center"/>
        </w:trPr>
        <w:tc>
          <w:tcPr>
            <w:tcW w:w="269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需求调研阶段</w:t>
            </w:r>
          </w:p>
        </w:tc>
        <w:tc>
          <w:tcPr>
            <w:tcW w:w="1600" w:type="dxa"/>
            <w:tcBorders>
              <w:top w:val="nil"/>
              <w:left w:val="nil"/>
              <w:bottom w:val="single" w:color="auto" w:sz="4" w:space="0"/>
              <w:right w:val="single" w:color="auto" w:sz="4" w:space="0"/>
            </w:tcBorders>
            <w:vAlign w:val="bottom"/>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天</w:t>
            </w:r>
          </w:p>
        </w:tc>
        <w:tc>
          <w:tcPr>
            <w:tcW w:w="213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c>
          <w:tcPr>
            <w:tcW w:w="212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r>
      <w:tr>
        <w:tblPrEx>
          <w:tblLayout w:type="fixed"/>
          <w:tblCellMar>
            <w:top w:w="0" w:type="dxa"/>
            <w:left w:w="108" w:type="dxa"/>
            <w:bottom w:w="0" w:type="dxa"/>
            <w:right w:w="108" w:type="dxa"/>
          </w:tblCellMar>
        </w:tblPrEx>
        <w:trPr>
          <w:trHeight w:val="285" w:hRule="atLeast"/>
          <w:jc w:val="center"/>
        </w:trPr>
        <w:tc>
          <w:tcPr>
            <w:tcW w:w="269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系统设计阶段</w:t>
            </w:r>
          </w:p>
        </w:tc>
        <w:tc>
          <w:tcPr>
            <w:tcW w:w="1600" w:type="dxa"/>
            <w:tcBorders>
              <w:top w:val="nil"/>
              <w:left w:val="nil"/>
              <w:bottom w:val="single" w:color="auto" w:sz="4" w:space="0"/>
              <w:right w:val="single" w:color="auto" w:sz="4" w:space="0"/>
            </w:tcBorders>
            <w:vAlign w:val="bottom"/>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天</w:t>
            </w:r>
          </w:p>
        </w:tc>
        <w:tc>
          <w:tcPr>
            <w:tcW w:w="213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c>
          <w:tcPr>
            <w:tcW w:w="212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r>
      <w:tr>
        <w:tblPrEx>
          <w:tblLayout w:type="fixed"/>
          <w:tblCellMar>
            <w:top w:w="0" w:type="dxa"/>
            <w:left w:w="108" w:type="dxa"/>
            <w:bottom w:w="0" w:type="dxa"/>
            <w:right w:w="108" w:type="dxa"/>
          </w:tblCellMar>
        </w:tblPrEx>
        <w:trPr>
          <w:trHeight w:val="285" w:hRule="atLeast"/>
          <w:jc w:val="center"/>
        </w:trPr>
        <w:tc>
          <w:tcPr>
            <w:tcW w:w="269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系统开发测试阶段</w:t>
            </w:r>
          </w:p>
        </w:tc>
        <w:tc>
          <w:tcPr>
            <w:tcW w:w="1600" w:type="dxa"/>
            <w:tcBorders>
              <w:top w:val="nil"/>
              <w:left w:val="nil"/>
              <w:bottom w:val="single" w:color="auto" w:sz="4" w:space="0"/>
              <w:right w:val="single" w:color="auto" w:sz="4" w:space="0"/>
            </w:tcBorders>
            <w:vAlign w:val="bottom"/>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天</w:t>
            </w:r>
          </w:p>
        </w:tc>
        <w:tc>
          <w:tcPr>
            <w:tcW w:w="213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c>
          <w:tcPr>
            <w:tcW w:w="212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r>
      <w:tr>
        <w:tblPrEx>
          <w:tblLayout w:type="fixed"/>
          <w:tblCellMar>
            <w:top w:w="0" w:type="dxa"/>
            <w:left w:w="108" w:type="dxa"/>
            <w:bottom w:w="0" w:type="dxa"/>
            <w:right w:w="108" w:type="dxa"/>
          </w:tblCellMar>
        </w:tblPrEx>
        <w:trPr>
          <w:trHeight w:val="285" w:hRule="atLeast"/>
          <w:jc w:val="center"/>
        </w:trPr>
        <w:tc>
          <w:tcPr>
            <w:tcW w:w="269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中期</w:t>
            </w:r>
            <w:r>
              <w:rPr>
                <w:rFonts w:ascii="宋体" w:hAnsi="宋体" w:cs="宋体"/>
                <w:bCs/>
                <w:color w:val="auto"/>
                <w:kern w:val="0"/>
                <w:sz w:val="24"/>
                <w:highlight w:val="none"/>
              </w:rPr>
              <w:t>评审阶段</w:t>
            </w:r>
          </w:p>
        </w:tc>
        <w:tc>
          <w:tcPr>
            <w:tcW w:w="1600" w:type="dxa"/>
            <w:tcBorders>
              <w:top w:val="nil"/>
              <w:left w:val="nil"/>
              <w:bottom w:val="single" w:color="auto" w:sz="4" w:space="0"/>
              <w:right w:val="single" w:color="auto" w:sz="4" w:space="0"/>
            </w:tcBorders>
            <w:vAlign w:val="bottom"/>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天</w:t>
            </w:r>
          </w:p>
        </w:tc>
        <w:tc>
          <w:tcPr>
            <w:tcW w:w="213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c>
          <w:tcPr>
            <w:tcW w:w="212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r>
      <w:tr>
        <w:tblPrEx>
          <w:tblLayout w:type="fixed"/>
          <w:tblCellMar>
            <w:top w:w="0" w:type="dxa"/>
            <w:left w:w="108" w:type="dxa"/>
            <w:bottom w:w="0" w:type="dxa"/>
            <w:right w:w="108" w:type="dxa"/>
          </w:tblCellMar>
        </w:tblPrEx>
        <w:trPr>
          <w:trHeight w:val="315" w:hRule="atLeast"/>
          <w:jc w:val="center"/>
        </w:trPr>
        <w:tc>
          <w:tcPr>
            <w:tcW w:w="269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初验阶段</w:t>
            </w:r>
          </w:p>
        </w:tc>
        <w:tc>
          <w:tcPr>
            <w:tcW w:w="1600" w:type="dxa"/>
            <w:tcBorders>
              <w:top w:val="nil"/>
              <w:left w:val="nil"/>
              <w:bottom w:val="single" w:color="auto" w:sz="4" w:space="0"/>
              <w:right w:val="single" w:color="auto" w:sz="4" w:space="0"/>
            </w:tcBorders>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天</w:t>
            </w:r>
          </w:p>
        </w:tc>
        <w:tc>
          <w:tcPr>
            <w:tcW w:w="213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c>
          <w:tcPr>
            <w:tcW w:w="212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r>
      <w:tr>
        <w:tblPrEx>
          <w:tblLayout w:type="fixed"/>
          <w:tblCellMar>
            <w:top w:w="0" w:type="dxa"/>
            <w:left w:w="108" w:type="dxa"/>
            <w:bottom w:w="0" w:type="dxa"/>
            <w:right w:w="108" w:type="dxa"/>
          </w:tblCellMar>
        </w:tblPrEx>
        <w:trPr>
          <w:trHeight w:val="285" w:hRule="atLeast"/>
          <w:jc w:val="center"/>
        </w:trPr>
        <w:tc>
          <w:tcPr>
            <w:tcW w:w="269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系统试运行阶段</w:t>
            </w:r>
          </w:p>
        </w:tc>
        <w:tc>
          <w:tcPr>
            <w:tcW w:w="1600" w:type="dxa"/>
            <w:tcBorders>
              <w:top w:val="nil"/>
              <w:left w:val="nil"/>
              <w:bottom w:val="single" w:color="auto" w:sz="4" w:space="0"/>
              <w:right w:val="single" w:color="auto" w:sz="4" w:space="0"/>
            </w:tcBorders>
            <w:vAlign w:val="bottom"/>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天</w:t>
            </w:r>
          </w:p>
        </w:tc>
        <w:tc>
          <w:tcPr>
            <w:tcW w:w="213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c>
          <w:tcPr>
            <w:tcW w:w="212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r>
      <w:tr>
        <w:tblPrEx>
          <w:tblLayout w:type="fixed"/>
          <w:tblCellMar>
            <w:top w:w="0" w:type="dxa"/>
            <w:left w:w="108" w:type="dxa"/>
            <w:bottom w:w="0" w:type="dxa"/>
            <w:right w:w="108" w:type="dxa"/>
          </w:tblCellMar>
        </w:tblPrEx>
        <w:trPr>
          <w:trHeight w:val="285" w:hRule="atLeast"/>
          <w:jc w:val="center"/>
        </w:trPr>
        <w:tc>
          <w:tcPr>
            <w:tcW w:w="2694" w:type="dxa"/>
            <w:tcBorders>
              <w:top w:val="nil"/>
              <w:left w:val="single" w:color="auto" w:sz="4" w:space="0"/>
              <w:bottom w:val="single" w:color="auto" w:sz="4" w:space="0"/>
              <w:right w:val="single" w:color="auto" w:sz="4" w:space="0"/>
            </w:tcBorders>
            <w:vAlign w:val="center"/>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系统终验阶段</w:t>
            </w:r>
          </w:p>
        </w:tc>
        <w:tc>
          <w:tcPr>
            <w:tcW w:w="1600" w:type="dxa"/>
            <w:tcBorders>
              <w:top w:val="nil"/>
              <w:left w:val="nil"/>
              <w:bottom w:val="single" w:color="auto" w:sz="4" w:space="0"/>
              <w:right w:val="single" w:color="auto" w:sz="4" w:space="0"/>
            </w:tcBorders>
            <w:vAlign w:val="bottom"/>
          </w:tcPr>
          <w:p>
            <w:pPr>
              <w:widowControl/>
              <w:jc w:val="center"/>
              <w:rPr>
                <w:rFonts w:ascii="宋体" w:hAnsi="宋体" w:cs="宋体"/>
                <w:bCs/>
                <w:color w:val="auto"/>
                <w:kern w:val="0"/>
                <w:sz w:val="24"/>
                <w:highlight w:val="none"/>
              </w:rPr>
            </w:pPr>
            <w:r>
              <w:rPr>
                <w:rFonts w:hint="eastAsia" w:ascii="宋体" w:hAnsi="宋体" w:cs="宋体"/>
                <w:bCs/>
                <w:color w:val="auto"/>
                <w:kern w:val="0"/>
                <w:sz w:val="24"/>
                <w:highlight w:val="none"/>
              </w:rPr>
              <w:t>天</w:t>
            </w:r>
          </w:p>
        </w:tc>
        <w:tc>
          <w:tcPr>
            <w:tcW w:w="213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c>
          <w:tcPr>
            <w:tcW w:w="2127" w:type="dxa"/>
            <w:tcBorders>
              <w:top w:val="nil"/>
              <w:left w:val="nil"/>
              <w:bottom w:val="single" w:color="auto" w:sz="4" w:space="0"/>
              <w:right w:val="single" w:color="auto" w:sz="4" w:space="0"/>
            </w:tcBorders>
          </w:tcPr>
          <w:p>
            <w:pPr>
              <w:jc w:val="center"/>
              <w:rPr>
                <w:color w:val="auto"/>
                <w:sz w:val="24"/>
                <w:highlight w:val="none"/>
              </w:rPr>
            </w:pPr>
            <w:r>
              <w:rPr>
                <w:rFonts w:hint="eastAsia" w:ascii="宋体" w:hAnsi="宋体" w:cs="宋体"/>
                <w:bCs/>
                <w:color w:val="auto"/>
                <w:kern w:val="0"/>
                <w:sz w:val="24"/>
                <w:highlight w:val="none"/>
              </w:rPr>
              <w:t>年 月 日</w:t>
            </w:r>
          </w:p>
        </w:tc>
      </w:tr>
    </w:tbl>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四. 价款及支付方式</w:t>
      </w:r>
    </w:p>
    <w:p>
      <w:pPr>
        <w:snapToGrid w:val="0"/>
        <w:spacing w:line="360" w:lineRule="auto"/>
        <w:ind w:firstLine="484" w:firstLineChars="202"/>
        <w:rPr>
          <w:rFonts w:ascii="宋体" w:hAnsi="宋体"/>
          <w:color w:val="auto"/>
          <w:sz w:val="24"/>
          <w:highlight w:val="none"/>
        </w:rPr>
      </w:pPr>
      <w:r>
        <w:rPr>
          <w:rFonts w:ascii="宋体" w:hAnsi="宋体"/>
          <w:color w:val="auto"/>
          <w:sz w:val="24"/>
          <w:highlight w:val="none"/>
        </w:rPr>
        <w:t xml:space="preserve">1. </w:t>
      </w:r>
      <w:r>
        <w:rPr>
          <w:rFonts w:hint="eastAsia" w:ascii="宋体" w:hAnsi="宋体"/>
          <w:color w:val="auto"/>
          <w:sz w:val="24"/>
          <w:highlight w:val="none"/>
        </w:rPr>
        <w:t>本合同价款为人民币   元整（￥   ）。具体价格分项表详见附件一《</w:t>
      </w:r>
      <w:r>
        <w:rPr>
          <w:rFonts w:hint="eastAsia" w:ascii="宋体" w:hAnsi="宋体" w:cs="宋体"/>
          <w:color w:val="auto"/>
          <w:sz w:val="24"/>
          <w:highlight w:val="none"/>
        </w:rPr>
        <w:t>北京市福彩综合业务系统升级改造项目</w:t>
      </w:r>
      <w:r>
        <w:rPr>
          <w:rFonts w:hint="eastAsia" w:ascii="宋体" w:hAnsi="宋体"/>
          <w:color w:val="auto"/>
          <w:sz w:val="24"/>
          <w:highlight w:val="none"/>
        </w:rPr>
        <w:t>报价》。本合同价款包含了甲方为乙方履行本合同规定的相关义务所支付的全部价款，其中包括乙方提供货物及其相关服务的费用和所需缴纳的所有税费。除本条规定的合同价款外，甲方不就乙方履行本合同而向乙方支付其他费用。</w:t>
      </w:r>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2. 合同款项按以下时间分多次支付：</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（1）合同签订后30个工作日内且收到乙方提供等同于合同总价款5%（即人民币  元整，￥  元）、有效期至  年 月  日的银行履约保函后，甲方向乙方支付合同总价款的30%作为预付款，即人民币  元整（￥ 元）。</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（2）项目通过中期评审后，甲方向乙方支付合同总价款的40%，即人民币  元整（￥ 元），因项目预算为财政跨年拨付，具体支付时间和金额以财政到位资金为准。</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（3）项目通过初验后30个工作日内，甲方向乙方支付合同总价款的20%，即 元整（￥ 元）。</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（4）项目通过最终验收后30个工作日内且收到乙方提供等同于合同总价款5%（即人民币 元，￥ 元）、有效期</w:t>
      </w:r>
      <w:r>
        <w:rPr>
          <w:rFonts w:hint="eastAsia" w:ascii="宋体" w:hAnsi="宋体"/>
          <w:color w:val="auto"/>
          <w:sz w:val="24"/>
          <w:highlight w:val="none"/>
        </w:rPr>
        <w:t>12</w:t>
      </w:r>
      <w:r>
        <w:rPr>
          <w:rFonts w:hint="eastAsia" w:ascii="宋体" w:hAnsi="宋体"/>
          <w:color w:val="auto"/>
          <w:sz w:val="24"/>
          <w:highlight w:val="none"/>
        </w:rPr>
        <w:t>个月的银行质量保函后，甲方向乙方支付合同总价款的10%，即人民币 元整（￥ 元）。</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3. </w:t>
      </w:r>
      <w:r>
        <w:rPr>
          <w:rFonts w:hint="eastAsia" w:ascii="宋体" w:hAnsi="宋体"/>
          <w:color w:val="auto"/>
          <w:sz w:val="24"/>
          <w:highlight w:val="none"/>
        </w:rPr>
        <w:t>乙方在甲方每一笔付款前的5日内，应向甲方开具相应金额的发票，由于乙方延迟提供发票导致甲方支付延迟的，甲方不承担延迟支付的责任。</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4. </w:t>
      </w:r>
      <w:r>
        <w:rPr>
          <w:rFonts w:hint="eastAsia" w:ascii="宋体" w:hAnsi="宋体"/>
          <w:color w:val="auto"/>
          <w:sz w:val="24"/>
          <w:highlight w:val="none"/>
        </w:rPr>
        <w:t>如乙方根据本合同规定有责任向甲方支付违约金或其它赔偿时，甲方在书面通知乙方后,有权从上述付款中扣除该等款项。</w:t>
      </w:r>
    </w:p>
    <w:p>
      <w:pPr>
        <w:spacing w:line="360" w:lineRule="auto"/>
        <w:ind w:firstLine="480" w:firstLineChars="200"/>
        <w:rPr>
          <w:rFonts w:ascii="宋体" w:hAnsi="宋体"/>
          <w:color w:val="auto"/>
          <w:sz w:val="24"/>
          <w:highlight w:val="none"/>
        </w:rPr>
      </w:pPr>
      <w:r>
        <w:rPr>
          <w:rFonts w:ascii="宋体" w:hAnsi="宋体"/>
          <w:color w:val="auto"/>
          <w:sz w:val="24"/>
          <w:highlight w:val="none"/>
        </w:rPr>
        <w:t>5. 如</w:t>
      </w:r>
      <w:r>
        <w:rPr>
          <w:rFonts w:hint="eastAsia" w:ascii="宋体" w:hAnsi="宋体"/>
          <w:color w:val="auto"/>
          <w:sz w:val="24"/>
          <w:highlight w:val="none"/>
        </w:rPr>
        <w:t>乙方</w:t>
      </w:r>
      <w:r>
        <w:rPr>
          <w:rFonts w:ascii="宋体" w:hAnsi="宋体"/>
          <w:color w:val="auto"/>
          <w:sz w:val="24"/>
          <w:highlight w:val="none"/>
        </w:rPr>
        <w:t>在合同执行中质量或工期等不能满足</w:t>
      </w:r>
      <w:r>
        <w:rPr>
          <w:rFonts w:hint="eastAsia" w:ascii="宋体" w:hAnsi="宋体"/>
          <w:color w:val="auto"/>
          <w:sz w:val="24"/>
          <w:highlight w:val="none"/>
        </w:rPr>
        <w:t>甲方</w:t>
      </w:r>
      <w:r>
        <w:rPr>
          <w:rFonts w:ascii="宋体" w:hAnsi="宋体"/>
          <w:color w:val="auto"/>
          <w:sz w:val="24"/>
          <w:highlight w:val="none"/>
        </w:rPr>
        <w:t>的要求给</w:t>
      </w:r>
      <w:r>
        <w:rPr>
          <w:rFonts w:hint="eastAsia" w:ascii="宋体" w:hAnsi="宋体"/>
          <w:color w:val="auto"/>
          <w:sz w:val="24"/>
          <w:highlight w:val="none"/>
        </w:rPr>
        <w:t>甲方</w:t>
      </w:r>
      <w:r>
        <w:rPr>
          <w:rFonts w:ascii="宋体" w:hAnsi="宋体"/>
          <w:color w:val="auto"/>
          <w:sz w:val="24"/>
          <w:highlight w:val="none"/>
        </w:rPr>
        <w:t>造成损失的，</w:t>
      </w:r>
      <w:r>
        <w:rPr>
          <w:rFonts w:hint="eastAsia" w:ascii="宋体" w:hAnsi="宋体"/>
          <w:color w:val="auto"/>
          <w:sz w:val="24"/>
          <w:highlight w:val="none"/>
        </w:rPr>
        <w:t>甲方</w:t>
      </w:r>
      <w:r>
        <w:rPr>
          <w:rFonts w:ascii="宋体" w:hAnsi="宋体"/>
          <w:color w:val="auto"/>
          <w:sz w:val="24"/>
          <w:highlight w:val="none"/>
        </w:rPr>
        <w:t>可在相应的付款阶段中扣除该笔款项作为罚金</w:t>
      </w:r>
      <w:r>
        <w:rPr>
          <w:rFonts w:hint="eastAsia" w:ascii="宋体" w:hAnsi="宋体"/>
          <w:color w:val="auto"/>
          <w:sz w:val="24"/>
          <w:highlight w:val="none"/>
        </w:rPr>
        <w:t>，但应提前书面告知乙方罚金数额及合理依据</w:t>
      </w:r>
      <w:r>
        <w:rPr>
          <w:rFonts w:ascii="宋体" w:hAnsi="宋体"/>
          <w:color w:val="auto"/>
          <w:sz w:val="24"/>
          <w:highlight w:val="none"/>
        </w:rPr>
        <w:t>。罚金的数额可由</w:t>
      </w:r>
      <w:r>
        <w:rPr>
          <w:rFonts w:hint="eastAsia" w:ascii="宋体" w:hAnsi="宋体"/>
          <w:color w:val="auto"/>
          <w:sz w:val="24"/>
          <w:highlight w:val="none"/>
        </w:rPr>
        <w:t>甲方</w:t>
      </w:r>
      <w:r>
        <w:rPr>
          <w:rFonts w:ascii="宋体" w:hAnsi="宋体"/>
          <w:color w:val="auto"/>
          <w:sz w:val="24"/>
          <w:highlight w:val="none"/>
        </w:rPr>
        <w:t>汇同监理和审计部门根据实际情况确定。终验合格后</w:t>
      </w:r>
      <w:r>
        <w:rPr>
          <w:rFonts w:hint="eastAsia" w:ascii="宋体" w:hAnsi="宋体"/>
          <w:color w:val="auto"/>
          <w:sz w:val="24"/>
          <w:highlight w:val="none"/>
        </w:rPr>
        <w:t>甲方</w:t>
      </w:r>
      <w:r>
        <w:rPr>
          <w:rFonts w:ascii="宋体" w:hAnsi="宋体"/>
          <w:color w:val="auto"/>
          <w:sz w:val="24"/>
          <w:highlight w:val="none"/>
        </w:rPr>
        <w:t>可根据项目完成情况决定是否退还罚金。如果给</w:t>
      </w:r>
      <w:r>
        <w:rPr>
          <w:rFonts w:hint="eastAsia" w:ascii="宋体" w:hAnsi="宋体"/>
          <w:color w:val="auto"/>
          <w:sz w:val="24"/>
          <w:highlight w:val="none"/>
        </w:rPr>
        <w:t>甲方</w:t>
      </w:r>
      <w:r>
        <w:rPr>
          <w:rFonts w:ascii="宋体" w:hAnsi="宋体"/>
          <w:color w:val="auto"/>
          <w:sz w:val="24"/>
          <w:highlight w:val="none"/>
        </w:rPr>
        <w:t>造成的损失超过罚金数额的，还应当对超过部分予以赔偿。</w:t>
      </w:r>
    </w:p>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五. 履约保函、质量</w:t>
      </w:r>
      <w:r>
        <w:rPr>
          <w:color w:val="auto"/>
          <w:sz w:val="24"/>
          <w:highlight w:val="none"/>
        </w:rPr>
        <w:t>保函</w:t>
      </w:r>
      <w:r>
        <w:rPr>
          <w:rFonts w:hint="eastAsia"/>
          <w:color w:val="auto"/>
          <w:sz w:val="24"/>
          <w:highlight w:val="none"/>
        </w:rPr>
        <w:t>的交纳与退还</w:t>
      </w:r>
    </w:p>
    <w:p>
      <w:pPr>
        <w:snapToGrid w:val="0"/>
        <w:spacing w:line="360" w:lineRule="auto"/>
        <w:ind w:left="105" w:leftChars="50" w:firstLine="472" w:firstLineChars="197"/>
        <w:rPr>
          <w:rFonts w:ascii="宋体" w:hAnsi="宋体"/>
          <w:color w:val="auto"/>
          <w:sz w:val="24"/>
          <w:highlight w:val="none"/>
        </w:rPr>
      </w:pPr>
      <w:r>
        <w:rPr>
          <w:rFonts w:hint="eastAsia" w:ascii="宋体" w:hAnsi="宋体"/>
          <w:color w:val="auto"/>
          <w:sz w:val="24"/>
          <w:highlight w:val="none"/>
        </w:rPr>
        <w:t>“乙方向甲方提供合同总价格</w:t>
      </w:r>
      <w:r>
        <w:rPr>
          <w:rFonts w:ascii="宋体" w:hAnsi="宋体"/>
          <w:color w:val="auto"/>
          <w:sz w:val="24"/>
          <w:highlight w:val="none"/>
        </w:rPr>
        <w:t>5%</w:t>
      </w:r>
      <w:r>
        <w:rPr>
          <w:rFonts w:hint="eastAsia" w:ascii="宋体" w:hAnsi="宋体"/>
          <w:color w:val="auto"/>
          <w:sz w:val="24"/>
          <w:highlight w:val="none"/>
        </w:rPr>
        <w:t>的银行履约保函（有效期至 年 月 日并且履约保函提供延期至项目终验），甲方收到乙方提供的银行履约保函后开始履行其在本合同下的义务。银行履约保函用于补偿甲方因乙方不能完成其合同义务而蒙受的损失。本项目经竣工验收合格后甲方视乙方项目完成情况全额或减额向乙方无息退还银行履约保函。”</w:t>
      </w:r>
    </w:p>
    <w:p>
      <w:pPr>
        <w:snapToGrid w:val="0"/>
        <w:spacing w:line="360" w:lineRule="auto"/>
        <w:ind w:left="105" w:leftChars="50" w:firstLine="472" w:firstLineChars="197"/>
        <w:rPr>
          <w:rFonts w:ascii="宋体" w:hAnsi="宋体"/>
          <w:color w:val="auto"/>
          <w:sz w:val="24"/>
          <w:highlight w:val="none"/>
        </w:rPr>
      </w:pPr>
      <w:r>
        <w:rPr>
          <w:rFonts w:hint="eastAsia" w:ascii="宋体" w:hAnsi="宋体"/>
          <w:color w:val="auto"/>
          <w:sz w:val="24"/>
          <w:highlight w:val="none"/>
        </w:rPr>
        <w:t>“乙方向甲方提供合同总价格</w:t>
      </w:r>
      <w:r>
        <w:rPr>
          <w:rFonts w:ascii="宋体" w:hAnsi="宋体"/>
          <w:color w:val="auto"/>
          <w:sz w:val="24"/>
          <w:highlight w:val="none"/>
        </w:rPr>
        <w:t>5%</w:t>
      </w:r>
      <w:r>
        <w:rPr>
          <w:rFonts w:hint="eastAsia" w:ascii="宋体" w:hAnsi="宋体"/>
          <w:color w:val="auto"/>
          <w:sz w:val="24"/>
          <w:highlight w:val="none"/>
        </w:rPr>
        <w:t>的银行质量保函（有效期</w:t>
      </w:r>
      <w:r>
        <w:rPr>
          <w:rFonts w:hint="eastAsia" w:ascii="宋体" w:hAnsi="宋体"/>
          <w:color w:val="auto"/>
          <w:sz w:val="24"/>
          <w:highlight w:val="none"/>
        </w:rPr>
        <w:t>12</w:t>
      </w:r>
      <w:r>
        <w:rPr>
          <w:rFonts w:hint="eastAsia" w:ascii="宋体" w:hAnsi="宋体"/>
          <w:color w:val="auto"/>
          <w:sz w:val="24"/>
          <w:highlight w:val="none"/>
        </w:rPr>
        <w:t>个月），质量保证期满后，30个工作日内甲方根据项目实施和质量保证期内运维完成情况，甲方全额或减额向乙方无息退还银行质量保函。”</w:t>
      </w:r>
    </w:p>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六. 维护和服务</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1. </w:t>
      </w:r>
      <w:r>
        <w:rPr>
          <w:rFonts w:hint="eastAsia" w:ascii="宋体" w:hAnsi="宋体"/>
          <w:color w:val="auto"/>
          <w:sz w:val="24"/>
          <w:highlight w:val="none"/>
        </w:rPr>
        <w:t>自项目通过最终验收之日起，</w:t>
      </w:r>
      <w:r>
        <w:rPr>
          <w:rFonts w:hint="eastAsia" w:ascii="宋体" w:hAnsi="宋体"/>
          <w:color w:val="auto"/>
          <w:sz w:val="24"/>
          <w:highlight w:val="none"/>
        </w:rPr>
        <w:t>乙方为甲方提供</w:t>
      </w:r>
      <w:r>
        <w:rPr>
          <w:color w:val="auto"/>
          <w:sz w:val="24"/>
          <w:highlight w:val="none"/>
        </w:rPr>
        <w:t>至少为</w:t>
      </w:r>
      <w:r>
        <w:rPr>
          <w:rFonts w:hint="eastAsia"/>
          <w:color w:val="auto"/>
          <w:sz w:val="24"/>
          <w:highlight w:val="none"/>
        </w:rPr>
        <w:t>期一</w:t>
      </w:r>
      <w:r>
        <w:rPr>
          <w:color w:val="auto"/>
          <w:sz w:val="24"/>
          <w:highlight w:val="none"/>
        </w:rPr>
        <w:t>年</w:t>
      </w:r>
      <w:r>
        <w:rPr>
          <w:rFonts w:hint="eastAsia"/>
          <w:color w:val="auto"/>
          <w:sz w:val="24"/>
          <w:highlight w:val="none"/>
        </w:rPr>
        <w:t>的</w:t>
      </w:r>
      <w:r>
        <w:rPr>
          <w:color w:val="auto"/>
          <w:sz w:val="24"/>
          <w:highlight w:val="none"/>
        </w:rPr>
        <w:t>质保期</w:t>
      </w:r>
      <w:r>
        <w:rPr>
          <w:rFonts w:hint="eastAsia" w:ascii="宋体" w:hAnsi="宋体"/>
          <w:color w:val="auto"/>
          <w:sz w:val="24"/>
          <w:highlight w:val="none"/>
        </w:rPr>
        <w:t>，质保期内提供免费维护和技术支持服务。</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2. </w:t>
      </w:r>
      <w:r>
        <w:rPr>
          <w:rFonts w:hint="eastAsia" w:ascii="宋体" w:hAnsi="宋体"/>
          <w:color w:val="auto"/>
          <w:sz w:val="24"/>
          <w:highlight w:val="none"/>
        </w:rPr>
        <w:t>质量保证期内乙方应至少安排一名技术人员驻甲方现场提供运维服务。</w:t>
      </w:r>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3. 乙方提供的维护和技术支持服务的范围为：</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w:t>
      </w:r>
      <w:r>
        <w:rPr>
          <w:rFonts w:ascii="宋体" w:hAnsi="宋体"/>
          <w:color w:val="auto"/>
          <w:sz w:val="24"/>
          <w:highlight w:val="none"/>
        </w:rPr>
        <w:t>1</w:t>
      </w:r>
      <w:r>
        <w:rPr>
          <w:rFonts w:hint="eastAsia" w:ascii="宋体" w:hAnsi="宋体"/>
          <w:color w:val="auto"/>
          <w:sz w:val="24"/>
          <w:highlight w:val="none"/>
        </w:rPr>
        <w:t>）软件系统功能、操作等级别问题的技术支持服务。</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w:t>
      </w:r>
      <w:r>
        <w:rPr>
          <w:rFonts w:ascii="宋体" w:hAnsi="宋体"/>
          <w:color w:val="auto"/>
          <w:sz w:val="24"/>
          <w:highlight w:val="none"/>
        </w:rPr>
        <w:t>2</w:t>
      </w:r>
      <w:r>
        <w:rPr>
          <w:rFonts w:hint="eastAsia" w:ascii="宋体" w:hAnsi="宋体"/>
          <w:color w:val="auto"/>
          <w:sz w:val="24"/>
          <w:highlight w:val="none"/>
        </w:rPr>
        <w:t>）软件系统本身的缺陷而引起的问题。</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w:t>
      </w:r>
      <w:r>
        <w:rPr>
          <w:rFonts w:ascii="宋体" w:hAnsi="宋体"/>
          <w:color w:val="auto"/>
          <w:sz w:val="24"/>
          <w:highlight w:val="none"/>
        </w:rPr>
        <w:t>3</w:t>
      </w:r>
      <w:r>
        <w:rPr>
          <w:rFonts w:hint="eastAsia" w:ascii="宋体" w:hAnsi="宋体"/>
          <w:color w:val="auto"/>
          <w:sz w:val="24"/>
          <w:highlight w:val="none"/>
        </w:rPr>
        <w:t>）项目采购政务云产品的日常维护和升级服务。</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w:t>
      </w:r>
      <w:r>
        <w:rPr>
          <w:rFonts w:ascii="宋体" w:hAnsi="宋体"/>
          <w:color w:val="auto"/>
          <w:sz w:val="24"/>
          <w:highlight w:val="none"/>
        </w:rPr>
        <w:t>4</w:t>
      </w:r>
      <w:r>
        <w:rPr>
          <w:rFonts w:hint="eastAsia" w:ascii="宋体" w:hAnsi="宋体"/>
          <w:color w:val="auto"/>
          <w:sz w:val="24"/>
          <w:highlight w:val="none"/>
        </w:rPr>
        <w:t>）项目采购软件产品的日常维护和升级服务。</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（5）甲方需乙方协助解决的其他问题，双方可协商解决。</w:t>
      </w:r>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4. 乙方提供的维护和技术支持服务的方式为：</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（1）提供7×24小时技术支持服务；</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（2）提供电话、传真、电子邮件、在线支持、上门服务四种方式的技术支持服务；</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（3）乙方接到甲方技术支持服务请求的2小时内响应，2个工作日内解决问题，如解决问题需超过2个工作日，乙方须及时与甲方取得联系，协商解决。</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5. </w:t>
      </w:r>
      <w:r>
        <w:rPr>
          <w:rFonts w:hint="eastAsia" w:ascii="宋体" w:hAnsi="宋体"/>
          <w:color w:val="auto"/>
          <w:sz w:val="24"/>
          <w:highlight w:val="none"/>
        </w:rPr>
        <w:t>在项目质量保证期内，若甲方需要乙方进行软件功能模块的增加或修改时，由双方协商解决。</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6. </w:t>
      </w:r>
      <w:r>
        <w:rPr>
          <w:rFonts w:hint="eastAsia" w:ascii="宋体" w:hAnsi="宋体"/>
          <w:color w:val="auto"/>
          <w:sz w:val="24"/>
          <w:highlight w:val="none"/>
        </w:rPr>
        <w:t>项目的免费运维和技术支持服务期满后，各方另行协商服务范围、方式、费用，并另行签订运维合同。</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7. </w:t>
      </w:r>
      <w:r>
        <w:rPr>
          <w:rFonts w:hint="eastAsia" w:ascii="宋体" w:hAnsi="宋体"/>
          <w:color w:val="auto"/>
          <w:sz w:val="24"/>
          <w:highlight w:val="none"/>
        </w:rPr>
        <w:t>在质量保证期后，如乙方不继续承担运维和技术支持服务，必须为第三方服务商无偿提供运维和技术支持服务资料，并免费保障一年的平稳过渡期。</w:t>
      </w:r>
    </w:p>
    <w:p>
      <w:pPr>
        <w:pStyle w:val="2"/>
        <w:numPr>
          <w:ilvl w:val="0"/>
          <w:numId w:val="0"/>
        </w:numPr>
        <w:spacing w:before="0" w:after="0" w:line="360" w:lineRule="auto"/>
        <w:ind w:left="432" w:hanging="432"/>
        <w:jc w:val="both"/>
        <w:rPr>
          <w:color w:val="auto"/>
          <w:sz w:val="24"/>
          <w:highlight w:val="none"/>
        </w:rPr>
      </w:pPr>
      <w:bookmarkStart w:id="195" w:name="_Toc266880896"/>
      <w:bookmarkStart w:id="196" w:name="_Toc266711111"/>
      <w:bookmarkStart w:id="197" w:name="_Toc266880778"/>
      <w:bookmarkStart w:id="198" w:name="_Toc266893068"/>
      <w:r>
        <w:rPr>
          <w:rFonts w:hint="eastAsia"/>
          <w:color w:val="auto"/>
          <w:sz w:val="24"/>
          <w:highlight w:val="none"/>
        </w:rPr>
        <w:t>七. 各方责任</w:t>
      </w:r>
      <w:bookmarkEnd w:id="195"/>
      <w:bookmarkEnd w:id="196"/>
      <w:bookmarkEnd w:id="197"/>
      <w:bookmarkEnd w:id="198"/>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1. 甲方责任</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w:t>
      </w:r>
      <w:r>
        <w:rPr>
          <w:rFonts w:hint="eastAsia" w:ascii="宋体" w:hAnsi="宋体"/>
          <w:color w:val="auto"/>
          <w:sz w:val="24"/>
          <w:highlight w:val="none"/>
        </w:rPr>
        <w:t xml:space="preserve">本合同签订后，甲方向乙方提供本项目的有关资料和文件； </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（2</w:t>
      </w:r>
      <w:r>
        <w:rPr>
          <w:rFonts w:ascii="宋体" w:hAnsi="宋体"/>
          <w:color w:val="auto"/>
          <w:sz w:val="24"/>
          <w:highlight w:val="none"/>
        </w:rPr>
        <w:t>）</w:t>
      </w:r>
      <w:r>
        <w:rPr>
          <w:rFonts w:hint="eastAsia" w:ascii="宋体" w:hAnsi="宋体"/>
          <w:color w:val="auto"/>
          <w:sz w:val="24"/>
          <w:highlight w:val="none"/>
        </w:rPr>
        <w:t>甲方为乙方前端设备安装工程实施提供必要的环境、设备以及取电等条件，并协助协调现场网络施工。</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（3</w:t>
      </w:r>
      <w:r>
        <w:rPr>
          <w:rFonts w:ascii="宋体" w:hAnsi="宋体"/>
          <w:color w:val="auto"/>
          <w:sz w:val="24"/>
          <w:highlight w:val="none"/>
        </w:rPr>
        <w:t>）</w:t>
      </w:r>
      <w:r>
        <w:rPr>
          <w:rFonts w:hint="eastAsia" w:ascii="宋体" w:hAnsi="宋体"/>
          <w:color w:val="auto"/>
          <w:sz w:val="24"/>
          <w:highlight w:val="none"/>
        </w:rPr>
        <w:t>在项目实施过程中，甲方应组织相关人员参与项目组织管理，并成为管理组成员贯穿于项目实施的过程始末。</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（4</w:t>
      </w:r>
      <w:r>
        <w:rPr>
          <w:rFonts w:ascii="宋体" w:hAnsi="宋体"/>
          <w:color w:val="auto"/>
          <w:sz w:val="24"/>
          <w:highlight w:val="none"/>
        </w:rPr>
        <w:t>）</w:t>
      </w:r>
      <w:r>
        <w:rPr>
          <w:rFonts w:hint="eastAsia" w:ascii="宋体" w:hAnsi="宋体"/>
          <w:color w:val="auto"/>
          <w:sz w:val="24"/>
          <w:highlight w:val="none"/>
        </w:rPr>
        <w:t>甲方负责协调乙方在本项目实施以及系统运行维护过程中涉及的与相关单位的沟通、协调。</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（5</w:t>
      </w:r>
      <w:r>
        <w:rPr>
          <w:rFonts w:ascii="宋体" w:hAnsi="宋体"/>
          <w:color w:val="auto"/>
          <w:sz w:val="24"/>
          <w:highlight w:val="none"/>
        </w:rPr>
        <w:t>）</w:t>
      </w:r>
      <w:r>
        <w:rPr>
          <w:rFonts w:hint="eastAsia" w:ascii="宋体" w:hAnsi="宋体"/>
          <w:color w:val="auto"/>
          <w:sz w:val="24"/>
          <w:highlight w:val="none"/>
        </w:rPr>
        <w:t>甲方按照合同规定向乙方支付合同款项。</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（6</w:t>
      </w:r>
      <w:r>
        <w:rPr>
          <w:rFonts w:ascii="宋体" w:hAnsi="宋体"/>
          <w:color w:val="auto"/>
          <w:sz w:val="24"/>
          <w:highlight w:val="none"/>
        </w:rPr>
        <w:t>）</w:t>
      </w:r>
      <w:r>
        <w:rPr>
          <w:rFonts w:hint="eastAsia" w:ascii="宋体" w:hAnsi="宋体"/>
          <w:color w:val="auto"/>
          <w:sz w:val="24"/>
          <w:highlight w:val="none"/>
        </w:rPr>
        <w:t>乙方向甲方提供的内部资料，甲方应予以保密，甲方承诺，不向任何第三方泄露乙方的商业机密和技术机密。</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（7</w:t>
      </w:r>
      <w:r>
        <w:rPr>
          <w:rFonts w:ascii="宋体" w:hAnsi="宋体"/>
          <w:color w:val="auto"/>
          <w:sz w:val="24"/>
          <w:highlight w:val="none"/>
        </w:rPr>
        <w:t>）</w:t>
      </w:r>
      <w:r>
        <w:rPr>
          <w:rFonts w:hint="eastAsia" w:ascii="宋体" w:hAnsi="宋体"/>
          <w:color w:val="auto"/>
          <w:sz w:val="24"/>
          <w:highlight w:val="none"/>
        </w:rPr>
        <w:t>本项目实行监理制度，甲方将委派监理公司对乙方所承担项目进行监理。</w:t>
      </w:r>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 xml:space="preserve">2. 乙方责任 </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w:t>
      </w:r>
      <w:r>
        <w:rPr>
          <w:rFonts w:hint="eastAsia" w:ascii="宋体" w:hAnsi="宋体"/>
          <w:color w:val="auto"/>
          <w:sz w:val="24"/>
          <w:highlight w:val="none"/>
        </w:rPr>
        <w:t>乙方组织相关专家、技术人员与甲方指定人员共同组成项目小组，并指定专门的项目经理为本项目主管，负责本项目的具体实施工作。项目人员安排详见附件二《项目主要人员名单》。</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（2</w:t>
      </w:r>
      <w:r>
        <w:rPr>
          <w:rFonts w:ascii="宋体" w:hAnsi="宋体"/>
          <w:color w:val="auto"/>
          <w:sz w:val="24"/>
          <w:highlight w:val="none"/>
        </w:rPr>
        <w:t>）</w:t>
      </w:r>
      <w:r>
        <w:rPr>
          <w:rFonts w:hint="eastAsia" w:ascii="宋体" w:hAnsi="宋体"/>
          <w:color w:val="auto"/>
          <w:sz w:val="24"/>
          <w:highlight w:val="none"/>
        </w:rPr>
        <w:t>乙方应根据甲方系统的实际情况，提供相应的项目开发服务，以保证开发的系统正常、稳定、高效。</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（3</w:t>
      </w:r>
      <w:r>
        <w:rPr>
          <w:rFonts w:ascii="宋体" w:hAnsi="宋体"/>
          <w:color w:val="auto"/>
          <w:sz w:val="24"/>
          <w:highlight w:val="none"/>
        </w:rPr>
        <w:t>）</w:t>
      </w:r>
      <w:r>
        <w:rPr>
          <w:rFonts w:hint="eastAsia" w:ascii="宋体" w:hAnsi="宋体"/>
          <w:color w:val="auto"/>
          <w:sz w:val="24"/>
          <w:highlight w:val="none"/>
        </w:rPr>
        <w:t>甲方向乙方提供的内部资料乙方应予以保密，乙方承诺不向项目之外任何一方泄露机密。乙方确保在完成本项目和所交付的工作成果不侵犯任何第三方的知识产权，并确保甲方不受任何第三方对知识产权的权利主张。</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（4</w:t>
      </w:r>
      <w:r>
        <w:rPr>
          <w:rFonts w:ascii="宋体" w:hAnsi="宋体"/>
          <w:color w:val="auto"/>
          <w:sz w:val="24"/>
          <w:highlight w:val="none"/>
        </w:rPr>
        <w:t>）</w:t>
      </w:r>
      <w:r>
        <w:rPr>
          <w:rFonts w:hint="eastAsia" w:ascii="宋体" w:hAnsi="宋体"/>
          <w:color w:val="auto"/>
          <w:sz w:val="24"/>
          <w:highlight w:val="none"/>
        </w:rPr>
        <w:t>乙方承诺为甲方的顺利使用以及应对突发的需求变更，乙方提供对上线业务系统的代码修改保证。</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（5</w:t>
      </w:r>
      <w:r>
        <w:rPr>
          <w:rFonts w:ascii="宋体" w:hAnsi="宋体"/>
          <w:color w:val="auto"/>
          <w:sz w:val="24"/>
          <w:highlight w:val="none"/>
        </w:rPr>
        <w:t>）</w:t>
      </w:r>
      <w:r>
        <w:rPr>
          <w:rFonts w:hint="eastAsia" w:ascii="宋体" w:hAnsi="宋体"/>
          <w:color w:val="auto"/>
          <w:sz w:val="24"/>
          <w:highlight w:val="none"/>
        </w:rPr>
        <w:t>竣工验收后。如甲方由于业务需要增加新的业务功能时，甲方有权选择第三方公司进行新业务功能的开发。乙方承诺对新业务功能的开发无条件予以支持，并开放开发接口，以保证新业务功能与现有系统能够成为有机的整体。如甲方委托乙方进行新业务功能开发的，乙方可以适当收取费用，但其费用额度不能超过合同文件中可比部分报价。乙方此项承诺不随本合同的终止而终止。</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（6</w:t>
      </w:r>
      <w:r>
        <w:rPr>
          <w:rFonts w:ascii="宋体" w:hAnsi="宋体"/>
          <w:color w:val="auto"/>
          <w:sz w:val="24"/>
          <w:highlight w:val="none"/>
        </w:rPr>
        <w:t>）</w:t>
      </w:r>
      <w:r>
        <w:rPr>
          <w:rFonts w:hint="eastAsia" w:ascii="宋体" w:hAnsi="宋体"/>
          <w:color w:val="auto"/>
          <w:sz w:val="24"/>
          <w:highlight w:val="none"/>
        </w:rPr>
        <w:t>对系统运维甲方将优先选择乙方承担。在特殊情况下，甲方有权选择第三方公司进行系统的运维。乙方承诺对其他公司运维无条件予以支持和培训，以保证现有系统安全平稳运行。乙方此项承诺不随本合同的终止而终止。</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（7</w:t>
      </w:r>
      <w:r>
        <w:rPr>
          <w:rFonts w:ascii="宋体" w:hAnsi="宋体"/>
          <w:color w:val="auto"/>
          <w:sz w:val="24"/>
          <w:highlight w:val="none"/>
        </w:rPr>
        <w:t>）</w:t>
      </w:r>
      <w:r>
        <w:rPr>
          <w:rFonts w:hint="eastAsia" w:ascii="宋体" w:hAnsi="宋体"/>
          <w:color w:val="auto"/>
          <w:sz w:val="24"/>
          <w:highlight w:val="none"/>
        </w:rPr>
        <w:t>接受甲方委托的监理公司对乙方承担项目的监理。乙方应认真执行监理人发出的与合同有关的任何合理指示，按合同规定的内容和时间完成全部建设工作。</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（8</w:t>
      </w:r>
      <w:r>
        <w:rPr>
          <w:rFonts w:ascii="宋体" w:hAnsi="宋体"/>
          <w:color w:val="auto"/>
          <w:sz w:val="24"/>
          <w:highlight w:val="none"/>
        </w:rPr>
        <w:t>）</w:t>
      </w:r>
      <w:r>
        <w:rPr>
          <w:rFonts w:hint="eastAsia" w:ascii="宋体" w:hAnsi="宋体"/>
          <w:color w:val="auto"/>
          <w:sz w:val="24"/>
          <w:highlight w:val="none"/>
        </w:rPr>
        <w:t>乙方应按有关规定认真采取安全措施，确保系统和由其管辖的人员、材料、设施和设备的安全，并应采取有效措施防止工地附近建筑物和居民的生命财产遭受损害。</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（9</w:t>
      </w:r>
      <w:r>
        <w:rPr>
          <w:rFonts w:ascii="宋体" w:hAnsi="宋体"/>
          <w:color w:val="auto"/>
          <w:sz w:val="24"/>
          <w:highlight w:val="none"/>
        </w:rPr>
        <w:t>）</w:t>
      </w:r>
      <w:r>
        <w:rPr>
          <w:rFonts w:hint="eastAsia" w:ascii="宋体" w:hAnsi="宋体"/>
          <w:color w:val="auto"/>
          <w:sz w:val="24"/>
          <w:highlight w:val="none"/>
        </w:rPr>
        <w:t>乙方承诺在项目建设过程中保证本项目工作人员的稳定（具体人员名单见附件二：《项目主要人员名单》），如果需要变更人员需经甲方书面同意，如违背视为违反合同。</w:t>
      </w:r>
    </w:p>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八. 保密与产权条款</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1. </w:t>
      </w:r>
      <w:r>
        <w:rPr>
          <w:rFonts w:hint="eastAsia" w:ascii="宋体" w:hAnsi="宋体"/>
          <w:color w:val="auto"/>
          <w:sz w:val="24"/>
          <w:highlight w:val="none"/>
        </w:rPr>
        <w:t>甲乙双方对本合同所涉及的内容均负有保密责任。甲方保证，对乙方向甲方透露的、包含但不限于专有资料或标明“专有”或“保密”的任何资料或数据，如乙方的图纸和软件（包括但不限于设计、报告、软件文件、手册、模型、说明书等）予以保密。未经乙方书面允许，不得复制、向他人透露或者使用该等资料或数据。这些义务不适用于下述任何资料或数据：在未违反本条的情况下属于或成为公共资料的资料或数据；甲方合法地从第三方获得的资料或数据；甲方独立开发并且未从乙方的资料或数据中获益的资料或数据。</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2. </w:t>
      </w:r>
      <w:r>
        <w:rPr>
          <w:rFonts w:hint="eastAsia" w:ascii="宋体" w:hAnsi="宋体"/>
          <w:color w:val="auto"/>
          <w:sz w:val="24"/>
          <w:highlight w:val="none"/>
        </w:rPr>
        <w:t>乙方保证，对甲方向乙方透露的、包含但不限于专有资料并表明“专有”或“保密”的任何资料或数据，如甲方的需求、业务模式（包括但不限于岗位职能等）予以保密。未经甲方书面允许，不得复制、向他人透露或者使用该等资料或数据。这些义务不适用于下述任何资料或数据：在未违反本条的情况下属于或成为公共资料的资料或数据；乙方合法地从第三方获得的资料或数据；乙方独立开发并且未从甲方的资料或数据中获益的资料或数据。</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3. </w:t>
      </w:r>
      <w:r>
        <w:rPr>
          <w:rFonts w:hint="eastAsia" w:ascii="宋体" w:hAnsi="宋体"/>
          <w:color w:val="auto"/>
          <w:sz w:val="24"/>
          <w:highlight w:val="none"/>
        </w:rPr>
        <w:t>对于甲方自身的特殊保密需求，甲方有义务对因系统开发、维护等的需要而提供给乙方的资料和数据实施合乎规定（该类规定包括但不限于相关的保密法律、法规、规定、通知等）的保密处理措施，并对此负责；同时，乙方有义务遵守和配合执行甲方的保密管理规定与保密措施，并在项目实施完成后，归还甲方提供的非公开的业务资料。</w:t>
      </w:r>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4. 乙方同意为实施本项目承担以下保密义务：</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w:t>
      </w:r>
      <w:r>
        <w:rPr>
          <w:rFonts w:hint="eastAsia" w:ascii="宋体" w:hAnsi="宋体"/>
          <w:color w:val="auto"/>
          <w:sz w:val="24"/>
          <w:highlight w:val="none"/>
        </w:rPr>
        <w:t>采取内部措施，保证只有为履行本协议的相关内部员工可接触到与本项目相关的保密信息和资料。</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（2</w:t>
      </w:r>
      <w:r>
        <w:rPr>
          <w:rFonts w:ascii="宋体" w:hAnsi="宋体"/>
          <w:color w:val="auto"/>
          <w:sz w:val="24"/>
          <w:highlight w:val="none"/>
        </w:rPr>
        <w:t>）</w:t>
      </w:r>
      <w:r>
        <w:rPr>
          <w:rFonts w:hint="eastAsia" w:ascii="宋体" w:hAnsi="宋体"/>
          <w:color w:val="auto"/>
          <w:sz w:val="24"/>
          <w:highlight w:val="none"/>
        </w:rPr>
        <w:t>与涉及本项目的内部员工签署保密协议，使其履行本协议所约定的保密义务。</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（3</w:t>
      </w:r>
      <w:r>
        <w:rPr>
          <w:rFonts w:ascii="宋体" w:hAnsi="宋体"/>
          <w:color w:val="auto"/>
          <w:sz w:val="24"/>
          <w:highlight w:val="none"/>
        </w:rPr>
        <w:t>）</w:t>
      </w:r>
      <w:r>
        <w:rPr>
          <w:rFonts w:hint="eastAsia" w:ascii="宋体" w:hAnsi="宋体"/>
          <w:color w:val="auto"/>
          <w:sz w:val="24"/>
          <w:highlight w:val="none"/>
        </w:rPr>
        <w:t>在本项目完成后，按照甲方指令，退回或销毁与本项目相关的保密资料。</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5.产权条款：</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（1</w:t>
      </w:r>
      <w:r>
        <w:rPr>
          <w:rFonts w:ascii="宋体" w:hAnsi="宋体"/>
          <w:color w:val="auto"/>
          <w:sz w:val="24"/>
          <w:highlight w:val="none"/>
        </w:rPr>
        <w:t>）</w:t>
      </w:r>
      <w:r>
        <w:rPr>
          <w:rFonts w:hint="eastAsia" w:ascii="宋体" w:hAnsi="宋体"/>
          <w:color w:val="auto"/>
          <w:sz w:val="24"/>
          <w:highlight w:val="none"/>
        </w:rPr>
        <w:t>乙方应保证准备或提交的全部软件系统和设计文件在中国境内或境外没有且不会侵犯任何其他人的知识产权（包括但不限于版权、商标权、专利权）或专有技术或商业秘密。乙方应保证，如果其软件系统和设计文件使用或包含任何其他人的知识产权或专有技术或商业秘密，乙方已经获得权利人的适当授权。乙方进一步保证，交付甲方使用其软件系统和设计文件在中国境内或境外没有且不会侵犯其他人的知识产权（包括但不限于版权、商标权、专利权）或专有技术或商业秘密，并应当使甲方免于因被指控侵犯上述权利而产生的或与此有关的任何及所有责任，并赔偿甲方由此发生的任何及所有成本、费用和损失。包括但不限于解决争议，赔偿甲方因此支出的交通费、诉讼费等一切合理费用，并保证甲方对软件的正常使用。否则，甲方有权单方解除协议，乙方退还全部合同价款及利息（按同期银行贷款利率计算），并赔偿因此给甲方造成的损失。。</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（2</w:t>
      </w:r>
      <w:r>
        <w:rPr>
          <w:rFonts w:ascii="宋体" w:hAnsi="宋体"/>
          <w:color w:val="auto"/>
          <w:sz w:val="24"/>
          <w:highlight w:val="none"/>
        </w:rPr>
        <w:t>）</w:t>
      </w:r>
      <w:r>
        <w:rPr>
          <w:rFonts w:hint="eastAsia" w:ascii="宋体" w:hAnsi="宋体"/>
          <w:color w:val="auto"/>
          <w:sz w:val="24"/>
          <w:highlight w:val="none"/>
        </w:rPr>
        <w:t>乙方在履行和完成本合同项下工作过程中准备及开发的一切资料，包括但不限于文件、计算方法、图表、报告、数据、模型和样品，以及其中含有的所有发明和可授版权(包括版权的商业使用权,如：商业推广、纪念品等由版权而带来的延伸产品的开发的资料，应于制作或准备时）为甲方独有的排他性财产而不受任何限制。甲方有权使用上述资料以履行本项目合同或用于其他目的。该资料应与本项目合同项下其他资料一起，按要求在本项目合同结束或终止的时候，交还给甲方或以甲方认可的方式进行销毁。</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（3）本项目所开发的软件系统其知识产权及著作权归甲方所有。</w:t>
      </w: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4）版权：乙方向甲方提供的软件版权归甲方所有。乙方保证在甲方提供必要的系统运行环境前提下，按合同规定的期限为甲方完成安装调试等工作；未经甲方书面许可，乙方不得向第三方提供该软件建设内容的有关文档及源代码、目标代码。</w:t>
      </w:r>
    </w:p>
    <w:p>
      <w:pPr>
        <w:pStyle w:val="2"/>
        <w:numPr>
          <w:ilvl w:val="0"/>
          <w:numId w:val="0"/>
        </w:numPr>
        <w:spacing w:before="0" w:after="0" w:line="360" w:lineRule="auto"/>
        <w:ind w:left="432" w:hanging="432"/>
        <w:jc w:val="both"/>
        <w:rPr>
          <w:color w:val="auto"/>
          <w:sz w:val="24"/>
          <w:highlight w:val="none"/>
        </w:rPr>
      </w:pPr>
      <w:bookmarkStart w:id="199" w:name="_Toc266880897"/>
      <w:bookmarkStart w:id="200" w:name="_Toc266880779"/>
      <w:bookmarkStart w:id="201" w:name="_Toc266711112"/>
      <w:bookmarkStart w:id="202" w:name="_Toc266893069"/>
      <w:r>
        <w:rPr>
          <w:rFonts w:hint="eastAsia"/>
          <w:color w:val="auto"/>
          <w:sz w:val="24"/>
          <w:highlight w:val="none"/>
        </w:rPr>
        <w:t>九. 项目组织与实施</w:t>
      </w:r>
      <w:bookmarkEnd w:id="199"/>
      <w:bookmarkEnd w:id="200"/>
      <w:bookmarkEnd w:id="201"/>
      <w:bookmarkEnd w:id="202"/>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1. </w:t>
      </w:r>
      <w:r>
        <w:rPr>
          <w:rFonts w:hint="eastAsia" w:ascii="宋体" w:hAnsi="宋体"/>
          <w:color w:val="auto"/>
          <w:sz w:val="24"/>
          <w:highlight w:val="none"/>
        </w:rPr>
        <w:t>在项目具体实施的过程当中，乙方承诺严格按照ISO9001系列标准，严密组织，认真规划，严格监管，以确保项目高质量按期完成。</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2. </w:t>
      </w:r>
      <w:r>
        <w:rPr>
          <w:rFonts w:hint="eastAsia" w:ascii="宋体" w:hAnsi="宋体"/>
          <w:color w:val="auto"/>
          <w:sz w:val="24"/>
          <w:highlight w:val="none"/>
        </w:rPr>
        <w:t>乙方在项目开发完成后及时制定项目实施计划，对甲方的相关人员进行培训，以使接受培训者能够独立、熟练地完成操作，实现依据本合同所规定的软件的目标和功能。</w:t>
      </w:r>
    </w:p>
    <w:p>
      <w:pPr>
        <w:pStyle w:val="2"/>
        <w:numPr>
          <w:ilvl w:val="0"/>
          <w:numId w:val="0"/>
        </w:numPr>
        <w:spacing w:before="0" w:after="0" w:line="360" w:lineRule="auto"/>
        <w:ind w:left="432" w:hanging="432"/>
        <w:jc w:val="both"/>
        <w:rPr>
          <w:rFonts w:hAnsi="宋体"/>
          <w:b w:val="0"/>
          <w:color w:val="auto"/>
          <w:sz w:val="24"/>
          <w:highlight w:val="none"/>
        </w:rPr>
      </w:pPr>
      <w:r>
        <w:rPr>
          <w:rFonts w:hint="eastAsia"/>
          <w:color w:val="auto"/>
          <w:sz w:val="24"/>
          <w:highlight w:val="none"/>
        </w:rPr>
        <w:t>十</w:t>
      </w:r>
      <w:r>
        <w:rPr>
          <w:color w:val="auto"/>
          <w:sz w:val="24"/>
          <w:highlight w:val="none"/>
        </w:rPr>
        <w:t xml:space="preserve">. </w:t>
      </w:r>
      <w:r>
        <w:rPr>
          <w:rFonts w:hint="eastAsia"/>
          <w:color w:val="auto"/>
          <w:sz w:val="24"/>
          <w:highlight w:val="none"/>
        </w:rPr>
        <w:t>验收标准</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1. </w:t>
      </w:r>
      <w:r>
        <w:rPr>
          <w:rFonts w:hint="eastAsia" w:ascii="宋体" w:hAnsi="宋体"/>
          <w:color w:val="auto"/>
          <w:sz w:val="24"/>
          <w:highlight w:val="none"/>
        </w:rPr>
        <w:t>本项目验收以经双方确认的系统需求说明书及其后所有对需求变更和确认的备忘录为标准，由甲方组织相关人员组成验收小组，负责验收工作。验收内容包括对项目工程进行全面校验，评定工程质量；进行文件资料和软件系统的验收工作，提交验收报告等。</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2. </w:t>
      </w:r>
      <w:r>
        <w:rPr>
          <w:rFonts w:hint="eastAsia" w:ascii="宋体" w:hAnsi="宋体"/>
          <w:color w:val="auto"/>
          <w:sz w:val="24"/>
          <w:highlight w:val="none"/>
        </w:rPr>
        <w:t>根据合同要求或双方协商结果，甲方委托具有软件测评和安全测评资质的第三方机构对整个项目进行软件测评和安全验收测评并出具验收意见。如验收未能通过，乙方应承担全部费用根据甲方要求采取切实有效的补救措施确保成果通过专家验收。否则甲方有权提前终止本合同，并要求乙方赔偿甲方由此遭受的全部直接损失。</w:t>
      </w:r>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3. 本项目验收分为初步验收和最终验收两部分。初步验收在系统测试通过后，并在乙方按照合同及其附件所约定的内容向甲方交付软件系统时进行。</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4. </w:t>
      </w:r>
      <w:r>
        <w:rPr>
          <w:rFonts w:hint="eastAsia" w:ascii="宋体" w:hAnsi="宋体"/>
          <w:color w:val="auto"/>
          <w:sz w:val="24"/>
          <w:highlight w:val="none"/>
        </w:rPr>
        <w:t>初步验收时乙方应已经向甲方移交包括但不限于如下资料：系统需求说明书、系统概要设计文档、系统详细设计文档、系统数据库设计文档、系统单元测试报告、系统集成测试报告、系统安装手册、系统维护指南、用户操作手册、用户培训课件等；最终验收时乙方应已经向甲方移交包括但不限于如下资料：系统源代码、试运行报告等。</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5. </w:t>
      </w:r>
      <w:r>
        <w:rPr>
          <w:rFonts w:hint="eastAsia" w:ascii="宋体" w:hAnsi="宋体"/>
          <w:color w:val="auto"/>
          <w:sz w:val="24"/>
          <w:highlight w:val="none"/>
        </w:rPr>
        <w:t>验收实施工作由根据合同要求或双方协商结果，确定验收时间、验收方案及双方职责。乙方安排技术人员协助甲方进行验收；验收分为验收测试、编写验收报告和问题处理等步骤，在验收（测试）过程中发现的问题根据合同规定进行处理。如果合同中没有规定，应指明问题类型和责任归属，由乙方技术人员与甲方协商解决。</w:t>
      </w:r>
    </w:p>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十一. 不可抗力</w:t>
      </w:r>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由于不可抗力的原因，阻止、限制、延迟或干扰双方履行本合同，则应免除双方因不可抗力所延迟或阻止的部分合同的履行责任，但是，双方应采取合理的措施避免或消除该等造成不履行的原因，并且一旦该等原因被消除，则双方应继续履行原受消除原因影响的条款。不可抗力事件系指双方在缔结合同时所不能预见的、并且它的发生及其后果是无法避免和无法克服的事件，诸如战争、严重火灾、水灾、洪水、台风、地震等。</w:t>
      </w:r>
    </w:p>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十二. 违约责任</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1. </w:t>
      </w:r>
      <w:r>
        <w:rPr>
          <w:rFonts w:hint="eastAsia" w:ascii="宋体" w:hAnsi="宋体"/>
          <w:color w:val="auto"/>
          <w:sz w:val="24"/>
          <w:highlight w:val="none"/>
        </w:rPr>
        <w:t>若合同一方有足够证据证明合同另一方未在规定时间履行本合同项下规定义务，应向对方提出书面违约通知，在合理宽限期满后，仍不能履行合同义务的，可提出终止部分或全部合同，合同中未终止的部分应继续履行。</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2. </w:t>
      </w:r>
      <w:r>
        <w:rPr>
          <w:rFonts w:hint="eastAsia" w:ascii="宋体" w:hAnsi="宋体"/>
          <w:color w:val="auto"/>
          <w:sz w:val="24"/>
          <w:highlight w:val="none"/>
        </w:rPr>
        <w:t>因乙方原因，乙方未依据本合同所规定的计划和时间内完成和交付本合同所规定的项目，甲方有权要求乙方采取补救和补偿措施，及继续履行本合同所规定的义务。同时，每延期一天，乙方应向甲方支付合同金额的0.5%的违约金，逾期超过7天的甲方有权解除本合同，乙方应返还甲方已支付的全部费用并按合同总金额的20%向甲方支付违约金。甲方有权自银行履约保函中扣除乙方应支付的违约金或赔偿金。</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3. </w:t>
      </w:r>
      <w:r>
        <w:rPr>
          <w:rFonts w:hint="eastAsia" w:ascii="宋体" w:hAnsi="宋体"/>
          <w:color w:val="auto"/>
          <w:sz w:val="24"/>
          <w:highlight w:val="none"/>
        </w:rPr>
        <w:t>如甲方未依据本合同规定的时间支付款项的，乙方有权要求甲方采取补救和补偿措施，及继续履行本合同所规定的义务。同时，每延期7天，甲方应向乙方支付合同金额的0.5%的违约金；但违约金的总数不超过合同金额的5%。</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4. </w:t>
      </w:r>
      <w:r>
        <w:rPr>
          <w:rFonts w:hint="eastAsia" w:ascii="宋体" w:hAnsi="宋体"/>
          <w:color w:val="auto"/>
          <w:sz w:val="24"/>
          <w:highlight w:val="none"/>
        </w:rPr>
        <w:t>任何一方违反本合同的约定时，非违约方应有权获得因违反本合同而使非违约方遭受和招致的任何损害、支出、损失或责任的赔偿，该项赔偿由违约方支付。上述赔偿不应超过违约方在签订本合同时预见或应当预见到的损害、支出、损失或责任，且各方均不应为对方的间接损失负责。</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5. </w:t>
      </w:r>
      <w:r>
        <w:rPr>
          <w:rFonts w:hint="eastAsia" w:ascii="宋体" w:hAnsi="宋体"/>
          <w:color w:val="auto"/>
          <w:sz w:val="24"/>
          <w:highlight w:val="none"/>
        </w:rPr>
        <w:t>任何一方严重违反本合同规定，经守约方通知后7日内仍未能纠正，守约方有权立即终止本合同。本合同的终止不影响违约方此前应支付违约金的义务。</w:t>
      </w:r>
    </w:p>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十三. 破产合同终止</w:t>
      </w:r>
    </w:p>
    <w:p>
      <w:pPr>
        <w:pStyle w:val="9"/>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如合同一方破产或有证据证明其无清偿能力，另一方可在任何时候以书面形式通知对方，提出终止合同而不给对方补偿，或要求资产保全防止损失扩大。</w:t>
      </w:r>
    </w:p>
    <w:p>
      <w:pPr>
        <w:pStyle w:val="2"/>
        <w:numPr>
          <w:ilvl w:val="0"/>
          <w:numId w:val="0"/>
        </w:numPr>
        <w:spacing w:before="0" w:after="0" w:line="360" w:lineRule="auto"/>
        <w:ind w:left="432" w:hanging="432"/>
        <w:jc w:val="both"/>
        <w:rPr>
          <w:color w:val="auto"/>
          <w:sz w:val="24"/>
          <w:highlight w:val="none"/>
        </w:rPr>
      </w:pPr>
      <w:bookmarkStart w:id="203" w:name="_Toc266880780"/>
      <w:bookmarkStart w:id="204" w:name="_Toc266880898"/>
      <w:bookmarkStart w:id="205" w:name="_Toc266893070"/>
      <w:bookmarkStart w:id="206" w:name="_Toc266711113"/>
      <w:r>
        <w:rPr>
          <w:rFonts w:hint="eastAsia"/>
          <w:color w:val="auto"/>
          <w:sz w:val="24"/>
          <w:highlight w:val="none"/>
        </w:rPr>
        <w:t>十四. 合同修改</w:t>
      </w:r>
      <w:bookmarkEnd w:id="203"/>
      <w:bookmarkEnd w:id="204"/>
      <w:bookmarkEnd w:id="205"/>
      <w:bookmarkEnd w:id="206"/>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任何对合同条款的变更或修改均须甲乙双方签订书面补充协议。</w:t>
      </w:r>
    </w:p>
    <w:p>
      <w:pPr>
        <w:pStyle w:val="2"/>
        <w:numPr>
          <w:ilvl w:val="0"/>
          <w:numId w:val="0"/>
        </w:numPr>
        <w:spacing w:before="0" w:after="0" w:line="360" w:lineRule="auto"/>
        <w:ind w:left="432" w:hanging="432"/>
        <w:jc w:val="both"/>
        <w:rPr>
          <w:color w:val="auto"/>
          <w:sz w:val="24"/>
          <w:highlight w:val="none"/>
        </w:rPr>
      </w:pPr>
      <w:bookmarkStart w:id="207" w:name="_Toc266711114"/>
      <w:bookmarkStart w:id="208" w:name="_Toc266893071"/>
      <w:bookmarkStart w:id="209" w:name="_Toc266880781"/>
      <w:bookmarkStart w:id="210" w:name="_Toc266880899"/>
      <w:r>
        <w:rPr>
          <w:rFonts w:hint="eastAsia"/>
          <w:color w:val="auto"/>
          <w:sz w:val="24"/>
          <w:highlight w:val="none"/>
        </w:rPr>
        <w:t>十五. 适用法律</w:t>
      </w:r>
      <w:bookmarkEnd w:id="207"/>
      <w:bookmarkEnd w:id="208"/>
      <w:bookmarkEnd w:id="209"/>
      <w:bookmarkEnd w:id="210"/>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本合同按中华人民共和国法律解释。</w:t>
      </w:r>
    </w:p>
    <w:p>
      <w:pPr>
        <w:pStyle w:val="2"/>
        <w:numPr>
          <w:ilvl w:val="0"/>
          <w:numId w:val="0"/>
        </w:numPr>
        <w:spacing w:before="0" w:after="0" w:line="360" w:lineRule="auto"/>
        <w:ind w:left="432" w:hanging="432"/>
        <w:jc w:val="both"/>
        <w:rPr>
          <w:color w:val="auto"/>
          <w:sz w:val="24"/>
          <w:highlight w:val="none"/>
        </w:rPr>
      </w:pPr>
      <w:bookmarkStart w:id="211" w:name="_Toc266880782"/>
      <w:bookmarkStart w:id="212" w:name="_Toc266880900"/>
      <w:bookmarkStart w:id="213" w:name="_Toc266893072"/>
      <w:bookmarkStart w:id="214" w:name="_Toc266711115"/>
      <w:r>
        <w:rPr>
          <w:rFonts w:hint="eastAsia"/>
          <w:color w:val="auto"/>
          <w:sz w:val="24"/>
          <w:highlight w:val="none"/>
        </w:rPr>
        <w:t>十六. 主导语言</w:t>
      </w:r>
      <w:bookmarkEnd w:id="211"/>
      <w:bookmarkEnd w:id="212"/>
      <w:bookmarkEnd w:id="213"/>
      <w:bookmarkEnd w:id="214"/>
    </w:p>
    <w:p>
      <w:pPr>
        <w:pStyle w:val="9"/>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甲乙双方所有的来往函电合同以及和合同有关的文件均以中文书写。</w:t>
      </w:r>
    </w:p>
    <w:p>
      <w:pPr>
        <w:pStyle w:val="2"/>
        <w:numPr>
          <w:ilvl w:val="0"/>
          <w:numId w:val="0"/>
        </w:numPr>
        <w:spacing w:before="0" w:after="0" w:line="360" w:lineRule="auto"/>
        <w:ind w:left="432" w:hanging="432"/>
        <w:jc w:val="both"/>
        <w:rPr>
          <w:color w:val="auto"/>
          <w:sz w:val="24"/>
          <w:highlight w:val="none"/>
        </w:rPr>
      </w:pPr>
      <w:bookmarkStart w:id="215" w:name="_Toc266711116"/>
      <w:bookmarkStart w:id="216" w:name="_Toc266880901"/>
      <w:bookmarkStart w:id="217" w:name="_Toc266893073"/>
      <w:bookmarkStart w:id="218" w:name="_Toc266880783"/>
      <w:r>
        <w:rPr>
          <w:rFonts w:hint="eastAsia"/>
          <w:color w:val="auto"/>
          <w:sz w:val="24"/>
          <w:highlight w:val="none"/>
        </w:rPr>
        <w:t>十七. 合同生效及其他</w:t>
      </w:r>
      <w:bookmarkEnd w:id="215"/>
      <w:bookmarkEnd w:id="216"/>
      <w:bookmarkEnd w:id="217"/>
      <w:bookmarkEnd w:id="218"/>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1. </w:t>
      </w:r>
      <w:r>
        <w:rPr>
          <w:rFonts w:hint="eastAsia" w:ascii="宋体" w:hAnsi="宋体"/>
          <w:color w:val="auto"/>
          <w:sz w:val="24"/>
          <w:highlight w:val="none"/>
        </w:rPr>
        <w:t>本合同由双方法定代表人或授权代表签字并加署盖双方公章且甲方收到乙方提供的银行履约保函之日起生效。</w:t>
      </w:r>
    </w:p>
    <w:p>
      <w:pPr>
        <w:spacing w:line="360" w:lineRule="auto"/>
        <w:ind w:firstLine="480" w:firstLineChars="200"/>
        <w:rPr>
          <w:rFonts w:ascii="宋体" w:hAnsi="宋体"/>
          <w:color w:val="auto"/>
          <w:sz w:val="24"/>
          <w:highlight w:val="none"/>
        </w:rPr>
      </w:pPr>
      <w:r>
        <w:rPr>
          <w:rFonts w:hint="eastAsia" w:ascii="宋体" w:hAnsi="宋体"/>
          <w:color w:val="auto"/>
          <w:sz w:val="24"/>
          <w:highlight w:val="none"/>
        </w:rPr>
        <w:t>2. 本合同一式捌份，甲乙双方各执肆份。具有同等法律效力。</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3. </w:t>
      </w:r>
      <w:r>
        <w:rPr>
          <w:rFonts w:hint="eastAsia" w:ascii="宋体" w:hAnsi="宋体"/>
          <w:color w:val="auto"/>
          <w:sz w:val="24"/>
          <w:highlight w:val="none"/>
        </w:rPr>
        <w:t>合同之未尽事宜，双方本着相互信任和谅解的原则，友好协商解决并签订补充协议。</w:t>
      </w:r>
    </w:p>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十八. 争议的解决</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1. </w:t>
      </w:r>
      <w:r>
        <w:rPr>
          <w:rFonts w:hint="eastAsia" w:ascii="宋体" w:hAnsi="宋体"/>
          <w:color w:val="auto"/>
          <w:sz w:val="24"/>
          <w:highlight w:val="none"/>
        </w:rPr>
        <w:t>甲方和乙方如在合同履行过程中发生争议，应本着诚实信用的友好原则协商解决。</w:t>
      </w:r>
    </w:p>
    <w:p>
      <w:pPr>
        <w:spacing w:line="360" w:lineRule="auto"/>
        <w:ind w:firstLine="480" w:firstLineChars="200"/>
        <w:rPr>
          <w:rFonts w:ascii="宋体" w:hAnsi="宋体"/>
          <w:color w:val="auto"/>
          <w:sz w:val="24"/>
          <w:highlight w:val="none"/>
        </w:rPr>
      </w:pPr>
      <w:r>
        <w:rPr>
          <w:rFonts w:ascii="宋体" w:hAnsi="宋体"/>
          <w:color w:val="auto"/>
          <w:sz w:val="24"/>
          <w:highlight w:val="none"/>
        </w:rPr>
        <w:t xml:space="preserve">2. </w:t>
      </w:r>
      <w:r>
        <w:rPr>
          <w:rFonts w:hint="eastAsia" w:ascii="宋体" w:hAnsi="宋体"/>
          <w:color w:val="auto"/>
          <w:sz w:val="24"/>
          <w:highlight w:val="none"/>
        </w:rPr>
        <w:t>如通过上述办法不能解决争端，双方依法向甲方所在地人民法院提起诉讼；</w:t>
      </w:r>
    </w:p>
    <w:p>
      <w:pPr>
        <w:spacing w:line="360" w:lineRule="auto"/>
        <w:ind w:firstLine="480" w:firstLineChars="200"/>
        <w:rPr>
          <w:rFonts w:ascii="宋体" w:hAnsi="宋体"/>
          <w:color w:val="auto"/>
          <w:sz w:val="24"/>
          <w:highlight w:val="none"/>
        </w:rPr>
      </w:pPr>
    </w:p>
    <w:p>
      <w:pPr>
        <w:snapToGrid w:val="0"/>
        <w:spacing w:line="360" w:lineRule="auto"/>
        <w:ind w:firstLine="480" w:firstLineChars="200"/>
        <w:rPr>
          <w:rFonts w:ascii="宋体" w:hAnsi="宋体"/>
          <w:color w:val="auto"/>
          <w:sz w:val="24"/>
          <w:highlight w:val="none"/>
        </w:rPr>
      </w:pPr>
      <w:r>
        <w:rPr>
          <w:rFonts w:hint="eastAsia" w:ascii="宋体" w:hAnsi="宋体"/>
          <w:color w:val="auto"/>
          <w:sz w:val="24"/>
          <w:highlight w:val="none"/>
        </w:rPr>
        <w:t>本合同解除或终止的，不影响甲乙双方之间对未了债务的追偿、清算和本合同中争议解决条文的效力。</w:t>
      </w:r>
    </w:p>
    <w:p>
      <w:pPr>
        <w:spacing w:line="360" w:lineRule="auto"/>
        <w:ind w:firstLine="480" w:firstLineChars="200"/>
        <w:rPr>
          <w:rFonts w:ascii="宋体" w:hAnsi="宋体"/>
          <w:color w:val="auto"/>
          <w:sz w:val="28"/>
          <w:szCs w:val="28"/>
          <w:highlight w:val="none"/>
        </w:rPr>
      </w:pPr>
      <w:r>
        <w:rPr>
          <w:rFonts w:ascii="宋体" w:hAnsi="宋体"/>
          <w:color w:val="auto"/>
          <w:sz w:val="24"/>
          <w:highlight w:val="none"/>
        </w:rPr>
        <w:t xml:space="preserve">3. </w:t>
      </w:r>
      <w:r>
        <w:rPr>
          <w:rFonts w:hint="eastAsia" w:ascii="宋体" w:hAnsi="宋体"/>
          <w:color w:val="auto"/>
          <w:sz w:val="24"/>
          <w:highlight w:val="none"/>
        </w:rPr>
        <w:t>在纠纷解决的过程中，除受争端影响的部分外，本协议其他部分应继续执行。</w:t>
      </w:r>
      <w:r>
        <w:rPr>
          <w:rFonts w:ascii="宋体" w:hAnsi="宋体"/>
          <w:color w:val="auto"/>
          <w:sz w:val="28"/>
          <w:szCs w:val="28"/>
          <w:highlight w:val="none"/>
        </w:rPr>
        <w:br w:type="page"/>
      </w:r>
    </w:p>
    <w:tbl>
      <w:tblPr>
        <w:tblStyle w:val="28"/>
        <w:tblW w:w="9286"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534"/>
        <w:gridCol w:w="1559"/>
        <w:gridCol w:w="2268"/>
        <w:gridCol w:w="142"/>
        <w:gridCol w:w="708"/>
        <w:gridCol w:w="1134"/>
        <w:gridCol w:w="1134"/>
        <w:gridCol w:w="180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760" w:hRule="exact"/>
        </w:trPr>
        <w:tc>
          <w:tcPr>
            <w:tcW w:w="534" w:type="dxa"/>
            <w:vMerge w:val="restart"/>
            <w:textDirection w:val="tbRlV"/>
            <w:vAlign w:val="center"/>
          </w:tcPr>
          <w:p>
            <w:pPr>
              <w:spacing w:line="500" w:lineRule="exact"/>
              <w:ind w:left="113" w:right="113"/>
              <w:jc w:val="center"/>
              <w:rPr>
                <w:rFonts w:ascii="宋体" w:hAnsi="宋体"/>
                <w:color w:val="auto"/>
                <w:spacing w:val="20"/>
                <w:szCs w:val="21"/>
                <w:highlight w:val="none"/>
              </w:rPr>
            </w:pPr>
            <w:r>
              <w:rPr>
                <w:rFonts w:hint="eastAsia" w:ascii="宋体" w:hAnsi="宋体"/>
                <w:color w:val="auto"/>
                <w:spacing w:val="20"/>
                <w:szCs w:val="21"/>
                <w:highlight w:val="none"/>
              </w:rPr>
              <w:t>甲方</w:t>
            </w: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名称</w:t>
            </w:r>
            <w:r>
              <w:rPr>
                <w:rFonts w:ascii="宋体" w:hAnsi="宋体"/>
                <w:color w:val="auto"/>
                <w:szCs w:val="21"/>
                <w:highlight w:val="none"/>
              </w:rPr>
              <w:t>(</w:t>
            </w:r>
            <w:r>
              <w:rPr>
                <w:rFonts w:hint="eastAsia" w:ascii="宋体" w:hAnsi="宋体"/>
                <w:color w:val="auto"/>
                <w:szCs w:val="21"/>
                <w:highlight w:val="none"/>
              </w:rPr>
              <w:t>或姓名)</w:t>
            </w:r>
          </w:p>
        </w:tc>
        <w:tc>
          <w:tcPr>
            <w:tcW w:w="5386" w:type="dxa"/>
            <w:gridSpan w:val="5"/>
            <w:vAlign w:val="center"/>
          </w:tcPr>
          <w:p>
            <w:pPr>
              <w:spacing w:line="600" w:lineRule="exact"/>
              <w:ind w:right="315"/>
              <w:jc w:val="center"/>
              <w:rPr>
                <w:rFonts w:ascii="宋体" w:hAnsi="宋体"/>
                <w:color w:val="auto"/>
                <w:szCs w:val="21"/>
                <w:highlight w:val="none"/>
              </w:rPr>
            </w:pPr>
          </w:p>
        </w:tc>
        <w:tc>
          <w:tcPr>
            <w:tcW w:w="1807" w:type="dxa"/>
            <w:vMerge w:val="restart"/>
          </w:tcPr>
          <w:p>
            <w:pPr>
              <w:spacing w:line="600" w:lineRule="exact"/>
              <w:jc w:val="center"/>
              <w:rPr>
                <w:rFonts w:ascii="宋体" w:hAnsi="宋体"/>
                <w:color w:val="auto"/>
                <w:szCs w:val="21"/>
                <w:highlight w:val="none"/>
              </w:rPr>
            </w:pPr>
          </w:p>
          <w:p>
            <w:pPr>
              <w:spacing w:line="600" w:lineRule="exact"/>
              <w:jc w:val="center"/>
              <w:rPr>
                <w:rFonts w:ascii="宋体" w:hAnsi="宋体"/>
                <w:color w:val="auto"/>
                <w:szCs w:val="21"/>
                <w:highlight w:val="none"/>
              </w:rPr>
            </w:pPr>
          </w:p>
          <w:p>
            <w:pPr>
              <w:spacing w:line="600" w:lineRule="exact"/>
              <w:jc w:val="center"/>
              <w:rPr>
                <w:rFonts w:ascii="宋体" w:hAnsi="宋体"/>
                <w:color w:val="auto"/>
                <w:szCs w:val="21"/>
                <w:highlight w:val="none"/>
              </w:rPr>
            </w:pPr>
            <w:r>
              <w:rPr>
                <w:rFonts w:hint="eastAsia" w:ascii="宋体" w:hAnsi="宋体"/>
                <w:color w:val="auto"/>
                <w:szCs w:val="21"/>
                <w:highlight w:val="none"/>
              </w:rPr>
              <w:t>单位公章</w:t>
            </w:r>
          </w:p>
          <w:p>
            <w:pPr>
              <w:spacing w:line="500" w:lineRule="exact"/>
              <w:jc w:val="center"/>
              <w:rPr>
                <w:rFonts w:ascii="宋体" w:hAnsi="宋体"/>
                <w:color w:val="auto"/>
                <w:spacing w:val="20"/>
                <w:szCs w:val="21"/>
                <w:highlight w:val="none"/>
              </w:rPr>
            </w:pPr>
          </w:p>
          <w:p>
            <w:pPr>
              <w:spacing w:line="500" w:lineRule="exact"/>
              <w:jc w:val="center"/>
              <w:rPr>
                <w:rFonts w:ascii="宋体" w:hAnsi="宋体"/>
                <w:color w:val="auto"/>
                <w:spacing w:val="20"/>
                <w:szCs w:val="21"/>
                <w:highlight w:val="none"/>
              </w:rPr>
            </w:pPr>
          </w:p>
          <w:p>
            <w:pPr>
              <w:spacing w:line="500" w:lineRule="exact"/>
              <w:jc w:val="center"/>
              <w:rPr>
                <w:rFonts w:ascii="宋体" w:hAnsi="宋体"/>
                <w:color w:val="auto"/>
                <w:spacing w:val="20"/>
                <w:szCs w:val="21"/>
                <w:highlight w:val="none"/>
              </w:rPr>
            </w:pPr>
          </w:p>
          <w:p>
            <w:pPr>
              <w:spacing w:line="500" w:lineRule="exact"/>
              <w:jc w:val="center"/>
              <w:rPr>
                <w:rFonts w:ascii="宋体" w:hAnsi="宋体"/>
                <w:color w:val="auto"/>
                <w:spacing w:val="20"/>
                <w:szCs w:val="21"/>
                <w:highlight w:val="none"/>
              </w:rPr>
            </w:pPr>
          </w:p>
          <w:p>
            <w:pPr>
              <w:spacing w:line="500" w:lineRule="exact"/>
              <w:jc w:val="center"/>
              <w:rPr>
                <w:rFonts w:ascii="宋体" w:hAnsi="宋体"/>
                <w:color w:val="auto"/>
                <w:spacing w:val="20"/>
                <w:szCs w:val="21"/>
                <w:highlight w:val="none"/>
              </w:rPr>
            </w:pPr>
          </w:p>
          <w:p>
            <w:pPr>
              <w:spacing w:line="500" w:lineRule="exact"/>
              <w:jc w:val="right"/>
              <w:rPr>
                <w:rFonts w:ascii="宋体" w:hAnsi="宋体"/>
                <w:color w:val="auto"/>
                <w:spacing w:val="20"/>
                <w:szCs w:val="21"/>
                <w:highlight w:val="none"/>
              </w:rPr>
            </w:pPr>
            <w:r>
              <w:rPr>
                <w:rFonts w:hint="eastAsia" w:ascii="宋体" w:hAnsi="宋体"/>
                <w:color w:val="auto"/>
                <w:szCs w:val="21"/>
                <w:highlight w:val="none"/>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1219" w:hRule="exac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法定代表人或委托代理人</w:t>
            </w:r>
          </w:p>
        </w:tc>
        <w:tc>
          <w:tcPr>
            <w:tcW w:w="5386" w:type="dxa"/>
            <w:gridSpan w:val="5"/>
            <w:vAlign w:val="center"/>
          </w:tcPr>
          <w:p>
            <w:pPr>
              <w:spacing w:line="600" w:lineRule="exact"/>
              <w:jc w:val="right"/>
              <w:rPr>
                <w:rFonts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rPr>
              <w:t>签章</w:t>
            </w:r>
            <w:r>
              <w:rPr>
                <w:rFonts w:ascii="宋体" w:hAnsi="宋体"/>
                <w:color w:val="auto"/>
                <w:szCs w:val="21"/>
                <w:highlight w:val="none"/>
              </w:rPr>
              <w:t>)</w:t>
            </w:r>
          </w:p>
        </w:tc>
        <w:tc>
          <w:tcPr>
            <w:tcW w:w="1807" w:type="dxa"/>
            <w:vMerge w:val="continue"/>
          </w:tcPr>
          <w:p>
            <w:pPr>
              <w:spacing w:line="600" w:lineRule="exact"/>
              <w:jc w:val="center"/>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760" w:hRule="exac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联系</w:t>
            </w:r>
            <w:r>
              <w:rPr>
                <w:rFonts w:ascii="宋体" w:hAnsi="宋体"/>
                <w:color w:val="auto"/>
                <w:szCs w:val="21"/>
                <w:highlight w:val="none"/>
              </w:rPr>
              <w:t>(</w:t>
            </w:r>
            <w:r>
              <w:rPr>
                <w:rFonts w:hint="eastAsia" w:ascii="宋体" w:hAnsi="宋体"/>
                <w:color w:val="auto"/>
                <w:szCs w:val="21"/>
                <w:highlight w:val="none"/>
              </w:rPr>
              <w:t>经办</w:t>
            </w:r>
            <w:r>
              <w:rPr>
                <w:rFonts w:ascii="宋体" w:hAnsi="宋体"/>
                <w:color w:val="auto"/>
                <w:szCs w:val="21"/>
                <w:highlight w:val="none"/>
              </w:rPr>
              <w:t>)</w:t>
            </w:r>
            <w:r>
              <w:rPr>
                <w:rFonts w:hint="eastAsia" w:ascii="宋体" w:hAnsi="宋体"/>
                <w:color w:val="auto"/>
                <w:szCs w:val="21"/>
                <w:highlight w:val="none"/>
              </w:rPr>
              <w:t>人</w:t>
            </w:r>
          </w:p>
          <w:p>
            <w:pPr>
              <w:spacing w:line="600" w:lineRule="exact"/>
              <w:jc w:val="center"/>
              <w:rPr>
                <w:rFonts w:ascii="宋体" w:hAnsi="宋体"/>
                <w:color w:val="auto"/>
                <w:szCs w:val="21"/>
                <w:highlight w:val="none"/>
              </w:rPr>
            </w:pPr>
          </w:p>
        </w:tc>
        <w:tc>
          <w:tcPr>
            <w:tcW w:w="5386" w:type="dxa"/>
            <w:gridSpan w:val="5"/>
            <w:vAlign w:val="center"/>
          </w:tcPr>
          <w:p>
            <w:pPr>
              <w:spacing w:line="600" w:lineRule="exact"/>
              <w:jc w:val="right"/>
              <w:rPr>
                <w:rFonts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rPr>
              <w:t>签章</w:t>
            </w:r>
            <w:r>
              <w:rPr>
                <w:rFonts w:ascii="宋体" w:hAnsi="宋体"/>
                <w:color w:val="auto"/>
                <w:szCs w:val="21"/>
                <w:highlight w:val="none"/>
              </w:rPr>
              <w:t>)</w:t>
            </w:r>
          </w:p>
        </w:tc>
        <w:tc>
          <w:tcPr>
            <w:tcW w:w="1807" w:type="dxa"/>
            <w:vMerge w:val="continue"/>
          </w:tcPr>
          <w:p>
            <w:pPr>
              <w:spacing w:line="600" w:lineRule="exact"/>
              <w:jc w:val="center"/>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760" w:hRule="exact"/>
        </w:trPr>
        <w:tc>
          <w:tcPr>
            <w:tcW w:w="534" w:type="dxa"/>
            <w:vMerge w:val="continue"/>
          </w:tcPr>
          <w:p>
            <w:pPr>
              <w:spacing w:line="600" w:lineRule="exact"/>
              <w:jc w:val="left"/>
              <w:rPr>
                <w:rFonts w:ascii="宋体" w:hAnsi="宋体"/>
                <w:color w:val="auto"/>
                <w:szCs w:val="21"/>
                <w:highlight w:val="none"/>
              </w:rPr>
            </w:pPr>
          </w:p>
        </w:tc>
        <w:tc>
          <w:tcPr>
            <w:tcW w:w="1559" w:type="dxa"/>
            <w:vMerge w:val="restart"/>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住所</w:t>
            </w:r>
          </w:p>
          <w:p>
            <w:pPr>
              <w:spacing w:line="600" w:lineRule="exact"/>
              <w:jc w:val="center"/>
              <w:rPr>
                <w:rFonts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rPr>
              <w:t>通讯地址</w:t>
            </w:r>
            <w:r>
              <w:rPr>
                <w:rFonts w:ascii="宋体" w:hAnsi="宋体"/>
                <w:color w:val="auto"/>
                <w:szCs w:val="21"/>
                <w:highlight w:val="none"/>
              </w:rPr>
              <w:t>)</w:t>
            </w:r>
          </w:p>
        </w:tc>
        <w:tc>
          <w:tcPr>
            <w:tcW w:w="3118" w:type="dxa"/>
            <w:gridSpan w:val="3"/>
            <w:vMerge w:val="restart"/>
            <w:vAlign w:val="center"/>
          </w:tcPr>
          <w:p>
            <w:pPr>
              <w:spacing w:line="600" w:lineRule="exact"/>
              <w:jc w:val="center"/>
              <w:rPr>
                <w:rFonts w:ascii="宋体" w:hAnsi="宋体"/>
                <w:color w:val="auto"/>
                <w:szCs w:val="21"/>
                <w:highlight w:val="none"/>
              </w:rPr>
            </w:pPr>
          </w:p>
        </w:tc>
        <w:tc>
          <w:tcPr>
            <w:tcW w:w="1134" w:type="dxa"/>
            <w:vMerge w:val="restart"/>
            <w:vAlign w:val="center"/>
          </w:tcPr>
          <w:p>
            <w:pPr>
              <w:spacing w:line="600" w:lineRule="exact"/>
              <w:jc w:val="left"/>
              <w:rPr>
                <w:rFonts w:ascii="宋体" w:hAnsi="宋体"/>
                <w:color w:val="auto"/>
                <w:szCs w:val="21"/>
                <w:highlight w:val="none"/>
              </w:rPr>
            </w:pPr>
            <w:r>
              <w:rPr>
                <w:rFonts w:hint="eastAsia" w:ascii="宋体" w:hAnsi="宋体"/>
                <w:color w:val="auto"/>
                <w:szCs w:val="21"/>
                <w:highlight w:val="none"/>
              </w:rPr>
              <w:t>邮政编码</w:t>
            </w:r>
          </w:p>
        </w:tc>
        <w:tc>
          <w:tcPr>
            <w:tcW w:w="1134" w:type="dxa"/>
            <w:vMerge w:val="restart"/>
            <w:vAlign w:val="center"/>
          </w:tcPr>
          <w:p>
            <w:pPr>
              <w:spacing w:line="600" w:lineRule="exact"/>
              <w:jc w:val="center"/>
              <w:rPr>
                <w:rFonts w:ascii="宋体" w:hAnsi="宋体"/>
                <w:color w:val="auto"/>
                <w:szCs w:val="21"/>
                <w:highlight w:val="none"/>
              </w:rPr>
            </w:pPr>
          </w:p>
        </w:tc>
        <w:tc>
          <w:tcPr>
            <w:tcW w:w="1807" w:type="dxa"/>
            <w:vMerge w:val="continue"/>
          </w:tcPr>
          <w:p>
            <w:pPr>
              <w:spacing w:line="600" w:lineRule="exact"/>
              <w:jc w:val="center"/>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443" w:hRule="exact"/>
        </w:trPr>
        <w:tc>
          <w:tcPr>
            <w:tcW w:w="534" w:type="dxa"/>
            <w:vMerge w:val="continue"/>
          </w:tcPr>
          <w:p>
            <w:pPr>
              <w:spacing w:line="600" w:lineRule="exact"/>
              <w:jc w:val="left"/>
              <w:rPr>
                <w:rFonts w:ascii="宋体" w:hAnsi="宋体"/>
                <w:color w:val="auto"/>
                <w:szCs w:val="21"/>
                <w:highlight w:val="none"/>
              </w:rPr>
            </w:pPr>
          </w:p>
        </w:tc>
        <w:tc>
          <w:tcPr>
            <w:tcW w:w="1559" w:type="dxa"/>
            <w:vMerge w:val="continue"/>
          </w:tcPr>
          <w:p>
            <w:pPr>
              <w:spacing w:line="600" w:lineRule="exact"/>
              <w:jc w:val="left"/>
              <w:rPr>
                <w:rFonts w:ascii="宋体" w:hAnsi="宋体"/>
                <w:color w:val="auto"/>
                <w:szCs w:val="21"/>
                <w:highlight w:val="none"/>
              </w:rPr>
            </w:pPr>
          </w:p>
        </w:tc>
        <w:tc>
          <w:tcPr>
            <w:tcW w:w="3118" w:type="dxa"/>
            <w:gridSpan w:val="3"/>
            <w:vMerge w:val="continue"/>
          </w:tcPr>
          <w:p>
            <w:pPr>
              <w:spacing w:line="600" w:lineRule="exact"/>
              <w:jc w:val="left"/>
              <w:rPr>
                <w:rFonts w:ascii="宋体" w:hAnsi="宋体"/>
                <w:color w:val="auto"/>
                <w:szCs w:val="21"/>
                <w:highlight w:val="none"/>
              </w:rPr>
            </w:pPr>
          </w:p>
        </w:tc>
        <w:tc>
          <w:tcPr>
            <w:tcW w:w="1134" w:type="dxa"/>
            <w:vMerge w:val="continue"/>
          </w:tcPr>
          <w:p>
            <w:pPr>
              <w:spacing w:line="600" w:lineRule="exact"/>
              <w:jc w:val="left"/>
              <w:rPr>
                <w:rFonts w:ascii="宋体" w:hAnsi="宋体"/>
                <w:color w:val="auto"/>
                <w:szCs w:val="21"/>
                <w:highlight w:val="none"/>
              </w:rPr>
            </w:pPr>
          </w:p>
        </w:tc>
        <w:tc>
          <w:tcPr>
            <w:tcW w:w="1134" w:type="dxa"/>
            <w:vMerge w:val="continue"/>
          </w:tcPr>
          <w:p>
            <w:pPr>
              <w:spacing w:line="600" w:lineRule="exact"/>
              <w:jc w:val="left"/>
              <w:rPr>
                <w:rFonts w:ascii="宋体" w:hAnsi="宋体"/>
                <w:color w:val="auto"/>
                <w:szCs w:val="21"/>
                <w:highlight w:val="none"/>
              </w:rPr>
            </w:pPr>
          </w:p>
        </w:tc>
        <w:tc>
          <w:tcPr>
            <w:tcW w:w="1807" w:type="dxa"/>
            <w:vMerge w:val="continue"/>
          </w:tcPr>
          <w:p>
            <w:pPr>
              <w:spacing w:line="600" w:lineRule="exact"/>
              <w:jc w:val="left"/>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760" w:hRule="exac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电话</w:t>
            </w:r>
          </w:p>
        </w:tc>
        <w:tc>
          <w:tcPr>
            <w:tcW w:w="2410" w:type="dxa"/>
            <w:gridSpan w:val="2"/>
            <w:vAlign w:val="center"/>
          </w:tcPr>
          <w:p>
            <w:pPr>
              <w:spacing w:line="600" w:lineRule="exact"/>
              <w:jc w:val="center"/>
              <w:rPr>
                <w:rFonts w:ascii="宋体" w:hAnsi="宋体"/>
                <w:color w:val="auto"/>
                <w:szCs w:val="21"/>
                <w:highlight w:val="none"/>
              </w:rPr>
            </w:pPr>
          </w:p>
        </w:tc>
        <w:tc>
          <w:tcPr>
            <w:tcW w:w="708" w:type="dxa"/>
          </w:tcPr>
          <w:p>
            <w:pPr>
              <w:spacing w:line="600" w:lineRule="exact"/>
              <w:jc w:val="left"/>
              <w:rPr>
                <w:rFonts w:ascii="宋体" w:hAnsi="宋体"/>
                <w:color w:val="auto"/>
                <w:szCs w:val="21"/>
                <w:highlight w:val="none"/>
              </w:rPr>
            </w:pPr>
            <w:r>
              <w:rPr>
                <w:rFonts w:hint="eastAsia" w:ascii="宋体" w:hAnsi="宋体"/>
                <w:color w:val="auto"/>
                <w:szCs w:val="21"/>
                <w:highlight w:val="none"/>
              </w:rPr>
              <w:t>传真</w:t>
            </w:r>
          </w:p>
        </w:tc>
        <w:tc>
          <w:tcPr>
            <w:tcW w:w="2268" w:type="dxa"/>
            <w:gridSpan w:val="2"/>
            <w:vAlign w:val="center"/>
          </w:tcPr>
          <w:p>
            <w:pPr>
              <w:spacing w:line="600" w:lineRule="exact"/>
              <w:jc w:val="center"/>
              <w:rPr>
                <w:rFonts w:ascii="宋体" w:hAnsi="宋体"/>
                <w:color w:val="auto"/>
                <w:szCs w:val="21"/>
                <w:highlight w:val="none"/>
              </w:rPr>
            </w:pPr>
          </w:p>
        </w:tc>
        <w:tc>
          <w:tcPr>
            <w:tcW w:w="1807" w:type="dxa"/>
            <w:vMerge w:val="continue"/>
          </w:tcPr>
          <w:p>
            <w:pPr>
              <w:spacing w:line="600" w:lineRule="exact"/>
              <w:jc w:val="left"/>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760" w:hRule="exac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开户银行</w:t>
            </w:r>
          </w:p>
        </w:tc>
        <w:tc>
          <w:tcPr>
            <w:tcW w:w="5386" w:type="dxa"/>
            <w:gridSpan w:val="5"/>
            <w:vAlign w:val="center"/>
          </w:tcPr>
          <w:p>
            <w:pPr>
              <w:spacing w:line="600" w:lineRule="exact"/>
              <w:rPr>
                <w:rFonts w:ascii="宋体" w:hAnsi="宋体"/>
                <w:color w:val="auto"/>
                <w:szCs w:val="21"/>
                <w:highlight w:val="none"/>
              </w:rPr>
            </w:pPr>
          </w:p>
        </w:tc>
        <w:tc>
          <w:tcPr>
            <w:tcW w:w="1807" w:type="dxa"/>
            <w:vMerge w:val="continue"/>
          </w:tcPr>
          <w:p>
            <w:pPr>
              <w:spacing w:line="600" w:lineRule="exact"/>
              <w:jc w:val="left"/>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760" w:hRule="exac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帐号</w:t>
            </w:r>
          </w:p>
        </w:tc>
        <w:tc>
          <w:tcPr>
            <w:tcW w:w="5386" w:type="dxa"/>
            <w:gridSpan w:val="5"/>
            <w:vAlign w:val="center"/>
          </w:tcPr>
          <w:p>
            <w:pPr>
              <w:spacing w:line="600" w:lineRule="exact"/>
              <w:jc w:val="center"/>
              <w:rPr>
                <w:rFonts w:ascii="宋体" w:hAnsi="宋体"/>
                <w:color w:val="auto"/>
                <w:szCs w:val="21"/>
                <w:highlight w:val="none"/>
              </w:rPr>
            </w:pPr>
          </w:p>
        </w:tc>
        <w:tc>
          <w:tcPr>
            <w:tcW w:w="1807" w:type="dxa"/>
            <w:vMerge w:val="continue"/>
          </w:tcPr>
          <w:p>
            <w:pPr>
              <w:spacing w:line="600" w:lineRule="exact"/>
              <w:jc w:val="left"/>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878" w:hRule="exact"/>
        </w:trPr>
        <w:tc>
          <w:tcPr>
            <w:tcW w:w="534" w:type="dxa"/>
            <w:vMerge w:val="restart"/>
            <w:textDirection w:val="tbRlV"/>
            <w:vAlign w:val="center"/>
          </w:tcPr>
          <w:p>
            <w:pPr>
              <w:spacing w:line="500" w:lineRule="exact"/>
              <w:ind w:left="113" w:right="113"/>
              <w:jc w:val="center"/>
              <w:rPr>
                <w:rFonts w:ascii="宋体" w:hAnsi="宋体"/>
                <w:color w:val="auto"/>
                <w:szCs w:val="21"/>
                <w:highlight w:val="none"/>
              </w:rPr>
            </w:pPr>
            <w:r>
              <w:rPr>
                <w:rFonts w:hint="eastAsia" w:ascii="宋体" w:hAnsi="宋体"/>
                <w:color w:val="auto"/>
                <w:szCs w:val="21"/>
                <w:highlight w:val="none"/>
              </w:rPr>
              <w:t>乙方</w:t>
            </w: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名称</w:t>
            </w:r>
            <w:r>
              <w:rPr>
                <w:rFonts w:ascii="宋体" w:hAnsi="宋体"/>
                <w:color w:val="auto"/>
                <w:szCs w:val="21"/>
                <w:highlight w:val="none"/>
              </w:rPr>
              <w:t>(</w:t>
            </w:r>
            <w:r>
              <w:rPr>
                <w:rFonts w:hint="eastAsia" w:ascii="宋体" w:hAnsi="宋体"/>
                <w:color w:val="auto"/>
                <w:szCs w:val="21"/>
                <w:highlight w:val="none"/>
              </w:rPr>
              <w:t>或姓名</w:t>
            </w:r>
            <w:r>
              <w:rPr>
                <w:rFonts w:ascii="宋体" w:hAnsi="宋体"/>
                <w:color w:val="auto"/>
                <w:szCs w:val="21"/>
                <w:highlight w:val="none"/>
              </w:rPr>
              <w:t>)</w:t>
            </w:r>
          </w:p>
        </w:tc>
        <w:tc>
          <w:tcPr>
            <w:tcW w:w="5386" w:type="dxa"/>
            <w:gridSpan w:val="5"/>
            <w:vAlign w:val="center"/>
          </w:tcPr>
          <w:p>
            <w:pPr>
              <w:ind w:right="420"/>
              <w:jc w:val="center"/>
              <w:rPr>
                <w:rFonts w:ascii="宋体" w:hAnsi="宋体"/>
                <w:color w:val="auto"/>
                <w:szCs w:val="21"/>
                <w:highlight w:val="none"/>
              </w:rPr>
            </w:pPr>
          </w:p>
        </w:tc>
        <w:tc>
          <w:tcPr>
            <w:tcW w:w="1807" w:type="dxa"/>
            <w:vMerge w:val="restart"/>
          </w:tcPr>
          <w:p>
            <w:pPr>
              <w:spacing w:line="600" w:lineRule="exact"/>
              <w:jc w:val="center"/>
              <w:rPr>
                <w:rFonts w:ascii="宋体" w:hAnsi="宋体"/>
                <w:color w:val="auto"/>
                <w:szCs w:val="21"/>
                <w:highlight w:val="none"/>
              </w:rPr>
            </w:pPr>
          </w:p>
          <w:p>
            <w:pPr>
              <w:spacing w:line="600" w:lineRule="exact"/>
              <w:jc w:val="center"/>
              <w:rPr>
                <w:rFonts w:ascii="宋体" w:hAnsi="宋体"/>
                <w:color w:val="auto"/>
                <w:szCs w:val="21"/>
                <w:highlight w:val="none"/>
              </w:rPr>
            </w:pPr>
          </w:p>
          <w:p>
            <w:pPr>
              <w:spacing w:line="600" w:lineRule="exact"/>
              <w:jc w:val="center"/>
              <w:rPr>
                <w:rFonts w:ascii="宋体" w:hAnsi="宋体"/>
                <w:color w:val="auto"/>
                <w:szCs w:val="21"/>
                <w:highlight w:val="none"/>
              </w:rPr>
            </w:pPr>
            <w:r>
              <w:rPr>
                <w:rFonts w:hint="eastAsia" w:ascii="宋体" w:hAnsi="宋体"/>
                <w:color w:val="auto"/>
                <w:szCs w:val="21"/>
                <w:highlight w:val="none"/>
              </w:rPr>
              <w:t>单位公章</w:t>
            </w:r>
          </w:p>
          <w:p>
            <w:pPr>
              <w:spacing w:line="600" w:lineRule="exact"/>
              <w:jc w:val="left"/>
              <w:rPr>
                <w:rFonts w:ascii="宋体" w:hAnsi="宋体"/>
                <w:color w:val="auto"/>
                <w:szCs w:val="21"/>
                <w:highlight w:val="none"/>
              </w:rPr>
            </w:pPr>
          </w:p>
          <w:p>
            <w:pPr>
              <w:spacing w:line="600" w:lineRule="exact"/>
              <w:jc w:val="left"/>
              <w:rPr>
                <w:rFonts w:ascii="宋体" w:hAnsi="宋体"/>
                <w:color w:val="auto"/>
                <w:szCs w:val="21"/>
                <w:highlight w:val="none"/>
              </w:rPr>
            </w:pPr>
          </w:p>
          <w:p>
            <w:pPr>
              <w:spacing w:line="600" w:lineRule="exact"/>
              <w:jc w:val="left"/>
              <w:rPr>
                <w:rFonts w:ascii="宋体" w:hAnsi="宋体"/>
                <w:color w:val="auto"/>
                <w:szCs w:val="21"/>
                <w:highlight w:val="none"/>
              </w:rPr>
            </w:pPr>
          </w:p>
          <w:p>
            <w:pPr>
              <w:spacing w:line="600" w:lineRule="exact"/>
              <w:jc w:val="left"/>
              <w:rPr>
                <w:rFonts w:ascii="宋体" w:hAnsi="宋体"/>
                <w:color w:val="auto"/>
                <w:szCs w:val="21"/>
                <w:highlight w:val="none"/>
              </w:rPr>
            </w:pPr>
          </w:p>
          <w:p>
            <w:pPr>
              <w:spacing w:line="600" w:lineRule="exact"/>
              <w:jc w:val="left"/>
              <w:rPr>
                <w:rFonts w:ascii="宋体" w:hAnsi="宋体"/>
                <w:color w:val="auto"/>
                <w:szCs w:val="21"/>
                <w:highlight w:val="none"/>
              </w:rPr>
            </w:pPr>
          </w:p>
          <w:p>
            <w:pPr>
              <w:spacing w:line="600" w:lineRule="exact"/>
              <w:jc w:val="right"/>
              <w:rPr>
                <w:rFonts w:ascii="宋体" w:hAnsi="宋体"/>
                <w:color w:val="auto"/>
                <w:szCs w:val="21"/>
                <w:highlight w:val="none"/>
              </w:rPr>
            </w:pPr>
            <w:r>
              <w:rPr>
                <w:rFonts w:hint="eastAsia" w:ascii="宋体" w:hAnsi="宋体"/>
                <w:color w:val="auto"/>
                <w:szCs w:val="21"/>
                <w:highlight w:val="none"/>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1196" w:hRule="exac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法定代表人委托代理人</w:t>
            </w:r>
          </w:p>
        </w:tc>
        <w:tc>
          <w:tcPr>
            <w:tcW w:w="5386" w:type="dxa"/>
            <w:gridSpan w:val="5"/>
            <w:vAlign w:val="center"/>
          </w:tcPr>
          <w:p>
            <w:pPr>
              <w:spacing w:line="600" w:lineRule="exact"/>
              <w:jc w:val="right"/>
              <w:rPr>
                <w:rFonts w:ascii="宋体" w:hAnsi="宋体"/>
                <w:color w:val="auto"/>
                <w:szCs w:val="21"/>
                <w:highlight w:val="none"/>
              </w:rPr>
            </w:pPr>
            <w:r>
              <w:rPr>
                <w:rFonts w:hint="eastAsia" w:ascii="宋体" w:hAnsi="宋体"/>
                <w:color w:val="auto"/>
                <w:szCs w:val="21"/>
                <w:highlight w:val="none"/>
              </w:rPr>
              <w:t>（签章）</w:t>
            </w:r>
          </w:p>
        </w:tc>
        <w:tc>
          <w:tcPr>
            <w:tcW w:w="1807" w:type="dxa"/>
            <w:vMerge w:val="continue"/>
          </w:tcPr>
          <w:p>
            <w:pPr>
              <w:spacing w:line="600" w:lineRule="exact"/>
              <w:jc w:val="left"/>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760" w:hRule="exac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联系</w:t>
            </w:r>
            <w:r>
              <w:rPr>
                <w:rFonts w:ascii="宋体" w:hAnsi="宋体"/>
                <w:color w:val="auto"/>
                <w:szCs w:val="21"/>
                <w:highlight w:val="none"/>
              </w:rPr>
              <w:t>(</w:t>
            </w:r>
            <w:r>
              <w:rPr>
                <w:rFonts w:hint="eastAsia" w:ascii="宋体" w:hAnsi="宋体"/>
                <w:color w:val="auto"/>
                <w:szCs w:val="21"/>
                <w:highlight w:val="none"/>
              </w:rPr>
              <w:t>经办</w:t>
            </w:r>
            <w:r>
              <w:rPr>
                <w:rFonts w:ascii="宋体" w:hAnsi="宋体"/>
                <w:color w:val="auto"/>
                <w:szCs w:val="21"/>
                <w:highlight w:val="none"/>
              </w:rPr>
              <w:t>)</w:t>
            </w:r>
            <w:r>
              <w:rPr>
                <w:rFonts w:hint="eastAsia" w:ascii="宋体" w:hAnsi="宋体"/>
                <w:color w:val="auto"/>
                <w:szCs w:val="21"/>
                <w:highlight w:val="none"/>
              </w:rPr>
              <w:t>人</w:t>
            </w:r>
          </w:p>
          <w:p>
            <w:pPr>
              <w:spacing w:line="600" w:lineRule="exact"/>
              <w:jc w:val="center"/>
              <w:rPr>
                <w:rFonts w:ascii="宋体" w:hAnsi="宋体"/>
                <w:color w:val="auto"/>
                <w:szCs w:val="21"/>
                <w:highlight w:val="none"/>
              </w:rPr>
            </w:pPr>
          </w:p>
        </w:tc>
        <w:tc>
          <w:tcPr>
            <w:tcW w:w="5386" w:type="dxa"/>
            <w:gridSpan w:val="5"/>
            <w:vAlign w:val="center"/>
          </w:tcPr>
          <w:p>
            <w:pPr>
              <w:spacing w:line="600" w:lineRule="exact"/>
              <w:jc w:val="right"/>
              <w:rPr>
                <w:rFonts w:ascii="宋体" w:hAnsi="宋体"/>
                <w:color w:val="auto"/>
                <w:szCs w:val="21"/>
                <w:highlight w:val="none"/>
              </w:rPr>
            </w:pPr>
            <w:r>
              <w:rPr>
                <w:rFonts w:hint="eastAsia" w:ascii="宋体" w:hAnsi="宋体"/>
                <w:color w:val="auto"/>
                <w:szCs w:val="21"/>
                <w:highlight w:val="none"/>
              </w:rPr>
              <w:t>（签章）</w:t>
            </w:r>
          </w:p>
        </w:tc>
        <w:tc>
          <w:tcPr>
            <w:tcW w:w="1807" w:type="dxa"/>
            <w:vMerge w:val="continue"/>
          </w:tcPr>
          <w:p>
            <w:pPr>
              <w:spacing w:line="600" w:lineRule="exact"/>
              <w:jc w:val="left"/>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1298" w:hRule="atLeas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住所</w:t>
            </w:r>
          </w:p>
          <w:p>
            <w:pPr>
              <w:spacing w:line="600" w:lineRule="exact"/>
              <w:jc w:val="center"/>
              <w:rPr>
                <w:rFonts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rPr>
              <w:t>通讯地址</w:t>
            </w:r>
            <w:r>
              <w:rPr>
                <w:rFonts w:ascii="宋体" w:hAnsi="宋体"/>
                <w:color w:val="auto"/>
                <w:szCs w:val="21"/>
                <w:highlight w:val="none"/>
              </w:rPr>
              <w:t>)</w:t>
            </w:r>
          </w:p>
        </w:tc>
        <w:tc>
          <w:tcPr>
            <w:tcW w:w="3118" w:type="dxa"/>
            <w:gridSpan w:val="3"/>
            <w:vAlign w:val="center"/>
          </w:tcPr>
          <w:p>
            <w:pPr>
              <w:jc w:val="center"/>
              <w:rPr>
                <w:rFonts w:ascii="宋体" w:hAnsi="宋体"/>
                <w:color w:val="auto"/>
                <w:szCs w:val="21"/>
                <w:highlight w:val="none"/>
              </w:rPr>
            </w:pPr>
          </w:p>
        </w:tc>
        <w:tc>
          <w:tcPr>
            <w:tcW w:w="1134"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邮政编码</w:t>
            </w:r>
          </w:p>
        </w:tc>
        <w:tc>
          <w:tcPr>
            <w:tcW w:w="1134" w:type="dxa"/>
            <w:vAlign w:val="center"/>
          </w:tcPr>
          <w:p>
            <w:pPr>
              <w:jc w:val="center"/>
              <w:rPr>
                <w:rFonts w:ascii="宋体" w:hAnsi="宋体"/>
                <w:color w:val="auto"/>
                <w:szCs w:val="21"/>
                <w:highlight w:val="none"/>
              </w:rPr>
            </w:pPr>
          </w:p>
        </w:tc>
        <w:tc>
          <w:tcPr>
            <w:tcW w:w="1807" w:type="dxa"/>
            <w:vMerge w:val="continue"/>
          </w:tcPr>
          <w:p>
            <w:pPr>
              <w:spacing w:line="600" w:lineRule="exact"/>
              <w:jc w:val="left"/>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760" w:hRule="exac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电话</w:t>
            </w:r>
          </w:p>
        </w:tc>
        <w:tc>
          <w:tcPr>
            <w:tcW w:w="2268" w:type="dxa"/>
            <w:vAlign w:val="center"/>
          </w:tcPr>
          <w:p>
            <w:pPr>
              <w:rPr>
                <w:rFonts w:ascii="宋体" w:hAnsi="宋体"/>
                <w:color w:val="auto"/>
                <w:szCs w:val="21"/>
                <w:highlight w:val="none"/>
              </w:rPr>
            </w:pPr>
          </w:p>
        </w:tc>
        <w:tc>
          <w:tcPr>
            <w:tcW w:w="850" w:type="dxa"/>
            <w:gridSpan w:val="2"/>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传真</w:t>
            </w:r>
          </w:p>
        </w:tc>
        <w:tc>
          <w:tcPr>
            <w:tcW w:w="2268" w:type="dxa"/>
            <w:gridSpan w:val="2"/>
            <w:vAlign w:val="center"/>
          </w:tcPr>
          <w:p>
            <w:pPr>
              <w:rPr>
                <w:rFonts w:ascii="宋体" w:hAnsi="宋体"/>
                <w:color w:val="auto"/>
                <w:szCs w:val="21"/>
                <w:highlight w:val="none"/>
              </w:rPr>
            </w:pPr>
          </w:p>
        </w:tc>
        <w:tc>
          <w:tcPr>
            <w:tcW w:w="1807" w:type="dxa"/>
            <w:vMerge w:val="continue"/>
          </w:tcPr>
          <w:p>
            <w:pPr>
              <w:spacing w:line="600" w:lineRule="exact"/>
              <w:jc w:val="left"/>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760" w:hRule="exac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开户银行</w:t>
            </w:r>
          </w:p>
        </w:tc>
        <w:tc>
          <w:tcPr>
            <w:tcW w:w="5386" w:type="dxa"/>
            <w:gridSpan w:val="5"/>
          </w:tcPr>
          <w:p>
            <w:pPr>
              <w:rPr>
                <w:rFonts w:ascii="宋体" w:hAnsi="宋体"/>
                <w:color w:val="auto"/>
                <w:szCs w:val="21"/>
                <w:highlight w:val="none"/>
              </w:rPr>
            </w:pPr>
          </w:p>
          <w:p>
            <w:pPr>
              <w:rPr>
                <w:rFonts w:ascii="宋体" w:hAnsi="宋体"/>
                <w:color w:val="auto"/>
                <w:szCs w:val="21"/>
                <w:highlight w:val="none"/>
              </w:rPr>
            </w:pPr>
          </w:p>
        </w:tc>
        <w:tc>
          <w:tcPr>
            <w:tcW w:w="1807" w:type="dxa"/>
            <w:vMerge w:val="continue"/>
          </w:tcPr>
          <w:p>
            <w:pPr>
              <w:spacing w:line="600" w:lineRule="exact"/>
              <w:jc w:val="left"/>
              <w:rPr>
                <w:rFonts w:ascii="宋体" w:hAnsi="宋体"/>
                <w:color w:val="auto"/>
                <w:szCs w:val="21"/>
                <w:highlight w:val="none"/>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621" w:hRule="exact"/>
        </w:trPr>
        <w:tc>
          <w:tcPr>
            <w:tcW w:w="534" w:type="dxa"/>
            <w:vMerge w:val="continue"/>
          </w:tcPr>
          <w:p>
            <w:pPr>
              <w:spacing w:line="600" w:lineRule="exact"/>
              <w:jc w:val="left"/>
              <w:rPr>
                <w:rFonts w:ascii="宋体" w:hAnsi="宋体"/>
                <w:color w:val="auto"/>
                <w:szCs w:val="21"/>
                <w:highlight w:val="none"/>
              </w:rPr>
            </w:pPr>
          </w:p>
        </w:tc>
        <w:tc>
          <w:tcPr>
            <w:tcW w:w="1559" w:type="dxa"/>
            <w:vAlign w:val="center"/>
          </w:tcPr>
          <w:p>
            <w:pPr>
              <w:spacing w:line="600" w:lineRule="exact"/>
              <w:jc w:val="center"/>
              <w:rPr>
                <w:rFonts w:ascii="宋体" w:hAnsi="宋体"/>
                <w:color w:val="auto"/>
                <w:szCs w:val="21"/>
                <w:highlight w:val="none"/>
              </w:rPr>
            </w:pPr>
            <w:r>
              <w:rPr>
                <w:rFonts w:hint="eastAsia" w:ascii="宋体" w:hAnsi="宋体"/>
                <w:color w:val="auto"/>
                <w:szCs w:val="21"/>
                <w:highlight w:val="none"/>
              </w:rPr>
              <w:t>帐号</w:t>
            </w:r>
          </w:p>
        </w:tc>
        <w:tc>
          <w:tcPr>
            <w:tcW w:w="5386" w:type="dxa"/>
            <w:gridSpan w:val="5"/>
            <w:vAlign w:val="center"/>
          </w:tcPr>
          <w:p>
            <w:pPr>
              <w:rPr>
                <w:rFonts w:ascii="宋体" w:hAnsi="宋体"/>
                <w:color w:val="auto"/>
                <w:szCs w:val="21"/>
                <w:highlight w:val="none"/>
              </w:rPr>
            </w:pPr>
          </w:p>
          <w:p>
            <w:pPr>
              <w:rPr>
                <w:rFonts w:ascii="宋体" w:hAnsi="宋体"/>
                <w:color w:val="auto"/>
                <w:szCs w:val="21"/>
                <w:highlight w:val="none"/>
              </w:rPr>
            </w:pPr>
          </w:p>
        </w:tc>
        <w:tc>
          <w:tcPr>
            <w:tcW w:w="1807" w:type="dxa"/>
            <w:vMerge w:val="continue"/>
          </w:tcPr>
          <w:p>
            <w:pPr>
              <w:spacing w:line="600" w:lineRule="exact"/>
              <w:jc w:val="left"/>
              <w:rPr>
                <w:rFonts w:ascii="宋体" w:hAnsi="宋体"/>
                <w:color w:val="auto"/>
                <w:szCs w:val="21"/>
                <w:highlight w:val="none"/>
              </w:rPr>
            </w:pPr>
          </w:p>
        </w:tc>
      </w:tr>
    </w:tbl>
    <w:p>
      <w:pPr>
        <w:spacing w:line="600" w:lineRule="exact"/>
        <w:jc w:val="center"/>
        <w:rPr>
          <w:rFonts w:ascii="宋体" w:hAnsi="宋体"/>
          <w:b/>
          <w:bCs/>
          <w:color w:val="auto"/>
          <w:sz w:val="44"/>
          <w:highlight w:val="none"/>
          <w:u w:val="single"/>
        </w:rPr>
      </w:pPr>
    </w:p>
    <w:p>
      <w:pPr>
        <w:spacing w:line="600" w:lineRule="exact"/>
        <w:jc w:val="center"/>
        <w:rPr>
          <w:rFonts w:ascii="宋体" w:hAnsi="宋体"/>
          <w:b/>
          <w:bCs/>
          <w:color w:val="auto"/>
          <w:sz w:val="44"/>
          <w:highlight w:val="none"/>
          <w:u w:val="single"/>
        </w:rPr>
      </w:pPr>
    </w:p>
    <w:p>
      <w:pPr>
        <w:spacing w:line="600" w:lineRule="exact"/>
        <w:jc w:val="center"/>
        <w:rPr>
          <w:rFonts w:ascii="宋体" w:hAnsi="宋体"/>
          <w:b/>
          <w:bCs/>
          <w:color w:val="auto"/>
          <w:sz w:val="44"/>
          <w:highlight w:val="none"/>
          <w:u w:val="single"/>
        </w:rPr>
      </w:pPr>
      <w:r>
        <w:rPr>
          <w:rFonts w:hint="eastAsia" w:ascii="宋体" w:hAnsi="宋体"/>
          <w:b/>
          <w:bCs/>
          <w:color w:val="auto"/>
          <w:sz w:val="44"/>
          <w:highlight w:val="none"/>
          <w:u w:val="single"/>
        </w:rPr>
        <w:t>印　花　税　票　粘　贴　处</w:t>
      </w: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p>
      <w:pPr>
        <w:spacing w:line="600" w:lineRule="exact"/>
        <w:jc w:val="center"/>
        <w:rPr>
          <w:rFonts w:ascii="宋体" w:hAnsi="宋体"/>
          <w:b/>
          <w:bCs/>
          <w:color w:val="auto"/>
          <w:sz w:val="44"/>
          <w:highlight w:val="none"/>
        </w:rPr>
      </w:pPr>
    </w:p>
    <w:tbl>
      <w:tblPr>
        <w:tblStyle w:val="28"/>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tcPr>
          <w:p>
            <w:pPr>
              <w:spacing w:line="600" w:lineRule="exact"/>
              <w:rPr>
                <w:rFonts w:ascii="宋体" w:hAnsi="宋体"/>
                <w:b/>
                <w:bCs/>
                <w:color w:val="auto"/>
                <w:sz w:val="28"/>
                <w:highlight w:val="none"/>
              </w:rPr>
            </w:pPr>
            <w:r>
              <w:rPr>
                <w:rFonts w:hint="eastAsia" w:ascii="宋体" w:hAnsi="宋体"/>
                <w:b/>
                <w:bCs/>
                <w:color w:val="auto"/>
                <w:sz w:val="28"/>
                <w:highlight w:val="none"/>
              </w:rPr>
              <w:t>登记机关审查登记栏：</w:t>
            </w:r>
          </w:p>
          <w:p>
            <w:pPr>
              <w:spacing w:line="600" w:lineRule="exact"/>
              <w:rPr>
                <w:rFonts w:ascii="宋体" w:hAnsi="宋体"/>
                <w:b/>
                <w:bCs/>
                <w:color w:val="auto"/>
                <w:sz w:val="28"/>
                <w:highlight w:val="none"/>
              </w:rPr>
            </w:pPr>
          </w:p>
          <w:p>
            <w:pPr>
              <w:spacing w:line="600" w:lineRule="exact"/>
              <w:rPr>
                <w:rFonts w:ascii="宋体" w:hAnsi="宋体"/>
                <w:b/>
                <w:bCs/>
                <w:color w:val="auto"/>
                <w:sz w:val="28"/>
                <w:highlight w:val="none"/>
              </w:rPr>
            </w:pPr>
          </w:p>
          <w:p>
            <w:pPr>
              <w:spacing w:line="600" w:lineRule="exact"/>
              <w:rPr>
                <w:rFonts w:ascii="宋体" w:hAnsi="宋体"/>
                <w:b/>
                <w:bCs/>
                <w:color w:val="auto"/>
                <w:sz w:val="28"/>
                <w:highlight w:val="none"/>
              </w:rPr>
            </w:pPr>
          </w:p>
          <w:p>
            <w:pPr>
              <w:spacing w:line="600" w:lineRule="exact"/>
              <w:rPr>
                <w:rFonts w:ascii="宋体" w:hAnsi="宋体"/>
                <w:b/>
                <w:bCs/>
                <w:color w:val="auto"/>
                <w:sz w:val="28"/>
                <w:highlight w:val="none"/>
              </w:rPr>
            </w:pPr>
          </w:p>
          <w:p>
            <w:pPr>
              <w:spacing w:line="600" w:lineRule="exact"/>
              <w:rPr>
                <w:rFonts w:ascii="宋体" w:hAnsi="宋体"/>
                <w:b/>
                <w:bCs/>
                <w:color w:val="auto"/>
                <w:sz w:val="28"/>
                <w:highlight w:val="none"/>
              </w:rPr>
            </w:pPr>
          </w:p>
          <w:p>
            <w:pPr>
              <w:spacing w:line="600" w:lineRule="exact"/>
              <w:rPr>
                <w:rFonts w:ascii="宋体" w:hAnsi="宋体"/>
                <w:b/>
                <w:bCs/>
                <w:color w:val="auto"/>
                <w:sz w:val="44"/>
                <w:highlight w:val="none"/>
              </w:rPr>
            </w:pPr>
            <w:r>
              <w:rPr>
                <w:rFonts w:hint="eastAsia" w:ascii="宋体" w:hAnsi="宋体"/>
                <w:b/>
                <w:bCs/>
                <w:color w:val="auto"/>
                <w:sz w:val="28"/>
                <w:highlight w:val="none"/>
              </w:rPr>
              <w:t>经办人：　　　　　　　　　　　　　　技术合同登记机关（专用章）　　　　　　　　　　　　　　　　　　（签章）　　　年　　月　　日</w:t>
            </w:r>
          </w:p>
        </w:tc>
      </w:tr>
    </w:tbl>
    <w:p>
      <w:pPr>
        <w:spacing w:line="600" w:lineRule="exact"/>
        <w:jc w:val="left"/>
        <w:rPr>
          <w:rFonts w:ascii="宋体" w:hAnsi="宋体"/>
          <w:color w:val="auto"/>
          <w:highlight w:val="none"/>
        </w:rPr>
        <w:sectPr>
          <w:footerReference r:id="rId5" w:type="first"/>
          <w:footerReference r:id="rId3" w:type="default"/>
          <w:footerReference r:id="rId4" w:type="even"/>
          <w:pgSz w:w="11906" w:h="16838"/>
          <w:pgMar w:top="1701" w:right="1418" w:bottom="993" w:left="1418" w:header="851" w:footer="992" w:gutter="0"/>
          <w:pgNumType w:start="1"/>
          <w:cols w:space="720" w:num="1"/>
          <w:titlePg/>
          <w:docGrid w:type="lines" w:linePitch="312" w:charSpace="0"/>
        </w:sectPr>
      </w:pPr>
    </w:p>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附件一：项目报价</w:t>
      </w:r>
    </w:p>
    <w:p>
      <w:pPr>
        <w:pStyle w:val="2"/>
        <w:numPr>
          <w:ilvl w:val="0"/>
          <w:numId w:val="0"/>
        </w:numPr>
        <w:spacing w:before="0" w:after="0" w:line="360" w:lineRule="auto"/>
        <w:ind w:left="432" w:hanging="432"/>
        <w:jc w:val="both"/>
        <w:rPr>
          <w:color w:val="auto"/>
          <w:sz w:val="24"/>
          <w:highlight w:val="none"/>
        </w:rPr>
      </w:pPr>
      <w:r>
        <w:rPr>
          <w:rFonts w:hint="eastAsia"/>
          <w:color w:val="auto"/>
          <w:sz w:val="24"/>
          <w:highlight w:val="none"/>
        </w:rPr>
        <w:t>附件二：项目主要人员名单</w:t>
      </w:r>
    </w:p>
    <w:p>
      <w:pPr>
        <w:pStyle w:val="2"/>
        <w:numPr>
          <w:ilvl w:val="0"/>
          <w:numId w:val="0"/>
        </w:numPr>
        <w:spacing w:before="0" w:after="0" w:line="360" w:lineRule="auto"/>
        <w:ind w:left="432" w:hanging="432"/>
        <w:jc w:val="both"/>
        <w:rPr>
          <w:color w:val="auto"/>
          <w:sz w:val="24"/>
          <w:highlight w:val="none"/>
        </w:rPr>
      </w:pPr>
      <w:bookmarkStart w:id="219" w:name="_Toc315951165"/>
      <w:r>
        <w:rPr>
          <w:rFonts w:hint="eastAsia"/>
          <w:color w:val="auto"/>
          <w:sz w:val="24"/>
          <w:highlight w:val="none"/>
        </w:rPr>
        <w:t>附件三：</w:t>
      </w:r>
      <w:bookmarkEnd w:id="219"/>
      <w:r>
        <w:rPr>
          <w:rFonts w:hint="eastAsia"/>
          <w:color w:val="auto"/>
          <w:sz w:val="24"/>
          <w:highlight w:val="none"/>
        </w:rPr>
        <w:t>系统技术要求</w:t>
      </w:r>
    </w:p>
    <w:p>
      <w:pPr>
        <w:rPr>
          <w:color w:val="auto"/>
          <w:sz w:val="24"/>
          <w:highlight w:val="none"/>
        </w:rPr>
      </w:pPr>
    </w:p>
    <w:p>
      <w:pPr>
        <w:pStyle w:val="19"/>
        <w:spacing w:line="360" w:lineRule="auto"/>
        <w:ind w:left="0" w:leftChars="0" w:firstLine="482" w:firstLineChars="200"/>
        <w:rPr>
          <w:rFonts w:ascii="宋体" w:hAnsi="宋体" w:cs="宋体"/>
          <w:b/>
          <w:color w:val="auto"/>
          <w:sz w:val="24"/>
          <w:szCs w:val="24"/>
          <w:highlight w:val="none"/>
        </w:rPr>
      </w:pPr>
      <w:r>
        <w:rPr>
          <w:rFonts w:ascii="宋体" w:hAnsi="宋体" w:cs="宋体"/>
          <w:b/>
          <w:color w:val="auto"/>
          <w:sz w:val="24"/>
          <w:szCs w:val="24"/>
          <w:highlight w:val="none"/>
        </w:rPr>
        <w:t>1</w:t>
      </w:r>
      <w:r>
        <w:rPr>
          <w:rFonts w:hint="eastAsia" w:ascii="宋体" w:hAnsi="宋体" w:cs="宋体"/>
          <w:b/>
          <w:color w:val="auto"/>
          <w:sz w:val="24"/>
          <w:szCs w:val="24"/>
          <w:highlight w:val="none"/>
        </w:rPr>
        <w:t>.</w:t>
      </w:r>
      <w:r>
        <w:rPr>
          <w:rFonts w:ascii="宋体" w:hAnsi="宋体" w:cs="宋体"/>
          <w:b/>
          <w:color w:val="auto"/>
          <w:sz w:val="24"/>
          <w:szCs w:val="24"/>
          <w:highlight w:val="none"/>
        </w:rPr>
        <w:t xml:space="preserve">1 </w:t>
      </w:r>
      <w:r>
        <w:rPr>
          <w:rFonts w:hint="eastAsia" w:ascii="宋体" w:hAnsi="宋体" w:cs="宋体"/>
          <w:b/>
          <w:color w:val="auto"/>
          <w:sz w:val="24"/>
          <w:szCs w:val="24"/>
          <w:highlight w:val="none"/>
        </w:rPr>
        <w:t>总体技术要求</w:t>
      </w:r>
    </w:p>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乙方需完成软件产品开发，同时，应全程参与和把控本项目的实施，必须配备足够数量和相应水平的技术人员。除完成标书本章后续所涉及的软件开发工作外，还需完成如下重要工作：</w:t>
      </w:r>
    </w:p>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1.</w:t>
      </w:r>
      <w:r>
        <w:rPr>
          <w:rFonts w:hint="eastAsia" w:ascii="宋体" w:hAnsi="宋体" w:cs="宋体"/>
          <w:color w:val="auto"/>
          <w:sz w:val="24"/>
          <w:szCs w:val="24"/>
          <w:highlight w:val="none"/>
        </w:rPr>
        <w:tab/>
      </w:r>
      <w:r>
        <w:rPr>
          <w:color w:val="auto"/>
          <w:sz w:val="24"/>
          <w:szCs w:val="24"/>
          <w:highlight w:val="none"/>
        </w:rPr>
        <w:t>配合业主单位完成历史</w:t>
      </w:r>
      <w:r>
        <w:rPr>
          <w:rFonts w:hint="eastAsia"/>
          <w:color w:val="auto"/>
          <w:sz w:val="24"/>
          <w:szCs w:val="24"/>
          <w:highlight w:val="none"/>
        </w:rPr>
        <w:t>数据的整理、导入和转换工作</w:t>
      </w:r>
      <w:r>
        <w:rPr>
          <w:rFonts w:hint="eastAsia" w:ascii="宋体" w:hAnsi="宋体" w:cs="宋体"/>
          <w:color w:val="auto"/>
          <w:sz w:val="24"/>
          <w:szCs w:val="24"/>
          <w:highlight w:val="none"/>
        </w:rPr>
        <w:t>；</w:t>
      </w:r>
    </w:p>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2.</w:t>
      </w:r>
      <w:r>
        <w:rPr>
          <w:rFonts w:hint="eastAsia" w:ascii="宋体" w:hAnsi="宋体" w:cs="宋体"/>
          <w:color w:val="auto"/>
          <w:sz w:val="24"/>
          <w:szCs w:val="24"/>
          <w:highlight w:val="none"/>
        </w:rPr>
        <w:tab/>
      </w:r>
      <w:r>
        <w:rPr>
          <w:rFonts w:hint="eastAsia" w:ascii="宋体" w:hAnsi="宋体" w:cs="宋体"/>
          <w:color w:val="auto"/>
          <w:sz w:val="24"/>
          <w:szCs w:val="24"/>
          <w:highlight w:val="none"/>
        </w:rPr>
        <w:t>配合业主单位完成本项目相关联的网络安全体系建设和软硬件调试；</w:t>
      </w:r>
    </w:p>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3.</w:t>
      </w:r>
      <w:r>
        <w:rPr>
          <w:rFonts w:hint="eastAsia" w:ascii="宋体" w:hAnsi="宋体" w:cs="宋体"/>
          <w:color w:val="auto"/>
          <w:sz w:val="24"/>
          <w:szCs w:val="24"/>
          <w:highlight w:val="none"/>
        </w:rPr>
        <w:tab/>
      </w:r>
      <w:r>
        <w:rPr>
          <w:rFonts w:hint="eastAsia" w:ascii="宋体" w:hAnsi="宋体" w:cs="宋体"/>
          <w:color w:val="auto"/>
          <w:sz w:val="24"/>
          <w:szCs w:val="24"/>
          <w:highlight w:val="none"/>
        </w:rPr>
        <w:t>配合业主单位完成项目的第三方测试，组织进行项目验收等工作；</w:t>
      </w:r>
    </w:p>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4.</w:t>
      </w:r>
      <w:r>
        <w:rPr>
          <w:rFonts w:hint="eastAsia" w:ascii="宋体" w:hAnsi="宋体" w:cs="宋体"/>
          <w:color w:val="auto"/>
          <w:sz w:val="24"/>
          <w:szCs w:val="24"/>
          <w:highlight w:val="none"/>
        </w:rPr>
        <w:tab/>
      </w:r>
      <w:r>
        <w:rPr>
          <w:rFonts w:hint="eastAsia" w:ascii="宋体" w:hAnsi="宋体" w:cs="宋体"/>
          <w:color w:val="auto"/>
          <w:sz w:val="24"/>
          <w:szCs w:val="24"/>
          <w:highlight w:val="none"/>
        </w:rPr>
        <w:t>配合业主单位完成本系统与其他相关系统的对接；</w:t>
      </w:r>
    </w:p>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5.</w:t>
      </w:r>
      <w:r>
        <w:rPr>
          <w:rFonts w:hint="eastAsia" w:ascii="宋体" w:hAnsi="宋体" w:cs="宋体"/>
          <w:color w:val="auto"/>
          <w:sz w:val="24"/>
          <w:szCs w:val="24"/>
          <w:highlight w:val="none"/>
        </w:rPr>
        <w:tab/>
      </w:r>
      <w:r>
        <w:rPr>
          <w:rFonts w:hint="eastAsia" w:ascii="宋体" w:hAnsi="宋体" w:cs="宋体"/>
          <w:color w:val="auto"/>
          <w:sz w:val="24"/>
          <w:szCs w:val="24"/>
          <w:highlight w:val="none"/>
        </w:rPr>
        <w:t>完成业主单位和项目监理单位要求的其他与本项目有关的工作。</w:t>
      </w:r>
    </w:p>
    <w:p>
      <w:pPr>
        <w:pStyle w:val="19"/>
        <w:spacing w:line="360" w:lineRule="auto"/>
        <w:ind w:left="0" w:leftChars="0" w:firstLine="482" w:firstLineChars="200"/>
        <w:rPr>
          <w:rFonts w:ascii="宋体" w:hAnsi="宋体" w:cs="宋体"/>
          <w:b/>
          <w:color w:val="auto"/>
          <w:sz w:val="24"/>
          <w:szCs w:val="24"/>
          <w:highlight w:val="none"/>
        </w:rPr>
      </w:pPr>
      <w:r>
        <w:rPr>
          <w:rFonts w:ascii="宋体" w:hAnsi="宋体" w:cs="宋体"/>
          <w:b/>
          <w:color w:val="auto"/>
          <w:sz w:val="24"/>
          <w:szCs w:val="24"/>
          <w:highlight w:val="none"/>
        </w:rPr>
        <w:t>1</w:t>
      </w:r>
      <w:r>
        <w:rPr>
          <w:rFonts w:hint="eastAsia" w:ascii="宋体" w:hAnsi="宋体" w:cs="宋体"/>
          <w:b/>
          <w:color w:val="auto"/>
          <w:sz w:val="24"/>
          <w:szCs w:val="24"/>
          <w:highlight w:val="none"/>
        </w:rPr>
        <w:t>.</w:t>
      </w:r>
      <w:r>
        <w:rPr>
          <w:rFonts w:ascii="宋体" w:hAnsi="宋体" w:cs="宋体"/>
          <w:b/>
          <w:color w:val="auto"/>
          <w:sz w:val="24"/>
          <w:szCs w:val="24"/>
          <w:highlight w:val="none"/>
        </w:rPr>
        <w:t xml:space="preserve">2 </w:t>
      </w:r>
      <w:r>
        <w:rPr>
          <w:rFonts w:hint="eastAsia" w:ascii="宋体" w:hAnsi="宋体" w:cs="宋体"/>
          <w:b/>
          <w:color w:val="auto"/>
          <w:sz w:val="24"/>
          <w:szCs w:val="24"/>
          <w:highlight w:val="none"/>
        </w:rPr>
        <w:t>软件开发要求</w:t>
      </w:r>
    </w:p>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1.2.1</w:t>
      </w:r>
      <w:r>
        <w:rPr>
          <w:rFonts w:ascii="宋体" w:hAnsi="宋体" w:cs="宋体"/>
          <w:color w:val="auto"/>
          <w:sz w:val="24"/>
          <w:szCs w:val="24"/>
          <w:highlight w:val="none"/>
        </w:rPr>
        <w:t>建设内容</w:t>
      </w:r>
    </w:p>
    <w:p>
      <w:pPr>
        <w:pStyle w:val="19"/>
        <w:spacing w:line="360" w:lineRule="auto"/>
        <w:ind w:left="0" w:leftChars="0" w:firstLine="480" w:firstLineChars="200"/>
        <w:rPr>
          <w:color w:val="auto"/>
          <w:sz w:val="24"/>
          <w:szCs w:val="24"/>
          <w:highlight w:val="none"/>
        </w:rPr>
      </w:pPr>
      <w:bookmarkStart w:id="220" w:name="_Hlk518548543"/>
      <w:r>
        <w:rPr>
          <w:rFonts w:hint="eastAsia"/>
          <w:color w:val="auto"/>
          <w:sz w:val="24"/>
          <w:szCs w:val="24"/>
          <w:highlight w:val="none"/>
        </w:rPr>
        <w:t>按照中心的工作计划要求，实事求是地采取多种措施，解决影响和制约中心今后发展面临的问题,辅助中心完成重要决策。使之更好的为中心各项工作的开展提供强有力的技术支持，完成网点子系统、GIS子系统、设备管理子系统、财务子系统、后台综合管理系统和与民政局数据资源服务平台接口。</w:t>
      </w:r>
    </w:p>
    <w:bookmarkEnd w:id="220"/>
    <w:p>
      <w:pPr>
        <w:pStyle w:val="19"/>
        <w:spacing w:line="360" w:lineRule="auto"/>
        <w:ind w:left="0" w:leftChars="0" w:firstLine="480" w:firstLineChars="200"/>
        <w:rPr>
          <w:rFonts w:ascii="宋体" w:hAnsi="宋体" w:cs="宋体"/>
          <w:color w:val="auto"/>
          <w:sz w:val="24"/>
          <w:szCs w:val="24"/>
          <w:highlight w:val="none"/>
        </w:rPr>
      </w:pPr>
      <w:bookmarkStart w:id="221" w:name="_Hlk518548727"/>
      <w:r>
        <w:rPr>
          <w:rFonts w:hint="eastAsia" w:ascii="宋体" w:hAnsi="宋体" w:cs="宋体"/>
          <w:color w:val="auto"/>
          <w:sz w:val="24"/>
          <w:szCs w:val="24"/>
          <w:highlight w:val="none"/>
        </w:rPr>
        <w:t>1.2.2网点子系统</w:t>
      </w:r>
      <w:bookmarkEnd w:id="221"/>
    </w:p>
    <w:p>
      <w:pPr>
        <w:pStyle w:val="7"/>
        <w:spacing w:line="360" w:lineRule="auto"/>
        <w:ind w:firstLine="480"/>
        <w:rPr>
          <w:color w:val="auto"/>
          <w:szCs w:val="24"/>
          <w:highlight w:val="none"/>
        </w:rPr>
      </w:pPr>
      <w:bookmarkStart w:id="222" w:name="_Hlk518548853"/>
      <w:bookmarkStart w:id="223" w:name="_Hlk518548789"/>
      <w:r>
        <w:rPr>
          <w:rFonts w:hint="eastAsia"/>
          <w:color w:val="auto"/>
          <w:szCs w:val="24"/>
          <w:highlight w:val="none"/>
        </w:rPr>
        <w:t>网点</w:t>
      </w:r>
      <w:r>
        <w:rPr>
          <w:color w:val="auto"/>
          <w:szCs w:val="24"/>
          <w:highlight w:val="none"/>
        </w:rPr>
        <w:t>子系统是本系统业务功能的基础</w:t>
      </w:r>
      <w:r>
        <w:rPr>
          <w:rFonts w:hint="eastAsia"/>
          <w:color w:val="auto"/>
          <w:szCs w:val="24"/>
          <w:highlight w:val="none"/>
        </w:rPr>
        <w:t>，实现了对各个网点的基本信息维护以及管理等功能。</w:t>
      </w:r>
    </w:p>
    <w:bookmarkEnd w:id="222"/>
    <w:p>
      <w:pPr>
        <w:pStyle w:val="7"/>
        <w:spacing w:line="360" w:lineRule="auto"/>
        <w:ind w:firstLine="480"/>
        <w:rPr>
          <w:color w:val="auto"/>
          <w:highlight w:val="none"/>
        </w:rPr>
      </w:pPr>
      <w:bookmarkStart w:id="224" w:name="_Hlk518548870"/>
      <w:r>
        <w:rPr>
          <w:rFonts w:hint="eastAsia"/>
          <w:color w:val="auto"/>
          <w:highlight w:val="none"/>
        </w:rPr>
        <w:t>主要包含：</w:t>
      </w:r>
    </w:p>
    <w:p>
      <w:pPr>
        <w:pStyle w:val="7"/>
        <w:numPr>
          <w:ilvl w:val="0"/>
          <w:numId w:val="7"/>
        </w:numPr>
        <w:spacing w:line="360" w:lineRule="auto"/>
        <w:ind w:firstLineChars="0"/>
        <w:rPr>
          <w:color w:val="auto"/>
          <w:highlight w:val="none"/>
        </w:rPr>
      </w:pPr>
      <w:r>
        <w:rPr>
          <w:rFonts w:hint="eastAsia"/>
          <w:color w:val="auto"/>
          <w:highlight w:val="none"/>
        </w:rPr>
        <w:t>网点开停机管理：主要处理网点的停机和开机业务。</w:t>
      </w:r>
    </w:p>
    <w:p>
      <w:pPr>
        <w:pStyle w:val="7"/>
        <w:numPr>
          <w:ilvl w:val="0"/>
          <w:numId w:val="7"/>
        </w:numPr>
        <w:spacing w:line="360" w:lineRule="auto"/>
        <w:ind w:firstLineChars="0"/>
        <w:rPr>
          <w:color w:val="auto"/>
          <w:highlight w:val="none"/>
        </w:rPr>
      </w:pPr>
      <w:r>
        <w:rPr>
          <w:rFonts w:hint="eastAsia"/>
          <w:color w:val="auto"/>
          <w:highlight w:val="none"/>
        </w:rPr>
        <w:t>网点报修管理：主要处理网点的报修、维修以及网点设备的维护业务。</w:t>
      </w:r>
    </w:p>
    <w:p>
      <w:pPr>
        <w:pStyle w:val="7"/>
        <w:numPr>
          <w:ilvl w:val="0"/>
          <w:numId w:val="7"/>
        </w:numPr>
        <w:spacing w:line="360" w:lineRule="auto"/>
        <w:ind w:firstLineChars="0"/>
        <w:rPr>
          <w:color w:val="auto"/>
          <w:highlight w:val="none"/>
        </w:rPr>
      </w:pPr>
      <w:r>
        <w:rPr>
          <w:rFonts w:hint="eastAsia"/>
          <w:color w:val="auto"/>
          <w:highlight w:val="none"/>
        </w:rPr>
        <w:t>网点资料变更管理：主要处理网点基本信息、佣金信息、通讯信息、额度信息、强制结算信息的变更和管理业务。</w:t>
      </w:r>
    </w:p>
    <w:p>
      <w:pPr>
        <w:pStyle w:val="7"/>
        <w:numPr>
          <w:ilvl w:val="0"/>
          <w:numId w:val="7"/>
        </w:numPr>
        <w:spacing w:line="360" w:lineRule="auto"/>
        <w:ind w:firstLineChars="0"/>
        <w:rPr>
          <w:color w:val="auto"/>
          <w:highlight w:val="none"/>
        </w:rPr>
      </w:pPr>
      <w:r>
        <w:rPr>
          <w:rFonts w:hint="eastAsia"/>
          <w:color w:val="auto"/>
          <w:highlight w:val="none"/>
        </w:rPr>
        <w:t>网点奖惩：主要处理网点奖罚的业务。</w:t>
      </w:r>
    </w:p>
    <w:p>
      <w:pPr>
        <w:pStyle w:val="7"/>
        <w:numPr>
          <w:ilvl w:val="0"/>
          <w:numId w:val="7"/>
        </w:numPr>
        <w:spacing w:line="360" w:lineRule="auto"/>
        <w:ind w:firstLineChars="0"/>
        <w:rPr>
          <w:color w:val="auto"/>
          <w:highlight w:val="none"/>
        </w:rPr>
      </w:pPr>
      <w:r>
        <w:rPr>
          <w:rFonts w:hint="eastAsia"/>
          <w:color w:val="auto"/>
          <w:highlight w:val="none"/>
        </w:rPr>
        <w:t>每月收费管理：主要对每月网点的各项收费进行管理。</w:t>
      </w:r>
    </w:p>
    <w:bookmarkEnd w:id="224"/>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 xml:space="preserve">1.2.3 </w:t>
      </w:r>
      <w:bookmarkStart w:id="225" w:name="_Hlk518548934"/>
      <w:r>
        <w:rPr>
          <w:rFonts w:hint="eastAsia" w:ascii="宋体" w:hAnsi="宋体" w:cs="宋体"/>
          <w:color w:val="auto"/>
          <w:sz w:val="24"/>
          <w:szCs w:val="24"/>
          <w:highlight w:val="none"/>
        </w:rPr>
        <w:t>GIS子系统</w:t>
      </w:r>
      <w:bookmarkEnd w:id="225"/>
    </w:p>
    <w:p>
      <w:pPr>
        <w:pStyle w:val="7"/>
        <w:spacing w:line="360" w:lineRule="auto"/>
        <w:ind w:firstLine="480"/>
        <w:rPr>
          <w:color w:val="auto"/>
          <w:szCs w:val="24"/>
          <w:highlight w:val="none"/>
        </w:rPr>
      </w:pPr>
      <w:bookmarkStart w:id="226" w:name="_Hlk518548960"/>
      <w:r>
        <w:rPr>
          <w:rFonts w:hint="eastAsia"/>
          <w:color w:val="auto"/>
          <w:szCs w:val="24"/>
          <w:highlight w:val="none"/>
        </w:rPr>
        <w:t>GIS子系统通过地图相关功能，实现以下功能。</w:t>
      </w:r>
    </w:p>
    <w:p>
      <w:pPr>
        <w:pStyle w:val="7"/>
        <w:spacing w:line="360" w:lineRule="auto"/>
        <w:ind w:firstLine="480"/>
        <w:rPr>
          <w:color w:val="auto"/>
          <w:highlight w:val="none"/>
        </w:rPr>
      </w:pPr>
      <w:r>
        <w:rPr>
          <w:rFonts w:hint="eastAsia"/>
          <w:color w:val="auto"/>
          <w:highlight w:val="none"/>
        </w:rPr>
        <w:t>主要包含：</w:t>
      </w:r>
    </w:p>
    <w:p>
      <w:pPr>
        <w:pStyle w:val="7"/>
        <w:numPr>
          <w:ilvl w:val="0"/>
          <w:numId w:val="8"/>
        </w:numPr>
        <w:spacing w:line="360" w:lineRule="auto"/>
        <w:ind w:firstLineChars="0"/>
        <w:rPr>
          <w:color w:val="auto"/>
          <w:highlight w:val="none"/>
        </w:rPr>
      </w:pPr>
      <w:r>
        <w:rPr>
          <w:rFonts w:hint="eastAsia"/>
          <w:color w:val="auto"/>
          <w:highlight w:val="none"/>
        </w:rPr>
        <w:t>地图服务管理：主要处理通过地图查找网点位置的业务。</w:t>
      </w:r>
    </w:p>
    <w:p>
      <w:pPr>
        <w:pStyle w:val="7"/>
        <w:numPr>
          <w:ilvl w:val="0"/>
          <w:numId w:val="8"/>
        </w:numPr>
        <w:spacing w:line="360" w:lineRule="auto"/>
        <w:ind w:firstLineChars="0"/>
        <w:rPr>
          <w:color w:val="auto"/>
          <w:highlight w:val="none"/>
        </w:rPr>
      </w:pPr>
      <w:r>
        <w:rPr>
          <w:rFonts w:hint="eastAsia"/>
          <w:color w:val="auto"/>
          <w:highlight w:val="none"/>
        </w:rPr>
        <w:t>导航服务管理：主要处理导航业务。</w:t>
      </w:r>
    </w:p>
    <w:p>
      <w:pPr>
        <w:pStyle w:val="7"/>
        <w:numPr>
          <w:ilvl w:val="0"/>
          <w:numId w:val="8"/>
        </w:numPr>
        <w:spacing w:line="360" w:lineRule="auto"/>
        <w:ind w:firstLineChars="0"/>
        <w:rPr>
          <w:color w:val="auto"/>
          <w:highlight w:val="none"/>
        </w:rPr>
      </w:pPr>
      <w:r>
        <w:rPr>
          <w:rFonts w:hint="eastAsia"/>
          <w:color w:val="auto"/>
          <w:highlight w:val="none"/>
        </w:rPr>
        <w:t>周边服务管理：主要处理查询网点周围的服务设施业务。</w:t>
      </w:r>
    </w:p>
    <w:p>
      <w:pPr>
        <w:pStyle w:val="7"/>
        <w:numPr>
          <w:ilvl w:val="0"/>
          <w:numId w:val="8"/>
        </w:numPr>
        <w:spacing w:line="360" w:lineRule="auto"/>
        <w:ind w:firstLineChars="0"/>
        <w:rPr>
          <w:color w:val="auto"/>
          <w:highlight w:val="none"/>
        </w:rPr>
      </w:pPr>
      <w:r>
        <w:rPr>
          <w:rFonts w:hint="eastAsia"/>
          <w:color w:val="auto"/>
          <w:highlight w:val="none"/>
        </w:rPr>
        <w:t>我的任务管理：主要处理巡检人员工作任务的业务。</w:t>
      </w:r>
    </w:p>
    <w:p>
      <w:pPr>
        <w:pStyle w:val="7"/>
        <w:numPr>
          <w:ilvl w:val="0"/>
          <w:numId w:val="8"/>
        </w:numPr>
        <w:spacing w:line="360" w:lineRule="auto"/>
        <w:ind w:firstLineChars="0"/>
        <w:rPr>
          <w:color w:val="auto"/>
          <w:highlight w:val="none"/>
        </w:rPr>
      </w:pPr>
      <w:r>
        <w:rPr>
          <w:rFonts w:hint="eastAsia"/>
          <w:color w:val="auto"/>
          <w:highlight w:val="none"/>
        </w:rPr>
        <w:t>位置标注管理：主要处理巡检人员去网点巡视时，系统经过信息识别后对巡检人员自动位置标注业务。</w:t>
      </w:r>
    </w:p>
    <w:p>
      <w:pPr>
        <w:pStyle w:val="7"/>
        <w:numPr>
          <w:ilvl w:val="0"/>
          <w:numId w:val="8"/>
        </w:numPr>
        <w:spacing w:line="360" w:lineRule="auto"/>
        <w:ind w:firstLineChars="0"/>
        <w:rPr>
          <w:color w:val="auto"/>
          <w:highlight w:val="none"/>
        </w:rPr>
      </w:pPr>
      <w:r>
        <w:rPr>
          <w:rFonts w:hint="eastAsia"/>
          <w:color w:val="auto"/>
          <w:highlight w:val="none"/>
        </w:rPr>
        <w:t>投注站详情管理：主要处理站点详细信息及销售信息的业务。</w:t>
      </w:r>
    </w:p>
    <w:p>
      <w:pPr>
        <w:pStyle w:val="7"/>
        <w:numPr>
          <w:ilvl w:val="0"/>
          <w:numId w:val="8"/>
        </w:numPr>
        <w:spacing w:line="360" w:lineRule="auto"/>
        <w:ind w:firstLineChars="0"/>
        <w:rPr>
          <w:color w:val="auto"/>
          <w:highlight w:val="none"/>
        </w:rPr>
      </w:pPr>
      <w:r>
        <w:rPr>
          <w:rFonts w:hint="eastAsia"/>
          <w:color w:val="auto"/>
          <w:highlight w:val="none"/>
        </w:rPr>
        <w:t>投注站活动管理：主要处理站点活动的申请、审核等业务。</w:t>
      </w:r>
    </w:p>
    <w:p>
      <w:pPr>
        <w:pStyle w:val="7"/>
        <w:numPr>
          <w:ilvl w:val="0"/>
          <w:numId w:val="8"/>
        </w:numPr>
        <w:spacing w:line="360" w:lineRule="auto"/>
        <w:ind w:firstLineChars="0"/>
        <w:rPr>
          <w:color w:val="auto"/>
          <w:highlight w:val="none"/>
        </w:rPr>
      </w:pPr>
      <w:r>
        <w:rPr>
          <w:rFonts w:hint="eastAsia"/>
          <w:color w:val="auto"/>
          <w:highlight w:val="none"/>
        </w:rPr>
        <w:t>意见标注管理：主要处理巡检人员核查投注站信息时的标注业务。</w:t>
      </w:r>
      <w:bookmarkEnd w:id="226"/>
      <w:r>
        <w:rPr>
          <w:color w:val="auto"/>
          <w:highlight w:val="none"/>
        </w:rPr>
        <w:t xml:space="preserve"> </w:t>
      </w:r>
    </w:p>
    <w:p>
      <w:pPr>
        <w:pStyle w:val="19"/>
        <w:spacing w:line="360" w:lineRule="auto"/>
        <w:ind w:left="0" w:leftChars="0" w:firstLine="480" w:firstLineChars="200"/>
        <w:rPr>
          <w:rFonts w:ascii="宋体" w:hAnsi="宋体" w:cs="宋体"/>
          <w:color w:val="auto"/>
          <w:sz w:val="24"/>
          <w:szCs w:val="24"/>
          <w:highlight w:val="none"/>
        </w:rPr>
      </w:pPr>
      <w:bookmarkStart w:id="227" w:name="_Hlk518549039"/>
      <w:r>
        <w:rPr>
          <w:rFonts w:hint="eastAsia" w:ascii="宋体" w:hAnsi="宋体" w:cs="宋体"/>
          <w:color w:val="auto"/>
          <w:sz w:val="24"/>
          <w:szCs w:val="24"/>
          <w:highlight w:val="none"/>
        </w:rPr>
        <w:t>1.2.4设备管理子系统</w:t>
      </w:r>
      <w:bookmarkEnd w:id="227"/>
    </w:p>
    <w:p>
      <w:pPr>
        <w:pStyle w:val="19"/>
        <w:spacing w:line="360" w:lineRule="auto"/>
        <w:ind w:left="0" w:leftChars="0" w:firstLine="480" w:firstLineChars="200"/>
        <w:rPr>
          <w:color w:val="auto"/>
          <w:sz w:val="24"/>
          <w:szCs w:val="24"/>
          <w:highlight w:val="none"/>
        </w:rPr>
      </w:pPr>
      <w:bookmarkStart w:id="228" w:name="_Hlk518549065"/>
      <w:r>
        <w:rPr>
          <w:rFonts w:hint="eastAsia"/>
          <w:color w:val="auto"/>
          <w:sz w:val="24"/>
          <w:szCs w:val="24"/>
          <w:highlight w:val="none"/>
        </w:rPr>
        <w:t>设备管理子系统主要针对设备的相关业务进行处理。</w:t>
      </w:r>
    </w:p>
    <w:p>
      <w:pPr>
        <w:pStyle w:val="7"/>
        <w:spacing w:line="360" w:lineRule="auto"/>
        <w:ind w:firstLine="480"/>
        <w:rPr>
          <w:color w:val="auto"/>
          <w:highlight w:val="none"/>
        </w:rPr>
      </w:pPr>
      <w:r>
        <w:rPr>
          <w:rFonts w:hint="eastAsia"/>
          <w:color w:val="auto"/>
          <w:highlight w:val="none"/>
        </w:rPr>
        <w:t>主要包含：</w:t>
      </w:r>
    </w:p>
    <w:p>
      <w:pPr>
        <w:pStyle w:val="7"/>
        <w:numPr>
          <w:ilvl w:val="0"/>
          <w:numId w:val="9"/>
        </w:numPr>
        <w:spacing w:line="360" w:lineRule="auto"/>
        <w:ind w:firstLineChars="0"/>
        <w:rPr>
          <w:color w:val="auto"/>
          <w:highlight w:val="none"/>
        </w:rPr>
      </w:pPr>
      <w:r>
        <w:rPr>
          <w:rFonts w:hint="eastAsia"/>
          <w:color w:val="auto"/>
          <w:highlight w:val="none"/>
        </w:rPr>
        <w:t>装机管理：主要处理装机业务。</w:t>
      </w:r>
    </w:p>
    <w:p>
      <w:pPr>
        <w:pStyle w:val="7"/>
        <w:numPr>
          <w:ilvl w:val="0"/>
          <w:numId w:val="9"/>
        </w:numPr>
        <w:spacing w:line="360" w:lineRule="auto"/>
        <w:ind w:firstLineChars="0"/>
        <w:rPr>
          <w:color w:val="auto"/>
          <w:highlight w:val="none"/>
        </w:rPr>
      </w:pPr>
      <w:r>
        <w:rPr>
          <w:rFonts w:hint="eastAsia"/>
          <w:color w:val="auto"/>
          <w:highlight w:val="none"/>
        </w:rPr>
        <w:t>移机管理：主要处理移机业务。</w:t>
      </w:r>
    </w:p>
    <w:p>
      <w:pPr>
        <w:pStyle w:val="7"/>
        <w:numPr>
          <w:ilvl w:val="0"/>
          <w:numId w:val="9"/>
        </w:numPr>
        <w:spacing w:line="360" w:lineRule="auto"/>
        <w:ind w:firstLineChars="0"/>
        <w:rPr>
          <w:color w:val="auto"/>
          <w:highlight w:val="none"/>
        </w:rPr>
      </w:pPr>
      <w:r>
        <w:rPr>
          <w:rFonts w:hint="eastAsia"/>
          <w:color w:val="auto"/>
          <w:highlight w:val="none"/>
        </w:rPr>
        <w:t>撤机管理：主要处理撤机业务。</w:t>
      </w:r>
    </w:p>
    <w:p>
      <w:pPr>
        <w:pStyle w:val="7"/>
        <w:numPr>
          <w:ilvl w:val="0"/>
          <w:numId w:val="9"/>
        </w:numPr>
        <w:spacing w:line="360" w:lineRule="auto"/>
        <w:ind w:firstLineChars="0"/>
        <w:rPr>
          <w:color w:val="auto"/>
          <w:highlight w:val="none"/>
        </w:rPr>
      </w:pPr>
      <w:r>
        <w:rPr>
          <w:rFonts w:hint="eastAsia"/>
          <w:color w:val="auto"/>
          <w:highlight w:val="none"/>
        </w:rPr>
        <w:t>耗材库房管理：主要处理耗材的库存管理业务。</w:t>
      </w:r>
    </w:p>
    <w:p>
      <w:pPr>
        <w:pStyle w:val="7"/>
        <w:numPr>
          <w:ilvl w:val="0"/>
          <w:numId w:val="9"/>
        </w:numPr>
        <w:spacing w:line="360" w:lineRule="auto"/>
        <w:ind w:firstLineChars="0"/>
        <w:rPr>
          <w:color w:val="auto"/>
          <w:highlight w:val="none"/>
        </w:rPr>
      </w:pPr>
      <w:r>
        <w:rPr>
          <w:rFonts w:hint="eastAsia"/>
          <w:color w:val="auto"/>
          <w:highlight w:val="none"/>
        </w:rPr>
        <w:t>通讯管理：主要处理网点通讯相关参数的管理业务。</w:t>
      </w:r>
    </w:p>
    <w:p>
      <w:pPr>
        <w:pStyle w:val="7"/>
        <w:numPr>
          <w:ilvl w:val="0"/>
          <w:numId w:val="9"/>
        </w:numPr>
        <w:spacing w:line="360" w:lineRule="auto"/>
        <w:ind w:firstLineChars="0"/>
        <w:rPr>
          <w:color w:val="auto"/>
          <w:highlight w:val="none"/>
        </w:rPr>
      </w:pPr>
      <w:r>
        <w:rPr>
          <w:rFonts w:hint="eastAsia"/>
          <w:color w:val="auto"/>
          <w:highlight w:val="none"/>
        </w:rPr>
        <w:t>人员车辆管理：主要处理人员车辆管理处理业务。</w:t>
      </w:r>
    </w:p>
    <w:p>
      <w:pPr>
        <w:pStyle w:val="7"/>
        <w:numPr>
          <w:ilvl w:val="0"/>
          <w:numId w:val="9"/>
        </w:numPr>
        <w:spacing w:line="360" w:lineRule="auto"/>
        <w:ind w:firstLineChars="0"/>
        <w:rPr>
          <w:color w:val="auto"/>
          <w:highlight w:val="none"/>
        </w:rPr>
      </w:pPr>
      <w:r>
        <w:rPr>
          <w:rFonts w:hint="eastAsia"/>
          <w:color w:val="auto"/>
          <w:highlight w:val="none"/>
        </w:rPr>
        <w:t>设备库房管理：主要处理设备库房管理业务。</w:t>
      </w:r>
    </w:p>
    <w:p>
      <w:pPr>
        <w:pStyle w:val="7"/>
        <w:numPr>
          <w:ilvl w:val="0"/>
          <w:numId w:val="9"/>
        </w:numPr>
        <w:spacing w:line="360" w:lineRule="auto"/>
        <w:ind w:firstLineChars="0"/>
        <w:rPr>
          <w:color w:val="auto"/>
          <w:highlight w:val="none"/>
        </w:rPr>
      </w:pPr>
      <w:r>
        <w:rPr>
          <w:rFonts w:hint="eastAsia"/>
          <w:color w:val="auto"/>
          <w:highlight w:val="none"/>
        </w:rPr>
        <w:t>即开票库房管理：主要处理即开票库房管理业务。</w:t>
      </w:r>
    </w:p>
    <w:bookmarkEnd w:id="228"/>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1</w:t>
      </w:r>
      <w:r>
        <w:rPr>
          <w:rFonts w:ascii="宋体" w:hAnsi="宋体" w:cs="宋体"/>
          <w:color w:val="auto"/>
          <w:sz w:val="24"/>
          <w:szCs w:val="24"/>
          <w:highlight w:val="none"/>
        </w:rPr>
        <w:t>.2.5</w:t>
      </w:r>
      <w:bookmarkStart w:id="229" w:name="_Hlk518549211"/>
      <w:r>
        <w:rPr>
          <w:rFonts w:hint="eastAsia" w:ascii="宋体" w:hAnsi="宋体" w:cs="宋体"/>
          <w:color w:val="auto"/>
          <w:sz w:val="24"/>
          <w:szCs w:val="24"/>
          <w:highlight w:val="none"/>
        </w:rPr>
        <w:t>财务子系统</w:t>
      </w:r>
      <w:bookmarkEnd w:id="229"/>
    </w:p>
    <w:p>
      <w:pPr>
        <w:pStyle w:val="7"/>
        <w:spacing w:line="360" w:lineRule="auto"/>
        <w:ind w:firstLine="480"/>
        <w:rPr>
          <w:color w:val="auto"/>
          <w:szCs w:val="24"/>
          <w:highlight w:val="none"/>
        </w:rPr>
      </w:pPr>
      <w:bookmarkStart w:id="230" w:name="_Hlk518549229"/>
      <w:r>
        <w:rPr>
          <w:rFonts w:hint="eastAsia"/>
          <w:color w:val="auto"/>
          <w:szCs w:val="24"/>
          <w:highlight w:val="none"/>
        </w:rPr>
        <w:t>财务子系统主要针对各种费用管理业务进行处理。</w:t>
      </w:r>
    </w:p>
    <w:p>
      <w:pPr>
        <w:pStyle w:val="7"/>
        <w:spacing w:line="360" w:lineRule="auto"/>
        <w:ind w:firstLine="480"/>
        <w:rPr>
          <w:color w:val="auto"/>
          <w:highlight w:val="none"/>
        </w:rPr>
      </w:pPr>
      <w:r>
        <w:rPr>
          <w:rFonts w:hint="eastAsia"/>
          <w:color w:val="auto"/>
          <w:highlight w:val="none"/>
        </w:rPr>
        <w:t>主要包含：</w:t>
      </w:r>
    </w:p>
    <w:p>
      <w:pPr>
        <w:pStyle w:val="7"/>
        <w:numPr>
          <w:ilvl w:val="0"/>
          <w:numId w:val="10"/>
        </w:numPr>
        <w:spacing w:line="360" w:lineRule="auto"/>
        <w:ind w:firstLineChars="0"/>
        <w:rPr>
          <w:color w:val="auto"/>
          <w:highlight w:val="none"/>
        </w:rPr>
      </w:pPr>
      <w:r>
        <w:rPr>
          <w:rFonts w:hint="eastAsia"/>
          <w:color w:val="auto"/>
          <w:highlight w:val="none"/>
        </w:rPr>
        <w:t>通讯费管理：主要处理通讯费管理业务。</w:t>
      </w:r>
    </w:p>
    <w:p>
      <w:pPr>
        <w:pStyle w:val="7"/>
        <w:numPr>
          <w:ilvl w:val="0"/>
          <w:numId w:val="10"/>
        </w:numPr>
        <w:spacing w:line="360" w:lineRule="auto"/>
        <w:ind w:firstLineChars="0"/>
        <w:rPr>
          <w:color w:val="auto"/>
          <w:highlight w:val="none"/>
        </w:rPr>
      </w:pPr>
      <w:r>
        <w:rPr>
          <w:rFonts w:hint="eastAsia"/>
          <w:color w:val="auto"/>
          <w:highlight w:val="none"/>
        </w:rPr>
        <w:t>款项批量处理管理：主要处理财务对账、押金管理等业务。</w:t>
      </w:r>
    </w:p>
    <w:p>
      <w:pPr>
        <w:pStyle w:val="7"/>
        <w:numPr>
          <w:ilvl w:val="0"/>
          <w:numId w:val="10"/>
        </w:numPr>
        <w:spacing w:line="360" w:lineRule="auto"/>
        <w:ind w:firstLineChars="0"/>
        <w:rPr>
          <w:color w:val="auto"/>
          <w:highlight w:val="none"/>
        </w:rPr>
      </w:pPr>
      <w:r>
        <w:rPr>
          <w:rFonts w:hint="eastAsia"/>
          <w:color w:val="auto"/>
          <w:highlight w:val="none"/>
        </w:rPr>
        <w:t>固定资产管理：主要处理固定资产管理业务。</w:t>
      </w:r>
    </w:p>
    <w:p>
      <w:pPr>
        <w:pStyle w:val="7"/>
        <w:numPr>
          <w:ilvl w:val="0"/>
          <w:numId w:val="10"/>
        </w:numPr>
        <w:spacing w:line="360" w:lineRule="auto"/>
        <w:ind w:firstLineChars="0"/>
        <w:rPr>
          <w:color w:val="auto"/>
          <w:highlight w:val="none"/>
        </w:rPr>
      </w:pPr>
      <w:r>
        <w:rPr>
          <w:rFonts w:hint="eastAsia"/>
          <w:color w:val="auto"/>
          <w:highlight w:val="none"/>
        </w:rPr>
        <w:t>银行卡信息管理：主要处理银行卡信息管理业务。</w:t>
      </w:r>
    </w:p>
    <w:p>
      <w:pPr>
        <w:pStyle w:val="7"/>
        <w:numPr>
          <w:ilvl w:val="0"/>
          <w:numId w:val="10"/>
        </w:numPr>
        <w:spacing w:line="360" w:lineRule="auto"/>
        <w:ind w:firstLineChars="0"/>
        <w:rPr>
          <w:color w:val="auto"/>
          <w:highlight w:val="none"/>
        </w:rPr>
      </w:pPr>
      <w:r>
        <w:rPr>
          <w:rFonts w:hint="eastAsia"/>
          <w:color w:val="auto"/>
          <w:highlight w:val="none"/>
        </w:rPr>
        <w:t>耗材在线订单周结算管理：主要处理耗材在线订单周结算管理业务。</w:t>
      </w:r>
    </w:p>
    <w:p>
      <w:pPr>
        <w:pStyle w:val="7"/>
        <w:numPr>
          <w:ilvl w:val="0"/>
          <w:numId w:val="10"/>
        </w:numPr>
        <w:spacing w:line="360" w:lineRule="auto"/>
        <w:ind w:firstLineChars="0"/>
        <w:rPr>
          <w:color w:val="auto"/>
          <w:highlight w:val="none"/>
        </w:rPr>
      </w:pPr>
      <w:r>
        <w:rPr>
          <w:rFonts w:hint="eastAsia"/>
          <w:color w:val="auto"/>
          <w:highlight w:val="none"/>
        </w:rPr>
        <w:t>网点保险费管理：主要处理网点保险费管理业务。</w:t>
      </w:r>
    </w:p>
    <w:bookmarkEnd w:id="230"/>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1</w:t>
      </w:r>
      <w:r>
        <w:rPr>
          <w:rFonts w:ascii="宋体" w:hAnsi="宋体" w:cs="宋体"/>
          <w:color w:val="auto"/>
          <w:sz w:val="24"/>
          <w:szCs w:val="24"/>
          <w:highlight w:val="none"/>
        </w:rPr>
        <w:t>.2.</w:t>
      </w:r>
      <w:r>
        <w:rPr>
          <w:rFonts w:hint="eastAsia" w:ascii="宋体" w:hAnsi="宋体" w:cs="宋体"/>
          <w:color w:val="auto"/>
          <w:sz w:val="24"/>
          <w:szCs w:val="24"/>
          <w:highlight w:val="none"/>
        </w:rPr>
        <w:t>6</w:t>
      </w:r>
      <w:bookmarkStart w:id="231" w:name="_Hlk518549280"/>
      <w:r>
        <w:rPr>
          <w:rFonts w:hint="eastAsia" w:ascii="宋体" w:hAnsi="宋体" w:cs="宋体"/>
          <w:color w:val="auto"/>
          <w:sz w:val="24"/>
          <w:szCs w:val="24"/>
          <w:highlight w:val="none"/>
        </w:rPr>
        <w:t>后台综合管理系统</w:t>
      </w:r>
      <w:bookmarkEnd w:id="231"/>
    </w:p>
    <w:p>
      <w:pPr>
        <w:pStyle w:val="7"/>
        <w:spacing w:line="360" w:lineRule="auto"/>
        <w:ind w:firstLine="480"/>
        <w:rPr>
          <w:color w:val="auto"/>
          <w:szCs w:val="24"/>
          <w:highlight w:val="none"/>
        </w:rPr>
      </w:pPr>
      <w:bookmarkStart w:id="232" w:name="_Hlk518549303"/>
      <w:r>
        <w:rPr>
          <w:rFonts w:hint="eastAsia"/>
          <w:color w:val="auto"/>
          <w:szCs w:val="24"/>
          <w:highlight w:val="none"/>
        </w:rPr>
        <w:t>后台综合管理系统主要针对系统支持的后台数据进行处理。</w:t>
      </w:r>
    </w:p>
    <w:p>
      <w:pPr>
        <w:pStyle w:val="7"/>
        <w:spacing w:line="360" w:lineRule="auto"/>
        <w:ind w:firstLine="480"/>
        <w:rPr>
          <w:color w:val="auto"/>
          <w:highlight w:val="none"/>
        </w:rPr>
      </w:pPr>
      <w:r>
        <w:rPr>
          <w:rFonts w:hint="eastAsia"/>
          <w:color w:val="auto"/>
          <w:highlight w:val="none"/>
        </w:rPr>
        <w:t>主要包含：</w:t>
      </w:r>
    </w:p>
    <w:p>
      <w:pPr>
        <w:pStyle w:val="7"/>
        <w:numPr>
          <w:ilvl w:val="0"/>
          <w:numId w:val="11"/>
        </w:numPr>
        <w:spacing w:line="360" w:lineRule="auto"/>
        <w:ind w:firstLineChars="0"/>
        <w:rPr>
          <w:color w:val="auto"/>
          <w:highlight w:val="none"/>
        </w:rPr>
      </w:pPr>
      <w:r>
        <w:rPr>
          <w:rFonts w:hint="eastAsia"/>
          <w:color w:val="auto"/>
          <w:highlight w:val="none"/>
        </w:rPr>
        <w:t>基础信息管理：主要处理基础信息管理业务。</w:t>
      </w:r>
    </w:p>
    <w:p>
      <w:pPr>
        <w:pStyle w:val="7"/>
        <w:numPr>
          <w:ilvl w:val="0"/>
          <w:numId w:val="11"/>
        </w:numPr>
        <w:spacing w:line="360" w:lineRule="auto"/>
        <w:ind w:firstLineChars="0"/>
        <w:rPr>
          <w:color w:val="auto"/>
          <w:highlight w:val="none"/>
        </w:rPr>
      </w:pPr>
      <w:r>
        <w:rPr>
          <w:rFonts w:hint="eastAsia"/>
          <w:color w:val="auto"/>
          <w:highlight w:val="none"/>
        </w:rPr>
        <w:t>信息识别管理：主要处理信息识别管理业务。</w:t>
      </w:r>
    </w:p>
    <w:p>
      <w:pPr>
        <w:pStyle w:val="7"/>
        <w:numPr>
          <w:ilvl w:val="0"/>
          <w:numId w:val="11"/>
        </w:numPr>
        <w:spacing w:line="360" w:lineRule="auto"/>
        <w:ind w:firstLineChars="0"/>
        <w:rPr>
          <w:color w:val="auto"/>
          <w:highlight w:val="none"/>
        </w:rPr>
      </w:pPr>
      <w:r>
        <w:rPr>
          <w:rFonts w:hint="eastAsia"/>
          <w:color w:val="auto"/>
          <w:highlight w:val="none"/>
        </w:rPr>
        <w:t>数据审核管理; 主要处理数据审核管理业务。</w:t>
      </w:r>
    </w:p>
    <w:p>
      <w:pPr>
        <w:pStyle w:val="7"/>
        <w:numPr>
          <w:ilvl w:val="0"/>
          <w:numId w:val="11"/>
        </w:numPr>
        <w:spacing w:line="360" w:lineRule="auto"/>
        <w:ind w:firstLineChars="0"/>
        <w:rPr>
          <w:color w:val="auto"/>
          <w:highlight w:val="none"/>
        </w:rPr>
      </w:pPr>
      <w:r>
        <w:rPr>
          <w:rFonts w:hint="eastAsia"/>
          <w:color w:val="auto"/>
          <w:highlight w:val="none"/>
        </w:rPr>
        <w:t>统计分析管理: 主要处理统计分析管理业务。</w:t>
      </w:r>
    </w:p>
    <w:p>
      <w:pPr>
        <w:pStyle w:val="7"/>
        <w:numPr>
          <w:ilvl w:val="0"/>
          <w:numId w:val="11"/>
        </w:numPr>
        <w:spacing w:line="360" w:lineRule="auto"/>
        <w:ind w:firstLineChars="0"/>
        <w:rPr>
          <w:color w:val="auto"/>
          <w:highlight w:val="none"/>
        </w:rPr>
      </w:pPr>
      <w:r>
        <w:rPr>
          <w:rFonts w:hint="eastAsia"/>
          <w:color w:val="auto"/>
          <w:highlight w:val="none"/>
        </w:rPr>
        <w:t>组织结构管理: 主要处理组织结构管理业务。</w:t>
      </w:r>
    </w:p>
    <w:p>
      <w:pPr>
        <w:pStyle w:val="7"/>
        <w:numPr>
          <w:ilvl w:val="0"/>
          <w:numId w:val="11"/>
        </w:numPr>
        <w:spacing w:line="360" w:lineRule="auto"/>
        <w:ind w:firstLineChars="0"/>
        <w:rPr>
          <w:color w:val="auto"/>
          <w:highlight w:val="none"/>
        </w:rPr>
      </w:pPr>
      <w:r>
        <w:rPr>
          <w:rFonts w:hint="eastAsia"/>
          <w:color w:val="auto"/>
          <w:highlight w:val="none"/>
        </w:rPr>
        <w:t>权限管理：主要处理用户、角色、权限管理业务。</w:t>
      </w:r>
    </w:p>
    <w:bookmarkEnd w:id="232"/>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1</w:t>
      </w:r>
      <w:r>
        <w:rPr>
          <w:rFonts w:ascii="宋体" w:hAnsi="宋体" w:cs="宋体"/>
          <w:color w:val="auto"/>
          <w:sz w:val="24"/>
          <w:szCs w:val="24"/>
          <w:highlight w:val="none"/>
        </w:rPr>
        <w:t>.2.</w:t>
      </w:r>
      <w:r>
        <w:rPr>
          <w:rFonts w:hint="eastAsia" w:ascii="宋体" w:hAnsi="宋体" w:cs="宋体"/>
          <w:color w:val="auto"/>
          <w:sz w:val="24"/>
          <w:szCs w:val="24"/>
          <w:highlight w:val="none"/>
        </w:rPr>
        <w:t>7</w:t>
      </w:r>
      <w:bookmarkStart w:id="233" w:name="_Hlk518549368"/>
      <w:r>
        <w:rPr>
          <w:rFonts w:hint="eastAsia" w:ascii="宋体" w:hAnsi="宋体" w:cs="宋体"/>
          <w:color w:val="auto"/>
          <w:sz w:val="24"/>
          <w:szCs w:val="24"/>
          <w:highlight w:val="none"/>
        </w:rPr>
        <w:t>民政局数据资源服务平台接口</w:t>
      </w:r>
    </w:p>
    <w:p>
      <w:pPr>
        <w:pStyle w:val="7"/>
        <w:spacing w:line="360" w:lineRule="auto"/>
        <w:ind w:firstLine="480"/>
        <w:rPr>
          <w:color w:val="auto"/>
          <w:highlight w:val="none"/>
        </w:rPr>
      </w:pPr>
      <w:r>
        <w:rPr>
          <w:rFonts w:hint="eastAsia"/>
          <w:color w:val="auto"/>
          <w:highlight w:val="none"/>
        </w:rPr>
        <w:t>与民政局数据资源服务平台接口主要处理该系统与民政局数据资源服务平台之间的数据交互，通过接口传输文件。</w:t>
      </w:r>
      <w:bookmarkEnd w:id="223"/>
    </w:p>
    <w:bookmarkEnd w:id="233"/>
    <w:p>
      <w:pPr>
        <w:pStyle w:val="19"/>
        <w:spacing w:line="360" w:lineRule="auto"/>
        <w:ind w:left="0" w:leftChars="0" w:firstLine="482" w:firstLineChars="200"/>
        <w:rPr>
          <w:rFonts w:ascii="宋体" w:hAnsi="宋体" w:cs="宋体"/>
          <w:b/>
          <w:color w:val="auto"/>
          <w:sz w:val="24"/>
          <w:szCs w:val="24"/>
          <w:highlight w:val="none"/>
        </w:rPr>
      </w:pPr>
    </w:p>
    <w:p>
      <w:pPr>
        <w:pStyle w:val="19"/>
        <w:spacing w:line="360" w:lineRule="auto"/>
        <w:ind w:left="0" w:leftChars="0" w:firstLine="482" w:firstLineChars="200"/>
        <w:rPr>
          <w:rFonts w:ascii="宋体" w:hAnsi="宋体" w:cs="宋体"/>
          <w:color w:val="auto"/>
          <w:sz w:val="24"/>
          <w:szCs w:val="24"/>
          <w:highlight w:val="none"/>
        </w:rPr>
      </w:pPr>
      <w:r>
        <w:rPr>
          <w:rFonts w:ascii="宋体" w:hAnsi="宋体" w:cs="宋体"/>
          <w:b/>
          <w:color w:val="auto"/>
          <w:sz w:val="24"/>
          <w:szCs w:val="24"/>
          <w:highlight w:val="none"/>
        </w:rPr>
        <w:t>1.3 软件系统性能要求</w:t>
      </w:r>
    </w:p>
    <w:p>
      <w:pPr>
        <w:pStyle w:val="19"/>
        <w:spacing w:line="360" w:lineRule="auto"/>
        <w:rPr>
          <w:rFonts w:ascii="宋体" w:hAnsi="宋体" w:cs="宋体"/>
          <w:color w:val="auto"/>
          <w:sz w:val="24"/>
          <w:szCs w:val="24"/>
          <w:highlight w:val="none"/>
        </w:rPr>
      </w:pPr>
      <w:r>
        <w:rPr>
          <w:rFonts w:hint="eastAsia" w:ascii="宋体" w:hAnsi="宋体" w:cs="宋体"/>
          <w:color w:val="auto"/>
          <w:sz w:val="24"/>
          <w:szCs w:val="24"/>
          <w:highlight w:val="none"/>
        </w:rPr>
        <w:t>1.3.1系统可靠性要求</w:t>
      </w:r>
    </w:p>
    <w:p>
      <w:pPr>
        <w:pStyle w:val="19"/>
        <w:spacing w:line="360" w:lineRule="auto"/>
        <w:ind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系统建设应采用成熟的技术架构，以保证系统的高质量和稳定性；对应用系统、数据库设计应考虑详尽的故障处理方案，在系统在出现故障时，能够快速恢复应用系统以及相应的业务数据。</w:t>
      </w:r>
    </w:p>
    <w:p>
      <w:pPr>
        <w:pStyle w:val="19"/>
        <w:spacing w:line="360" w:lineRule="auto"/>
        <w:ind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可靠性要满足系统5×8小时不间断服务的要求。</w:t>
      </w:r>
    </w:p>
    <w:p>
      <w:pPr>
        <w:pStyle w:val="19"/>
        <w:spacing w:line="360" w:lineRule="auto"/>
        <w:ind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应用系统在偶然故障期（一般以软件交付给用户后的六个月左右为偶然故障期）内以每5000小时的故障数为单位时间的故障数不得大于1次。</w:t>
      </w:r>
    </w:p>
    <w:p>
      <w:pPr>
        <w:pStyle w:val="19"/>
        <w:spacing w:line="360" w:lineRule="auto"/>
        <w:ind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应用系统在相继两次失效之间正常工作的平均统计时间，应大于六个月（5000小时）。</w:t>
      </w:r>
    </w:p>
    <w:p>
      <w:pPr>
        <w:pStyle w:val="19"/>
        <w:spacing w:line="360" w:lineRule="auto"/>
        <w:ind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应用失效后恢复正常工作所需的平均时间不得高于3分钟，且系统故障引起业务中断时间不超过50分钟/年。</w:t>
      </w:r>
    </w:p>
    <w:p>
      <w:pPr>
        <w:pStyle w:val="19"/>
        <w:spacing w:line="360" w:lineRule="auto"/>
        <w:ind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应用软件每千行源代码（不含注释行）为一个单位，源代码中隐藏的缺陷数量应低于3个。</w:t>
      </w:r>
    </w:p>
    <w:p>
      <w:pPr>
        <w:pStyle w:val="19"/>
        <w:spacing w:line="360" w:lineRule="auto"/>
        <w:rPr>
          <w:rFonts w:ascii="宋体" w:hAnsi="宋体" w:cs="宋体"/>
          <w:color w:val="auto"/>
          <w:sz w:val="24"/>
          <w:szCs w:val="24"/>
          <w:highlight w:val="none"/>
        </w:rPr>
      </w:pPr>
      <w:r>
        <w:rPr>
          <w:rFonts w:hint="eastAsia" w:ascii="宋体" w:hAnsi="宋体" w:cs="宋体"/>
          <w:color w:val="auto"/>
          <w:sz w:val="24"/>
          <w:szCs w:val="24"/>
          <w:highlight w:val="none"/>
        </w:rPr>
        <w:t>1.3.2 响应速度要求</w:t>
      </w:r>
    </w:p>
    <w:p>
      <w:pPr>
        <w:pStyle w:val="19"/>
        <w:spacing w:line="360" w:lineRule="auto"/>
        <w:ind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1)</w:t>
      </w:r>
      <w:r>
        <w:rPr>
          <w:rFonts w:hint="eastAsia" w:ascii="宋体" w:hAnsi="宋体" w:cs="宋体"/>
          <w:color w:val="auto"/>
          <w:sz w:val="24"/>
          <w:szCs w:val="24"/>
          <w:highlight w:val="none"/>
        </w:rPr>
        <w:tab/>
      </w:r>
      <w:r>
        <w:rPr>
          <w:rFonts w:hint="eastAsia" w:ascii="宋体" w:hAnsi="宋体" w:cs="宋体"/>
          <w:color w:val="auto"/>
          <w:sz w:val="24"/>
          <w:szCs w:val="24"/>
          <w:highlight w:val="none"/>
        </w:rPr>
        <w:t>TPS估算为60。</w:t>
      </w:r>
    </w:p>
    <w:p>
      <w:pPr>
        <w:pStyle w:val="19"/>
        <w:spacing w:line="360" w:lineRule="auto"/>
        <w:ind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2)</w:t>
      </w:r>
      <w:r>
        <w:rPr>
          <w:rFonts w:hint="eastAsia" w:ascii="宋体" w:hAnsi="宋体" w:cs="宋体"/>
          <w:color w:val="auto"/>
          <w:sz w:val="24"/>
          <w:szCs w:val="24"/>
          <w:highlight w:val="none"/>
        </w:rPr>
        <w:tab/>
      </w:r>
      <w:r>
        <w:rPr>
          <w:rFonts w:hint="eastAsia" w:ascii="宋体" w:hAnsi="宋体" w:cs="宋体"/>
          <w:color w:val="auto"/>
          <w:sz w:val="24"/>
          <w:szCs w:val="24"/>
          <w:highlight w:val="none"/>
        </w:rPr>
        <w:t>平均响应时间：1～3（秒）。</w:t>
      </w:r>
    </w:p>
    <w:p>
      <w:pPr>
        <w:pStyle w:val="19"/>
        <w:spacing w:line="360" w:lineRule="auto"/>
        <w:ind w:firstLine="840" w:firstLineChars="350"/>
        <w:rPr>
          <w:rFonts w:ascii="宋体" w:hAnsi="宋体" w:cs="宋体"/>
          <w:color w:val="auto"/>
          <w:sz w:val="24"/>
          <w:szCs w:val="24"/>
          <w:highlight w:val="none"/>
        </w:rPr>
      </w:pPr>
      <w:r>
        <w:rPr>
          <w:rFonts w:hint="eastAsia" w:ascii="宋体" w:hAnsi="宋体" w:cs="宋体"/>
          <w:color w:val="auto"/>
          <w:sz w:val="24"/>
          <w:szCs w:val="24"/>
          <w:highlight w:val="none"/>
        </w:rPr>
        <w:t>峰值响应时间：3～5（秒）。</w:t>
      </w:r>
    </w:p>
    <w:p>
      <w:pPr>
        <w:pStyle w:val="19"/>
        <w:spacing w:line="360" w:lineRule="auto"/>
        <w:rPr>
          <w:rFonts w:ascii="宋体" w:hAnsi="宋体" w:cs="宋体"/>
          <w:color w:val="auto"/>
          <w:sz w:val="24"/>
          <w:szCs w:val="24"/>
          <w:highlight w:val="none"/>
        </w:rPr>
      </w:pPr>
      <w:r>
        <w:rPr>
          <w:rFonts w:hint="eastAsia" w:ascii="宋体" w:hAnsi="宋体" w:cs="宋体"/>
          <w:color w:val="auto"/>
          <w:sz w:val="24"/>
          <w:szCs w:val="24"/>
          <w:highlight w:val="none"/>
        </w:rPr>
        <w:t>1.3.3 友好性和兼容性要求</w:t>
      </w:r>
    </w:p>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应用系统界面友好，充分考虑用户的使用特点，使用户工作简单、方便、快捷。系统应支持IE9以上（包括）浏览器，同时能够兼容FireFox、Chrome等主流浏览器。</w:t>
      </w:r>
    </w:p>
    <w:p>
      <w:pPr>
        <w:pStyle w:val="19"/>
        <w:spacing w:line="360" w:lineRule="auto"/>
        <w:ind w:left="0" w:leftChars="0" w:firstLine="482" w:firstLineChars="200"/>
        <w:rPr>
          <w:rFonts w:ascii="宋体" w:hAnsi="宋体" w:cs="宋体"/>
          <w:color w:val="auto"/>
          <w:sz w:val="24"/>
          <w:szCs w:val="24"/>
          <w:highlight w:val="none"/>
        </w:rPr>
      </w:pPr>
      <w:r>
        <w:rPr>
          <w:rFonts w:ascii="宋体" w:hAnsi="宋体" w:cs="宋体"/>
          <w:b/>
          <w:color w:val="auto"/>
          <w:sz w:val="24"/>
          <w:szCs w:val="24"/>
          <w:highlight w:val="none"/>
        </w:rPr>
        <w:t>1.4 上线、运行要求</w:t>
      </w:r>
    </w:p>
    <w:p>
      <w:pPr>
        <w:pStyle w:val="19"/>
        <w:spacing w:line="360" w:lineRule="auto"/>
        <w:ind w:left="0" w:leftChars="0" w:firstLine="480" w:firstLineChars="200"/>
        <w:rPr>
          <w:rFonts w:ascii="宋体" w:hAnsi="宋体" w:cs="宋体"/>
          <w:color w:val="auto"/>
          <w:sz w:val="24"/>
          <w:szCs w:val="24"/>
          <w:highlight w:val="none"/>
        </w:rPr>
      </w:pPr>
      <w:r>
        <w:rPr>
          <w:rFonts w:ascii="宋体" w:hAnsi="宋体" w:cs="宋体"/>
          <w:color w:val="auto"/>
          <w:sz w:val="24"/>
          <w:szCs w:val="24"/>
          <w:highlight w:val="none"/>
        </w:rPr>
        <w:t>1</w:t>
      </w:r>
      <w:r>
        <w:rPr>
          <w:rFonts w:hint="eastAsia" w:ascii="宋体" w:hAnsi="宋体" w:cs="宋体"/>
          <w:color w:val="auto"/>
          <w:sz w:val="24"/>
          <w:szCs w:val="24"/>
          <w:highlight w:val="none"/>
        </w:rPr>
        <w:t>.</w:t>
      </w:r>
      <w:r>
        <w:rPr>
          <w:rFonts w:ascii="宋体" w:hAnsi="宋体" w:cs="宋体"/>
          <w:color w:val="auto"/>
          <w:sz w:val="24"/>
          <w:szCs w:val="24"/>
          <w:highlight w:val="none"/>
        </w:rPr>
        <w:t>4</w:t>
      </w:r>
      <w:r>
        <w:rPr>
          <w:rFonts w:hint="eastAsia" w:ascii="宋体" w:hAnsi="宋体" w:cs="宋体"/>
          <w:color w:val="auto"/>
          <w:sz w:val="24"/>
          <w:szCs w:val="24"/>
          <w:highlight w:val="none"/>
        </w:rPr>
        <w:t>.1 系统上线与初验要求</w:t>
      </w:r>
    </w:p>
    <w:p>
      <w:pPr>
        <w:pStyle w:val="19"/>
        <w:spacing w:line="360" w:lineRule="auto"/>
        <w:ind w:left="0" w:leftChars="0" w:firstLine="480" w:firstLineChars="200"/>
        <w:rPr>
          <w:color w:val="auto"/>
          <w:sz w:val="24"/>
          <w:szCs w:val="24"/>
          <w:highlight w:val="none"/>
        </w:rPr>
      </w:pPr>
      <w:r>
        <w:rPr>
          <w:color w:val="auto"/>
          <w:sz w:val="24"/>
          <w:szCs w:val="24"/>
          <w:highlight w:val="none"/>
        </w:rPr>
        <w:t>完成系统建设、安全测评和软件测评后，按甲方要求进行数据准备、培训、业务规范、权限管理等，系统进行初验。</w:t>
      </w:r>
    </w:p>
    <w:p>
      <w:pPr>
        <w:pStyle w:val="19"/>
        <w:spacing w:line="360" w:lineRule="auto"/>
        <w:ind w:left="0" w:leftChars="0" w:firstLine="480" w:firstLineChars="200"/>
        <w:rPr>
          <w:rFonts w:ascii="宋体" w:hAnsi="宋体" w:cs="宋体"/>
          <w:color w:val="auto"/>
          <w:sz w:val="24"/>
          <w:szCs w:val="24"/>
          <w:highlight w:val="none"/>
        </w:rPr>
      </w:pPr>
      <w:r>
        <w:rPr>
          <w:rFonts w:ascii="宋体" w:hAnsi="宋体" w:cs="宋体"/>
          <w:color w:val="auto"/>
          <w:sz w:val="24"/>
          <w:szCs w:val="24"/>
          <w:highlight w:val="none"/>
        </w:rPr>
        <w:t>1</w:t>
      </w:r>
      <w:r>
        <w:rPr>
          <w:rFonts w:hint="eastAsia" w:ascii="宋体" w:hAnsi="宋体" w:cs="宋体"/>
          <w:color w:val="auto"/>
          <w:sz w:val="24"/>
          <w:szCs w:val="24"/>
          <w:highlight w:val="none"/>
        </w:rPr>
        <w:t>.</w:t>
      </w:r>
      <w:r>
        <w:rPr>
          <w:rFonts w:ascii="宋体" w:hAnsi="宋体" w:cs="宋体"/>
          <w:color w:val="auto"/>
          <w:sz w:val="24"/>
          <w:szCs w:val="24"/>
          <w:highlight w:val="none"/>
        </w:rPr>
        <w:t>4</w:t>
      </w:r>
      <w:r>
        <w:rPr>
          <w:rFonts w:hint="eastAsia" w:ascii="宋体" w:hAnsi="宋体" w:cs="宋体"/>
          <w:color w:val="auto"/>
          <w:sz w:val="24"/>
          <w:szCs w:val="24"/>
          <w:highlight w:val="none"/>
        </w:rPr>
        <w:t>.2 试运行、终验要求</w:t>
      </w:r>
    </w:p>
    <w:p>
      <w:pPr>
        <w:pStyle w:val="19"/>
        <w:spacing w:line="360" w:lineRule="auto"/>
        <w:ind w:left="0" w:leftChars="0" w:firstLine="480" w:firstLineChars="200"/>
        <w:rPr>
          <w:color w:val="auto"/>
          <w:sz w:val="24"/>
          <w:szCs w:val="24"/>
          <w:highlight w:val="none"/>
        </w:rPr>
      </w:pPr>
      <w:r>
        <w:rPr>
          <w:color w:val="auto"/>
          <w:sz w:val="24"/>
          <w:szCs w:val="24"/>
          <w:highlight w:val="none"/>
        </w:rPr>
        <w:t>系统在初验后，系统上线试运行三个月，期间按甲方要求完善应用、优化系统，所有性能指标达到技术规范书的要求时，可进行最终验收。若发现问题要进行及时整改。</w:t>
      </w:r>
    </w:p>
    <w:p>
      <w:pPr>
        <w:pStyle w:val="19"/>
        <w:spacing w:line="360" w:lineRule="auto"/>
        <w:ind w:left="0" w:leftChars="0" w:firstLine="480" w:firstLineChars="200"/>
        <w:rPr>
          <w:color w:val="auto"/>
          <w:sz w:val="24"/>
          <w:szCs w:val="24"/>
          <w:highlight w:val="none"/>
        </w:rPr>
      </w:pPr>
      <w:r>
        <w:rPr>
          <w:color w:val="auto"/>
          <w:sz w:val="24"/>
          <w:szCs w:val="24"/>
          <w:highlight w:val="none"/>
        </w:rPr>
        <w:t>在试运行期间，如系统出现重大问题，则试运行期从故障修复之日起重新计算，顺延15天，若仍达不到要求，继续顺延，一直到系统连续15天无故障时为止。在全部达到要求时，方可进行最终验收。</w:t>
      </w:r>
    </w:p>
    <w:p>
      <w:pPr>
        <w:pStyle w:val="19"/>
        <w:spacing w:line="360" w:lineRule="auto"/>
        <w:ind w:left="0" w:leftChars="0" w:firstLine="482" w:firstLineChars="200"/>
        <w:rPr>
          <w:rFonts w:ascii="宋体" w:hAnsi="宋体" w:cs="宋体"/>
          <w:color w:val="auto"/>
          <w:sz w:val="24"/>
          <w:szCs w:val="24"/>
          <w:highlight w:val="none"/>
        </w:rPr>
      </w:pPr>
      <w:r>
        <w:rPr>
          <w:rFonts w:ascii="宋体" w:hAnsi="宋体" w:cs="宋体"/>
          <w:b/>
          <w:color w:val="auto"/>
          <w:sz w:val="24"/>
          <w:szCs w:val="24"/>
          <w:highlight w:val="none"/>
        </w:rPr>
        <w:t xml:space="preserve">1.5 </w:t>
      </w:r>
      <w:r>
        <w:rPr>
          <w:rFonts w:hint="eastAsia" w:ascii="宋体" w:hAnsi="宋体" w:cs="宋体"/>
          <w:b/>
          <w:color w:val="auto"/>
          <w:sz w:val="24"/>
          <w:szCs w:val="24"/>
          <w:highlight w:val="none"/>
        </w:rPr>
        <w:t>文档要求</w:t>
      </w:r>
    </w:p>
    <w:p>
      <w:pPr>
        <w:pStyle w:val="19"/>
        <w:spacing w:line="360" w:lineRule="auto"/>
        <w:ind w:left="0" w:leftChars="0" w:firstLine="480" w:firstLineChars="200"/>
        <w:rPr>
          <w:color w:val="auto"/>
          <w:sz w:val="24"/>
          <w:szCs w:val="24"/>
          <w:highlight w:val="none"/>
        </w:rPr>
      </w:pPr>
      <w:r>
        <w:rPr>
          <w:color w:val="auto"/>
          <w:sz w:val="24"/>
          <w:szCs w:val="24"/>
          <w:highlight w:val="none"/>
        </w:rPr>
        <w:t>1）承建方应负责编写本项目有关的建设、运行维护和安全管理方案。</w:t>
      </w:r>
    </w:p>
    <w:p>
      <w:pPr>
        <w:pStyle w:val="19"/>
        <w:spacing w:line="360" w:lineRule="auto"/>
        <w:ind w:left="0" w:leftChars="0" w:firstLine="480" w:firstLineChars="200"/>
        <w:rPr>
          <w:color w:val="auto"/>
          <w:sz w:val="24"/>
          <w:szCs w:val="24"/>
          <w:highlight w:val="none"/>
        </w:rPr>
      </w:pPr>
      <w:r>
        <w:rPr>
          <w:color w:val="auto"/>
          <w:sz w:val="24"/>
          <w:szCs w:val="24"/>
          <w:highlight w:val="none"/>
        </w:rPr>
        <w:t>2）承建方提供的书面技术资料应能满足确保系统正常运行所需的管理、运营及维护有关的全套文件。提供的技术文件至少应包括：软件测试报告、信息安全测评报告、系统测试方案、系统测试用例、系统使用手册、需求规格说明书、项目验收</w:t>
      </w:r>
      <w:r>
        <w:rPr>
          <w:rFonts w:hint="eastAsia"/>
          <w:color w:val="auto"/>
          <w:sz w:val="24"/>
          <w:szCs w:val="24"/>
          <w:highlight w:val="none"/>
        </w:rPr>
        <w:t>报告</w:t>
      </w:r>
      <w:r>
        <w:rPr>
          <w:color w:val="auto"/>
          <w:sz w:val="24"/>
          <w:szCs w:val="24"/>
          <w:highlight w:val="none"/>
        </w:rPr>
        <w:t>、项目建设总结报告、项目建设技术方案。</w:t>
      </w:r>
    </w:p>
    <w:p>
      <w:pPr>
        <w:pStyle w:val="19"/>
        <w:spacing w:line="360" w:lineRule="auto"/>
        <w:ind w:left="0" w:leftChars="0" w:firstLine="480" w:firstLineChars="200"/>
        <w:rPr>
          <w:color w:val="auto"/>
          <w:sz w:val="24"/>
          <w:szCs w:val="24"/>
          <w:highlight w:val="none"/>
        </w:rPr>
      </w:pPr>
      <w:r>
        <w:rPr>
          <w:color w:val="auto"/>
          <w:sz w:val="24"/>
          <w:szCs w:val="24"/>
          <w:highlight w:val="none"/>
        </w:rPr>
        <w:t>3）承建方应向最终用户提供安装调试过程中的各种文档资料,以便业主今后能掌握操作和维护方法。</w:t>
      </w:r>
    </w:p>
    <w:p>
      <w:pPr>
        <w:pStyle w:val="19"/>
        <w:spacing w:line="360" w:lineRule="auto"/>
        <w:ind w:left="0" w:leftChars="0" w:firstLine="480" w:firstLineChars="200"/>
        <w:rPr>
          <w:color w:val="auto"/>
          <w:sz w:val="24"/>
          <w:szCs w:val="24"/>
          <w:highlight w:val="none"/>
        </w:rPr>
      </w:pPr>
      <w:r>
        <w:rPr>
          <w:color w:val="auto"/>
          <w:sz w:val="24"/>
          <w:szCs w:val="24"/>
          <w:highlight w:val="none"/>
        </w:rPr>
        <w:t>4）承建方应列出其所提供的技术资料的详细清单。</w:t>
      </w:r>
    </w:p>
    <w:p>
      <w:pPr>
        <w:pStyle w:val="19"/>
        <w:spacing w:line="360" w:lineRule="auto"/>
        <w:ind w:left="0" w:leftChars="0" w:firstLine="480" w:firstLineChars="200"/>
        <w:rPr>
          <w:color w:val="auto"/>
          <w:sz w:val="24"/>
          <w:szCs w:val="24"/>
          <w:highlight w:val="none"/>
        </w:rPr>
      </w:pPr>
      <w:r>
        <w:rPr>
          <w:color w:val="auto"/>
          <w:sz w:val="24"/>
          <w:szCs w:val="24"/>
          <w:highlight w:val="none"/>
        </w:rPr>
        <w:t>5）承建方提供的技术资料应与其提供的软件相一致，技术资料应该全面、详细。</w:t>
      </w:r>
    </w:p>
    <w:p>
      <w:pPr>
        <w:pStyle w:val="19"/>
        <w:spacing w:line="360" w:lineRule="auto"/>
        <w:ind w:left="0" w:leftChars="0" w:firstLine="480" w:firstLineChars="200"/>
        <w:rPr>
          <w:color w:val="auto"/>
          <w:sz w:val="24"/>
          <w:szCs w:val="24"/>
          <w:highlight w:val="none"/>
        </w:rPr>
      </w:pPr>
      <w:r>
        <w:rPr>
          <w:color w:val="auto"/>
          <w:sz w:val="24"/>
          <w:szCs w:val="24"/>
          <w:highlight w:val="none"/>
        </w:rPr>
        <w:t>6）承建方所提供的技术手册等文件资料应为中文。</w:t>
      </w:r>
    </w:p>
    <w:p>
      <w:pPr>
        <w:pStyle w:val="19"/>
        <w:spacing w:line="360" w:lineRule="auto"/>
        <w:ind w:left="0" w:leftChars="0" w:firstLine="480" w:firstLineChars="200"/>
        <w:rPr>
          <w:color w:val="auto"/>
          <w:sz w:val="24"/>
          <w:szCs w:val="24"/>
          <w:highlight w:val="none"/>
        </w:rPr>
      </w:pPr>
      <w:r>
        <w:rPr>
          <w:color w:val="auto"/>
          <w:sz w:val="24"/>
          <w:szCs w:val="24"/>
          <w:highlight w:val="none"/>
        </w:rPr>
        <w:t>7）承建方提供的技术资料应能够满足用户对投标方所提供的软、硬件设备安装、管理及运行维护等的需求。</w:t>
      </w:r>
    </w:p>
    <w:p>
      <w:pPr>
        <w:pStyle w:val="19"/>
        <w:spacing w:line="360" w:lineRule="auto"/>
        <w:ind w:left="0" w:leftChars="0" w:firstLine="482" w:firstLineChars="200"/>
        <w:rPr>
          <w:rFonts w:ascii="宋体" w:hAnsi="宋体" w:cs="宋体"/>
          <w:color w:val="auto"/>
          <w:sz w:val="24"/>
          <w:szCs w:val="24"/>
          <w:highlight w:val="none"/>
        </w:rPr>
      </w:pPr>
      <w:r>
        <w:rPr>
          <w:rFonts w:ascii="宋体" w:hAnsi="宋体" w:cs="宋体"/>
          <w:b/>
          <w:color w:val="auto"/>
          <w:sz w:val="24"/>
          <w:szCs w:val="24"/>
          <w:highlight w:val="none"/>
        </w:rPr>
        <w:t xml:space="preserve">1.6 </w:t>
      </w:r>
      <w:r>
        <w:rPr>
          <w:rFonts w:hint="eastAsia" w:ascii="宋体" w:hAnsi="宋体" w:cs="宋体"/>
          <w:b/>
          <w:color w:val="auto"/>
          <w:sz w:val="24"/>
          <w:szCs w:val="24"/>
          <w:highlight w:val="none"/>
        </w:rPr>
        <w:t>人员要求</w:t>
      </w:r>
    </w:p>
    <w:p>
      <w:pPr>
        <w:pStyle w:val="19"/>
        <w:spacing w:line="360" w:lineRule="auto"/>
        <w:ind w:left="0" w:leftChars="0" w:firstLine="480" w:firstLineChars="200"/>
        <w:rPr>
          <w:color w:val="auto"/>
          <w:sz w:val="24"/>
          <w:szCs w:val="24"/>
          <w:highlight w:val="none"/>
        </w:rPr>
      </w:pPr>
      <w:r>
        <w:rPr>
          <w:color w:val="auto"/>
          <w:sz w:val="24"/>
          <w:szCs w:val="24"/>
          <w:highlight w:val="none"/>
        </w:rPr>
        <w:t>项目经理需具有高级工程师（或同等认证）证书，项目组成员需包括、系统分析师、数据库工程师等。详细描述其服务机构的组织结构、人员规模、人员构成等，项目人员经验丰富，充分满足和适合项目的需要。承建方应保证项目实施及运行维护期间人员稳定，人员流动比例不超过30%，未经甲方</w:t>
      </w:r>
      <w:r>
        <w:rPr>
          <w:rFonts w:hint="eastAsia"/>
          <w:color w:val="auto"/>
          <w:sz w:val="24"/>
          <w:szCs w:val="24"/>
          <w:highlight w:val="none"/>
        </w:rPr>
        <w:t>书面</w:t>
      </w:r>
      <w:r>
        <w:rPr>
          <w:color w:val="auto"/>
          <w:sz w:val="24"/>
          <w:szCs w:val="24"/>
          <w:highlight w:val="none"/>
        </w:rPr>
        <w:t>同意，项目经理和核心技术人员不得变更。</w:t>
      </w:r>
    </w:p>
    <w:p>
      <w:pPr>
        <w:pStyle w:val="19"/>
        <w:spacing w:line="360" w:lineRule="auto"/>
        <w:ind w:left="0" w:leftChars="0" w:firstLine="482" w:firstLineChars="200"/>
        <w:rPr>
          <w:rFonts w:ascii="宋体" w:hAnsi="宋体" w:cs="宋体"/>
          <w:color w:val="auto"/>
          <w:sz w:val="24"/>
          <w:szCs w:val="24"/>
          <w:highlight w:val="none"/>
        </w:rPr>
      </w:pPr>
      <w:r>
        <w:rPr>
          <w:rFonts w:ascii="宋体" w:hAnsi="宋体" w:cs="宋体"/>
          <w:b/>
          <w:color w:val="auto"/>
          <w:sz w:val="24"/>
          <w:szCs w:val="24"/>
          <w:highlight w:val="none"/>
        </w:rPr>
        <w:t xml:space="preserve">1.7 </w:t>
      </w:r>
      <w:r>
        <w:rPr>
          <w:rFonts w:hint="eastAsia" w:ascii="宋体" w:hAnsi="宋体" w:cs="宋体"/>
          <w:b/>
          <w:color w:val="auto"/>
          <w:sz w:val="24"/>
          <w:szCs w:val="24"/>
          <w:highlight w:val="none"/>
        </w:rPr>
        <w:t>保修及技术服务要求</w:t>
      </w:r>
    </w:p>
    <w:p>
      <w:pPr>
        <w:pStyle w:val="19"/>
        <w:spacing w:line="360" w:lineRule="auto"/>
        <w:ind w:left="0" w:leftChars="0" w:firstLine="480" w:firstLineChars="200"/>
        <w:rPr>
          <w:color w:val="auto"/>
          <w:sz w:val="24"/>
          <w:szCs w:val="24"/>
          <w:highlight w:val="none"/>
        </w:rPr>
      </w:pPr>
      <w:r>
        <w:rPr>
          <w:color w:val="auto"/>
          <w:sz w:val="24"/>
          <w:szCs w:val="24"/>
          <w:highlight w:val="none"/>
        </w:rPr>
        <w:t>1）乙方应当根据实际情况，设置相应的技术支持与售后服务网点，确保甲方能够得到及时优质的售后服务。</w:t>
      </w:r>
    </w:p>
    <w:p>
      <w:pPr>
        <w:pStyle w:val="19"/>
        <w:spacing w:line="360" w:lineRule="auto"/>
        <w:ind w:left="0" w:leftChars="0" w:firstLine="480" w:firstLineChars="200"/>
        <w:rPr>
          <w:color w:val="auto"/>
          <w:sz w:val="24"/>
          <w:szCs w:val="24"/>
          <w:highlight w:val="none"/>
        </w:rPr>
      </w:pPr>
      <w:r>
        <w:rPr>
          <w:color w:val="auto"/>
          <w:sz w:val="24"/>
          <w:szCs w:val="24"/>
          <w:highlight w:val="none"/>
        </w:rPr>
        <w:t>2）设备在保修期内，因系统设计缺陷、设备质量等问题而影响系统正常运行或出现用户无法自行处理的问题，乙方必须提供及时的技术支持。</w:t>
      </w:r>
    </w:p>
    <w:p>
      <w:pPr>
        <w:pStyle w:val="19"/>
        <w:spacing w:line="360" w:lineRule="auto"/>
        <w:ind w:left="0" w:leftChars="0" w:firstLine="480" w:firstLineChars="200"/>
        <w:rPr>
          <w:color w:val="auto"/>
          <w:sz w:val="24"/>
          <w:szCs w:val="24"/>
          <w:highlight w:val="none"/>
        </w:rPr>
      </w:pPr>
      <w:r>
        <w:rPr>
          <w:color w:val="auto"/>
          <w:sz w:val="24"/>
          <w:szCs w:val="24"/>
          <w:highlight w:val="none"/>
        </w:rPr>
        <w:t>3）在保修期内，如果系统发生故障，乙方要调查故障原因并修复直至满足最终验收指标和性能的要求，或者更换整个或部分有缺陷的材料或软件。以上服务都应是免费的。</w:t>
      </w:r>
    </w:p>
    <w:p>
      <w:pPr>
        <w:pStyle w:val="19"/>
        <w:spacing w:line="360" w:lineRule="auto"/>
        <w:ind w:left="0" w:leftChars="0" w:firstLine="480" w:firstLineChars="200"/>
        <w:rPr>
          <w:color w:val="auto"/>
          <w:sz w:val="24"/>
          <w:szCs w:val="24"/>
          <w:highlight w:val="none"/>
        </w:rPr>
      </w:pPr>
      <w:r>
        <w:rPr>
          <w:color w:val="auto"/>
          <w:sz w:val="24"/>
          <w:szCs w:val="24"/>
          <w:highlight w:val="none"/>
        </w:rPr>
        <w:t>4）在保修期内，乙方应提供灵活、多样的通信手段，提供7*24小时的响应服务（响应时间为0.5小时），保证在任何时候甲方人员都能及时找到乙方的工程师。如甲方认为需要，乙方的技术人员应在2小时内赶到现场支持。乙方应书面说明其服务保障体系。其中包括：响应时限、到现场时限、故障修复时限、故障设备的返修时限、现场故障排除响应的具体流程。</w:t>
      </w:r>
    </w:p>
    <w:p>
      <w:pPr>
        <w:pStyle w:val="19"/>
        <w:spacing w:line="360" w:lineRule="auto"/>
        <w:ind w:left="0" w:leftChars="0" w:firstLine="480" w:firstLineChars="200"/>
        <w:rPr>
          <w:color w:val="auto"/>
          <w:sz w:val="24"/>
          <w:szCs w:val="24"/>
          <w:highlight w:val="none"/>
        </w:rPr>
      </w:pPr>
      <w:r>
        <w:rPr>
          <w:color w:val="auto"/>
          <w:sz w:val="24"/>
          <w:szCs w:val="24"/>
          <w:highlight w:val="none"/>
        </w:rPr>
        <w:t>5）乙方必须提供从系统终验签字之日起进入保修服务期，质保期至少为</w:t>
      </w:r>
      <w:r>
        <w:rPr>
          <w:rFonts w:hint="eastAsia"/>
          <w:color w:val="auto"/>
          <w:sz w:val="24"/>
          <w:szCs w:val="24"/>
          <w:highlight w:val="none"/>
        </w:rPr>
        <w:t>一</w:t>
      </w:r>
      <w:r>
        <w:rPr>
          <w:color w:val="auto"/>
          <w:sz w:val="24"/>
          <w:szCs w:val="24"/>
          <w:highlight w:val="none"/>
        </w:rPr>
        <w:t>年。质保范围应包括提供的所有应用系统安装调试服务。在保修期内应提供维修和技术咨询服务，排除所完成系统出现的故障。</w:t>
      </w:r>
    </w:p>
    <w:p>
      <w:pPr>
        <w:pStyle w:val="19"/>
        <w:spacing w:line="360" w:lineRule="auto"/>
        <w:ind w:left="0" w:leftChars="0" w:firstLine="480" w:firstLineChars="200"/>
        <w:rPr>
          <w:color w:val="auto"/>
          <w:sz w:val="24"/>
          <w:szCs w:val="24"/>
          <w:highlight w:val="none"/>
        </w:rPr>
      </w:pPr>
      <w:r>
        <w:rPr>
          <w:color w:val="auto"/>
          <w:sz w:val="24"/>
          <w:szCs w:val="24"/>
          <w:highlight w:val="none"/>
        </w:rPr>
        <w:t>6）乙方应确保其技术建议的可行性以及所集成的软件的完整性，保证软件能够投入正常运行。若出现由于乙方提供的技术支持和服务不全面而导致系统功能无法实现或不能完全实现，由乙方无偿补足，并负全部责任。</w:t>
      </w:r>
    </w:p>
    <w:p>
      <w:pPr>
        <w:pStyle w:val="19"/>
        <w:spacing w:line="360" w:lineRule="auto"/>
        <w:ind w:left="0" w:leftChars="0" w:firstLine="480" w:firstLineChars="200"/>
        <w:rPr>
          <w:color w:val="auto"/>
          <w:sz w:val="24"/>
          <w:szCs w:val="24"/>
          <w:highlight w:val="none"/>
        </w:rPr>
      </w:pPr>
      <w:r>
        <w:rPr>
          <w:color w:val="auto"/>
          <w:sz w:val="24"/>
          <w:szCs w:val="24"/>
          <w:highlight w:val="none"/>
        </w:rPr>
        <w:t>7）由于乙方的原因造成的工期延误等损失，均由乙方赔偿。</w:t>
      </w:r>
    </w:p>
    <w:p>
      <w:pPr>
        <w:pStyle w:val="19"/>
        <w:spacing w:line="360" w:lineRule="auto"/>
        <w:ind w:left="0" w:leftChars="0" w:firstLine="480" w:firstLineChars="200"/>
        <w:rPr>
          <w:color w:val="auto"/>
          <w:sz w:val="24"/>
          <w:szCs w:val="24"/>
          <w:highlight w:val="none"/>
        </w:rPr>
      </w:pPr>
      <w:r>
        <w:rPr>
          <w:color w:val="auto"/>
          <w:sz w:val="24"/>
          <w:szCs w:val="24"/>
          <w:highlight w:val="none"/>
        </w:rPr>
        <w:t>8）整个系统的售后技术支持应仅由乙方独立承担。系统通过终验后，乙方提供不少于</w:t>
      </w:r>
      <w:r>
        <w:rPr>
          <w:rFonts w:hint="eastAsia"/>
          <w:color w:val="auto"/>
          <w:sz w:val="24"/>
          <w:szCs w:val="24"/>
          <w:highlight w:val="none"/>
        </w:rPr>
        <w:t>一</w:t>
      </w:r>
      <w:r>
        <w:rPr>
          <w:color w:val="auto"/>
          <w:sz w:val="24"/>
          <w:szCs w:val="24"/>
          <w:highlight w:val="none"/>
        </w:rPr>
        <w:t>年的驻现场服务。</w:t>
      </w:r>
    </w:p>
    <w:p>
      <w:pPr>
        <w:pStyle w:val="19"/>
        <w:spacing w:line="360" w:lineRule="auto"/>
        <w:ind w:left="0" w:leftChars="0" w:firstLine="482" w:firstLineChars="200"/>
        <w:rPr>
          <w:rFonts w:ascii="宋体" w:hAnsi="宋体" w:cs="宋体"/>
          <w:color w:val="auto"/>
          <w:sz w:val="24"/>
          <w:szCs w:val="24"/>
          <w:highlight w:val="none"/>
        </w:rPr>
      </w:pPr>
      <w:r>
        <w:rPr>
          <w:rFonts w:ascii="宋体" w:hAnsi="宋体" w:cs="宋体"/>
          <w:b/>
          <w:color w:val="auto"/>
          <w:sz w:val="24"/>
          <w:szCs w:val="24"/>
          <w:highlight w:val="none"/>
        </w:rPr>
        <w:t xml:space="preserve">1.8 </w:t>
      </w:r>
      <w:r>
        <w:rPr>
          <w:rFonts w:hint="eastAsia" w:ascii="宋体" w:hAnsi="宋体" w:cs="宋体"/>
          <w:b/>
          <w:color w:val="auto"/>
          <w:sz w:val="24"/>
          <w:szCs w:val="24"/>
          <w:highlight w:val="none"/>
        </w:rPr>
        <w:t>其他相关要求</w:t>
      </w:r>
    </w:p>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安全保护等级</w:t>
      </w:r>
    </w:p>
    <w:p>
      <w:pPr>
        <w:pStyle w:val="19"/>
        <w:spacing w:line="360" w:lineRule="auto"/>
        <w:ind w:left="0" w:leftChars="0" w:firstLine="480" w:firstLineChars="200"/>
        <w:rPr>
          <w:rFonts w:ascii="宋体" w:hAnsi="宋体" w:cs="宋体"/>
          <w:color w:val="auto"/>
          <w:sz w:val="24"/>
          <w:szCs w:val="24"/>
          <w:highlight w:val="none"/>
        </w:rPr>
      </w:pPr>
      <w:r>
        <w:rPr>
          <w:rFonts w:hint="eastAsia" w:ascii="宋体" w:hAnsi="宋体" w:cs="宋体"/>
          <w:color w:val="auto"/>
          <w:sz w:val="24"/>
          <w:szCs w:val="24"/>
          <w:highlight w:val="none"/>
        </w:rPr>
        <w:t>根据《信息安全等级保护管理办法》规定，本系统安全保护等级为第二级。乙方应按照等保二级标准要求进行软件开发工作，应采取行之有效的安全措施，满足等保二级要求。</w:t>
      </w:r>
    </w:p>
    <w:p>
      <w:pPr>
        <w:pStyle w:val="19"/>
        <w:spacing w:line="360" w:lineRule="auto"/>
        <w:ind w:left="0" w:leftChars="0"/>
        <w:rPr>
          <w:rFonts w:ascii="宋体" w:hAnsi="宋体" w:cs="宋体"/>
          <w:color w:val="auto"/>
          <w:sz w:val="24"/>
          <w:szCs w:val="24"/>
          <w:highlight w:val="none"/>
        </w:rPr>
      </w:pPr>
      <w:r>
        <w:rPr>
          <w:rFonts w:hint="eastAsia" w:ascii="宋体" w:hAnsi="宋体" w:cs="宋体"/>
          <w:color w:val="auto"/>
          <w:sz w:val="24"/>
          <w:szCs w:val="24"/>
          <w:highlight w:val="none"/>
        </w:rPr>
        <w:br w:type="page"/>
      </w:r>
    </w:p>
    <w:p>
      <w:pPr>
        <w:spacing w:before="360" w:after="240" w:line="360" w:lineRule="auto"/>
        <w:jc w:val="center"/>
        <w:outlineLvl w:val="0"/>
        <w:rPr>
          <w:rFonts w:ascii="宋体" w:hAnsi="宋体" w:cs="宋体"/>
          <w:b/>
          <w:color w:val="auto"/>
          <w:sz w:val="28"/>
          <w:szCs w:val="28"/>
          <w:highlight w:val="none"/>
        </w:rPr>
      </w:pPr>
      <w:r>
        <w:rPr>
          <w:rFonts w:hint="eastAsia" w:ascii="宋体" w:hAnsi="宋体" w:cs="宋体"/>
          <w:b/>
          <w:color w:val="auto"/>
          <w:sz w:val="28"/>
          <w:szCs w:val="28"/>
          <w:highlight w:val="none"/>
        </w:rPr>
        <w:t xml:space="preserve">第三章  </w:t>
      </w:r>
      <w:bookmarkEnd w:id="189"/>
      <w:bookmarkStart w:id="234" w:name="_Toc332808021"/>
      <w:r>
        <w:rPr>
          <w:rFonts w:hint="eastAsia" w:ascii="宋体" w:hAnsi="宋体" w:cs="宋体"/>
          <w:b/>
          <w:color w:val="auto"/>
          <w:sz w:val="28"/>
          <w:szCs w:val="28"/>
          <w:highlight w:val="none"/>
        </w:rPr>
        <w:t>投标文件格式</w:t>
      </w:r>
      <w:bookmarkEnd w:id="190"/>
      <w:bookmarkEnd w:id="234"/>
      <w:bookmarkStart w:id="235" w:name="_Toc145751423"/>
      <w:bookmarkStart w:id="236" w:name="_Toc119767531"/>
    </w:p>
    <w:p>
      <w:pPr>
        <w:spacing w:before="360" w:after="240" w:line="360" w:lineRule="auto"/>
        <w:outlineLvl w:val="1"/>
        <w:rPr>
          <w:rFonts w:ascii="宋体" w:hAnsi="宋体" w:cs="宋体"/>
          <w:b/>
          <w:color w:val="auto"/>
          <w:sz w:val="24"/>
          <w:highlight w:val="none"/>
        </w:rPr>
      </w:pPr>
      <w:bookmarkStart w:id="237" w:name="_Toc332808022"/>
      <w:bookmarkStart w:id="238" w:name="_Toc21869"/>
      <w:bookmarkStart w:id="239" w:name="_Toc5473"/>
      <w:r>
        <w:rPr>
          <w:rFonts w:hint="eastAsia" w:ascii="宋体" w:hAnsi="宋体" w:cs="宋体"/>
          <w:b/>
          <w:color w:val="auto"/>
          <w:sz w:val="24"/>
          <w:highlight w:val="none"/>
        </w:rPr>
        <w:t>1、供应商提交文件须知</w:t>
      </w:r>
      <w:bookmarkEnd w:id="235"/>
      <w:bookmarkEnd w:id="236"/>
      <w:bookmarkEnd w:id="237"/>
      <w:bookmarkEnd w:id="238"/>
      <w:bookmarkEnd w:id="239"/>
    </w:p>
    <w:p>
      <w:pPr>
        <w:spacing w:before="120" w:line="360" w:lineRule="auto"/>
        <w:ind w:left="720" w:hanging="720" w:hangingChars="300"/>
        <w:jc w:val="left"/>
        <w:textAlignment w:val="baseline"/>
        <w:rPr>
          <w:rFonts w:ascii="宋体" w:hAnsi="宋体" w:cs="宋体"/>
          <w:color w:val="auto"/>
          <w:sz w:val="24"/>
          <w:highlight w:val="none"/>
        </w:rPr>
      </w:pPr>
      <w:r>
        <w:rPr>
          <w:rFonts w:hint="eastAsia" w:ascii="宋体" w:hAnsi="宋体" w:cs="宋体"/>
          <w:color w:val="auto"/>
          <w:sz w:val="24"/>
          <w:highlight w:val="none"/>
        </w:rPr>
        <w:t>1.1   供应商应当严格按照以下《附件目录》的顺序填写和提交规定的全部格式文件以及其它有关资料。由于投标文件编排混乱导致投标文件被误读或者查找不到有效文件的，后果由供应商承担。</w:t>
      </w:r>
    </w:p>
    <w:p>
      <w:pPr>
        <w:spacing w:before="120" w:line="360" w:lineRule="auto"/>
        <w:ind w:left="720" w:hanging="720" w:hangingChars="300"/>
        <w:jc w:val="left"/>
        <w:textAlignment w:val="baseline"/>
        <w:rPr>
          <w:rFonts w:ascii="宋体" w:hAnsi="宋体" w:cs="宋体"/>
          <w:color w:val="auto"/>
          <w:sz w:val="24"/>
          <w:highlight w:val="none"/>
        </w:rPr>
      </w:pPr>
      <w:r>
        <w:rPr>
          <w:rFonts w:hint="eastAsia" w:ascii="宋体" w:hAnsi="宋体" w:cs="宋体"/>
          <w:color w:val="auto"/>
          <w:sz w:val="24"/>
          <w:highlight w:val="none"/>
        </w:rPr>
        <w:t>1.2   所附表格中要求回答的全部问题和信息都必须明确填写。</w:t>
      </w:r>
    </w:p>
    <w:p>
      <w:pPr>
        <w:spacing w:before="120" w:line="360" w:lineRule="auto"/>
        <w:ind w:left="720" w:hanging="720" w:hangingChars="300"/>
        <w:jc w:val="left"/>
        <w:textAlignment w:val="baseline"/>
        <w:rPr>
          <w:rFonts w:ascii="宋体" w:hAnsi="宋体" w:cs="宋体"/>
          <w:color w:val="auto"/>
          <w:sz w:val="24"/>
          <w:highlight w:val="none"/>
        </w:rPr>
      </w:pPr>
      <w:r>
        <w:rPr>
          <w:rFonts w:hint="eastAsia" w:ascii="宋体" w:hAnsi="宋体" w:cs="宋体"/>
          <w:color w:val="auto"/>
          <w:sz w:val="24"/>
          <w:highlight w:val="none"/>
        </w:rPr>
        <w:t>1.3   投标文件应当严格按照招标文件的要求提交，并按规定的统一格式逐项填写，不准有空项；无相应内容可以填的项应当填写“无”、“未测试”、“没有相应指标”等明确的回答文字。</w:t>
      </w:r>
    </w:p>
    <w:p>
      <w:pPr>
        <w:spacing w:before="120" w:line="360" w:lineRule="auto"/>
        <w:ind w:left="720" w:hanging="720" w:hangingChars="300"/>
        <w:jc w:val="left"/>
        <w:textAlignment w:val="baseline"/>
        <w:rPr>
          <w:rFonts w:ascii="宋体" w:hAnsi="宋体" w:cs="宋体"/>
          <w:color w:val="auto"/>
          <w:sz w:val="24"/>
          <w:highlight w:val="none"/>
        </w:rPr>
      </w:pPr>
      <w:r>
        <w:rPr>
          <w:rFonts w:hint="eastAsia" w:ascii="宋体" w:hAnsi="宋体" w:cs="宋体"/>
          <w:color w:val="auto"/>
          <w:sz w:val="24"/>
          <w:highlight w:val="none"/>
        </w:rPr>
        <w:t>1.4   供应商提交的全部格式文件以及其它有关资料应当真实有效、信息准确，否则将以</w:t>
      </w:r>
      <w:r>
        <w:rPr>
          <w:rFonts w:hint="eastAsia" w:ascii="宋体" w:hAnsi="宋体" w:cs="宋体"/>
          <w:color w:val="auto"/>
          <w:sz w:val="24"/>
          <w:highlight w:val="none"/>
          <w:u w:val="single"/>
        </w:rPr>
        <w:t>无效投标</w:t>
      </w:r>
      <w:r>
        <w:rPr>
          <w:rFonts w:hint="eastAsia" w:ascii="宋体" w:hAnsi="宋体" w:cs="宋体"/>
          <w:color w:val="auto"/>
          <w:sz w:val="24"/>
          <w:highlight w:val="none"/>
        </w:rPr>
        <w:t>处理。</w:t>
      </w:r>
    </w:p>
    <w:p>
      <w:pPr>
        <w:spacing w:before="120" w:line="360" w:lineRule="auto"/>
        <w:ind w:left="720" w:hanging="720" w:hangingChars="300"/>
        <w:jc w:val="left"/>
        <w:textAlignment w:val="baseline"/>
        <w:rPr>
          <w:rFonts w:ascii="宋体" w:hAnsi="宋体" w:cs="宋体"/>
          <w:color w:val="auto"/>
          <w:sz w:val="24"/>
          <w:highlight w:val="none"/>
        </w:rPr>
      </w:pPr>
      <w:r>
        <w:rPr>
          <w:rFonts w:hint="eastAsia" w:ascii="宋体" w:hAnsi="宋体" w:cs="宋体"/>
          <w:color w:val="auto"/>
          <w:sz w:val="24"/>
          <w:highlight w:val="none"/>
        </w:rPr>
        <w:t>1.5   供应商提交的全部格式文件以及其它有关资料应当按招标文件的有关规定签字、盖章，否则将以</w:t>
      </w:r>
      <w:r>
        <w:rPr>
          <w:rFonts w:hint="eastAsia" w:ascii="宋体" w:hAnsi="宋体" w:cs="宋体"/>
          <w:color w:val="auto"/>
          <w:sz w:val="24"/>
          <w:highlight w:val="none"/>
          <w:u w:val="single"/>
        </w:rPr>
        <w:t>无效投标</w:t>
      </w:r>
      <w:r>
        <w:rPr>
          <w:rFonts w:hint="eastAsia" w:ascii="宋体" w:hAnsi="宋体" w:cs="宋体"/>
          <w:color w:val="auto"/>
          <w:sz w:val="24"/>
          <w:highlight w:val="none"/>
        </w:rPr>
        <w:t>处理。</w:t>
      </w:r>
    </w:p>
    <w:p>
      <w:pPr>
        <w:spacing w:before="120" w:line="360" w:lineRule="auto"/>
        <w:ind w:left="720" w:hanging="720" w:hangingChars="300"/>
        <w:jc w:val="left"/>
        <w:textAlignment w:val="baseline"/>
        <w:rPr>
          <w:rFonts w:ascii="宋体" w:hAnsi="宋体" w:cs="宋体"/>
          <w:color w:val="auto"/>
          <w:sz w:val="24"/>
          <w:highlight w:val="none"/>
        </w:rPr>
      </w:pPr>
      <w:r>
        <w:rPr>
          <w:rFonts w:hint="eastAsia" w:ascii="宋体" w:hAnsi="宋体" w:cs="宋体"/>
          <w:color w:val="auto"/>
          <w:sz w:val="24"/>
          <w:highlight w:val="none"/>
        </w:rPr>
        <w:t>1.6   评标委员会将依据供应商提交的资料，审查供应商履行合同的能力。</w:t>
      </w:r>
    </w:p>
    <w:p>
      <w:pPr>
        <w:spacing w:before="120" w:line="360" w:lineRule="auto"/>
        <w:ind w:left="720" w:hanging="720" w:hangingChars="300"/>
        <w:jc w:val="left"/>
        <w:textAlignment w:val="baseline"/>
        <w:rPr>
          <w:rFonts w:ascii="宋体" w:hAnsi="宋体" w:cs="宋体"/>
          <w:color w:val="auto"/>
          <w:sz w:val="24"/>
          <w:highlight w:val="none"/>
        </w:rPr>
      </w:pPr>
      <w:r>
        <w:rPr>
          <w:rFonts w:hint="eastAsia" w:ascii="宋体" w:hAnsi="宋体" w:cs="宋体"/>
          <w:color w:val="auto"/>
          <w:sz w:val="24"/>
          <w:highlight w:val="none"/>
        </w:rPr>
        <w:t>1.7   供应商提交的材料将被保密保存，概不退还。</w:t>
      </w:r>
    </w:p>
    <w:p>
      <w:pPr>
        <w:adjustRightInd w:val="0"/>
        <w:spacing w:line="520" w:lineRule="exact"/>
        <w:jc w:val="left"/>
        <w:textAlignment w:val="baseline"/>
        <w:rPr>
          <w:rFonts w:ascii="宋体" w:hAnsi="宋体" w:cs="宋体"/>
          <w:color w:val="auto"/>
          <w:sz w:val="24"/>
          <w:highlight w:val="none"/>
        </w:rPr>
      </w:pPr>
      <w:r>
        <w:rPr>
          <w:rFonts w:hint="eastAsia" w:ascii="宋体" w:hAnsi="宋体" w:cs="宋体"/>
          <w:color w:val="auto"/>
          <w:sz w:val="24"/>
          <w:highlight w:val="none"/>
        </w:rPr>
        <w:t>1.8   全部文件应当按《供应商须知资料表》中规定的语言和份数提交。</w:t>
      </w:r>
    </w:p>
    <w:p>
      <w:pPr>
        <w:spacing w:before="360" w:after="240" w:line="360" w:lineRule="auto"/>
        <w:outlineLvl w:val="1"/>
        <w:rPr>
          <w:rFonts w:ascii="宋体" w:hAnsi="宋体" w:cs="宋体"/>
          <w:b/>
          <w:color w:val="auto"/>
          <w:sz w:val="24"/>
          <w:highlight w:val="none"/>
        </w:rPr>
      </w:pPr>
      <w:bookmarkStart w:id="240" w:name="_Toc332808023"/>
      <w:bookmarkStart w:id="241" w:name="_Toc1528"/>
      <w:bookmarkStart w:id="242" w:name="_Toc2605"/>
      <w:r>
        <w:rPr>
          <w:rFonts w:hint="eastAsia" w:ascii="宋体" w:hAnsi="宋体" w:cs="宋体"/>
          <w:b/>
          <w:color w:val="auto"/>
          <w:sz w:val="24"/>
          <w:highlight w:val="none"/>
        </w:rPr>
        <w:t>2、附件目录</w:t>
      </w:r>
      <w:bookmarkEnd w:id="240"/>
      <w:bookmarkEnd w:id="241"/>
      <w:bookmarkEnd w:id="242"/>
    </w:p>
    <w:p>
      <w:pPr>
        <w:tabs>
          <w:tab w:val="left" w:pos="5580"/>
        </w:tabs>
        <w:spacing w:before="120" w:line="360" w:lineRule="auto"/>
        <w:rPr>
          <w:rFonts w:ascii="宋体" w:hAnsi="宋体" w:cs="宋体"/>
          <w:color w:val="auto"/>
          <w:sz w:val="24"/>
          <w:highlight w:val="none"/>
        </w:rPr>
      </w:pPr>
      <w:r>
        <w:rPr>
          <w:rFonts w:hint="eastAsia" w:ascii="宋体" w:hAnsi="宋体" w:cs="宋体"/>
          <w:color w:val="auto"/>
          <w:sz w:val="24"/>
          <w:highlight w:val="none"/>
        </w:rPr>
        <w:t>附件1——投标书（格式）</w:t>
      </w:r>
    </w:p>
    <w:p>
      <w:pPr>
        <w:tabs>
          <w:tab w:val="left" w:pos="5580"/>
        </w:tabs>
        <w:spacing w:before="120" w:line="360" w:lineRule="auto"/>
        <w:rPr>
          <w:rFonts w:ascii="宋体" w:hAnsi="宋体" w:cs="宋体"/>
          <w:color w:val="auto"/>
          <w:sz w:val="24"/>
          <w:highlight w:val="none"/>
        </w:rPr>
      </w:pPr>
      <w:r>
        <w:rPr>
          <w:rFonts w:hint="eastAsia" w:ascii="宋体" w:hAnsi="宋体" w:cs="宋体"/>
          <w:color w:val="auto"/>
          <w:sz w:val="24"/>
          <w:highlight w:val="none"/>
        </w:rPr>
        <w:t>附件2——开标一览表（格式）</w:t>
      </w:r>
    </w:p>
    <w:p>
      <w:pPr>
        <w:tabs>
          <w:tab w:val="left" w:pos="5580"/>
        </w:tabs>
        <w:spacing w:before="120" w:line="360" w:lineRule="auto"/>
        <w:rPr>
          <w:rFonts w:ascii="宋体" w:hAnsi="宋体" w:cs="宋体"/>
          <w:color w:val="auto"/>
          <w:sz w:val="24"/>
          <w:highlight w:val="none"/>
        </w:rPr>
      </w:pPr>
      <w:r>
        <w:rPr>
          <w:rFonts w:hint="eastAsia" w:ascii="宋体" w:hAnsi="宋体" w:cs="宋体"/>
          <w:color w:val="auto"/>
          <w:sz w:val="24"/>
          <w:highlight w:val="none"/>
        </w:rPr>
        <w:t>附件3——投标分项报价说明表（格式）</w:t>
      </w:r>
    </w:p>
    <w:p>
      <w:pPr>
        <w:tabs>
          <w:tab w:val="left" w:pos="5580"/>
        </w:tabs>
        <w:spacing w:before="120" w:line="360" w:lineRule="auto"/>
        <w:rPr>
          <w:rFonts w:ascii="宋体" w:hAnsi="宋体" w:cs="宋体"/>
          <w:color w:val="auto"/>
          <w:sz w:val="24"/>
          <w:highlight w:val="none"/>
        </w:rPr>
      </w:pPr>
      <w:r>
        <w:rPr>
          <w:rFonts w:hint="eastAsia" w:ascii="宋体" w:hAnsi="宋体" w:cs="宋体"/>
          <w:color w:val="auto"/>
          <w:sz w:val="24"/>
          <w:highlight w:val="none"/>
        </w:rPr>
        <w:t>附件4——供应商技术服务项目偏离表（格式）</w:t>
      </w:r>
    </w:p>
    <w:p>
      <w:pPr>
        <w:tabs>
          <w:tab w:val="left" w:pos="5580"/>
        </w:tabs>
        <w:spacing w:before="120" w:line="360" w:lineRule="auto"/>
        <w:rPr>
          <w:rFonts w:ascii="宋体" w:hAnsi="宋体" w:cs="宋体"/>
          <w:color w:val="auto"/>
          <w:sz w:val="24"/>
          <w:highlight w:val="none"/>
        </w:rPr>
      </w:pPr>
      <w:r>
        <w:rPr>
          <w:rFonts w:hint="eastAsia" w:ascii="宋体" w:hAnsi="宋体" w:cs="宋体"/>
          <w:color w:val="auto"/>
          <w:sz w:val="24"/>
          <w:highlight w:val="none"/>
        </w:rPr>
        <w:t>附件5——商务条款偏离表（格式）</w:t>
      </w:r>
    </w:p>
    <w:p>
      <w:pPr>
        <w:tabs>
          <w:tab w:val="left" w:pos="5580"/>
        </w:tabs>
        <w:spacing w:before="120" w:line="360" w:lineRule="auto"/>
        <w:rPr>
          <w:rFonts w:ascii="宋体" w:hAnsi="宋体" w:cs="宋体"/>
          <w:color w:val="auto"/>
          <w:sz w:val="24"/>
          <w:highlight w:val="none"/>
        </w:rPr>
      </w:pPr>
      <w:r>
        <w:rPr>
          <w:rFonts w:hint="eastAsia" w:ascii="宋体" w:hAnsi="宋体" w:cs="宋体"/>
          <w:color w:val="auto"/>
          <w:sz w:val="24"/>
          <w:highlight w:val="none"/>
        </w:rPr>
        <w:t>附件6——履约保证金保函格式（中标后开具）</w:t>
      </w:r>
    </w:p>
    <w:p>
      <w:pPr>
        <w:tabs>
          <w:tab w:val="left" w:pos="5580"/>
        </w:tabs>
        <w:spacing w:before="120" w:line="360" w:lineRule="auto"/>
        <w:rPr>
          <w:rFonts w:ascii="宋体" w:hAnsi="宋体" w:cs="宋体"/>
          <w:color w:val="auto"/>
          <w:sz w:val="24"/>
          <w:highlight w:val="none"/>
        </w:rPr>
      </w:pPr>
      <w:r>
        <w:rPr>
          <w:rFonts w:hint="eastAsia" w:ascii="宋体" w:hAnsi="宋体" w:cs="宋体"/>
          <w:color w:val="auto"/>
          <w:sz w:val="24"/>
          <w:highlight w:val="none"/>
        </w:rPr>
        <w:t>附件7——资格证明文件, 包括：</w:t>
      </w:r>
    </w:p>
    <w:p>
      <w:pPr>
        <w:tabs>
          <w:tab w:val="left" w:pos="5580"/>
        </w:tabs>
        <w:spacing w:before="120" w:line="360" w:lineRule="auto"/>
        <w:ind w:left="1675" w:leftChars="600" w:hanging="415" w:hangingChars="173"/>
        <w:rPr>
          <w:rFonts w:ascii="宋体" w:hAnsi="宋体" w:cs="宋体"/>
          <w:color w:val="auto"/>
          <w:sz w:val="24"/>
          <w:highlight w:val="none"/>
        </w:rPr>
      </w:pPr>
      <w:r>
        <w:rPr>
          <w:rFonts w:hint="eastAsia" w:ascii="宋体" w:hAnsi="宋体" w:cs="宋体"/>
          <w:color w:val="auto"/>
          <w:sz w:val="24"/>
          <w:highlight w:val="none"/>
        </w:rPr>
        <w:t>7-1 法人营业执照副本</w:t>
      </w:r>
    </w:p>
    <w:p>
      <w:pPr>
        <w:tabs>
          <w:tab w:val="left" w:pos="5580"/>
        </w:tabs>
        <w:spacing w:before="120" w:line="360" w:lineRule="auto"/>
        <w:ind w:left="1675" w:leftChars="600" w:hanging="415" w:hangingChars="173"/>
        <w:rPr>
          <w:rFonts w:ascii="宋体" w:hAnsi="宋体" w:cs="宋体"/>
          <w:color w:val="auto"/>
          <w:sz w:val="24"/>
          <w:highlight w:val="none"/>
        </w:rPr>
      </w:pPr>
      <w:r>
        <w:rPr>
          <w:rFonts w:hint="eastAsia" w:ascii="宋体" w:hAnsi="宋体" w:cs="宋体"/>
          <w:color w:val="auto"/>
          <w:sz w:val="24"/>
          <w:highlight w:val="none"/>
        </w:rPr>
        <w:t>7-2 法定代表人的授权委托书（格式）</w:t>
      </w:r>
    </w:p>
    <w:p>
      <w:pPr>
        <w:tabs>
          <w:tab w:val="left" w:pos="5580"/>
        </w:tabs>
        <w:spacing w:before="120" w:line="360" w:lineRule="auto"/>
        <w:ind w:left="1675" w:leftChars="600" w:hanging="415" w:hangingChars="173"/>
        <w:rPr>
          <w:rFonts w:ascii="宋体" w:hAnsi="宋体" w:cs="宋体"/>
          <w:color w:val="auto"/>
          <w:sz w:val="24"/>
          <w:highlight w:val="none"/>
        </w:rPr>
      </w:pPr>
      <w:r>
        <w:rPr>
          <w:rFonts w:hint="eastAsia" w:ascii="宋体" w:hAnsi="宋体" w:cs="宋体"/>
          <w:color w:val="auto"/>
          <w:sz w:val="24"/>
          <w:highlight w:val="none"/>
        </w:rPr>
        <w:t>7-3 供应商基本情况表（格式）</w:t>
      </w:r>
    </w:p>
    <w:p>
      <w:pPr>
        <w:tabs>
          <w:tab w:val="left" w:pos="5580"/>
        </w:tabs>
        <w:spacing w:before="120" w:line="360" w:lineRule="auto"/>
        <w:ind w:left="1675" w:leftChars="600" w:hanging="415" w:hangingChars="173"/>
        <w:rPr>
          <w:rFonts w:ascii="宋体" w:hAnsi="宋体" w:cs="宋体"/>
          <w:color w:val="auto"/>
          <w:sz w:val="24"/>
          <w:highlight w:val="none"/>
        </w:rPr>
      </w:pPr>
      <w:r>
        <w:rPr>
          <w:rFonts w:hint="eastAsia" w:ascii="宋体" w:hAnsi="宋体" w:cs="宋体"/>
          <w:color w:val="auto"/>
          <w:sz w:val="24"/>
          <w:highlight w:val="none"/>
        </w:rPr>
        <w:t>7-4 供应商财务状况证明文件</w:t>
      </w:r>
    </w:p>
    <w:p>
      <w:pPr>
        <w:tabs>
          <w:tab w:val="left" w:pos="5580"/>
        </w:tabs>
        <w:spacing w:before="120" w:line="360" w:lineRule="auto"/>
        <w:ind w:left="1675" w:leftChars="600" w:hanging="415" w:hangingChars="173"/>
        <w:rPr>
          <w:rFonts w:ascii="宋体" w:hAnsi="宋体" w:cs="宋体"/>
          <w:color w:val="auto"/>
          <w:sz w:val="24"/>
          <w:highlight w:val="none"/>
        </w:rPr>
      </w:pPr>
      <w:r>
        <w:rPr>
          <w:rFonts w:hint="eastAsia" w:ascii="宋体" w:hAnsi="宋体" w:cs="宋体"/>
          <w:color w:val="auto"/>
          <w:sz w:val="24"/>
          <w:highlight w:val="none"/>
        </w:rPr>
        <w:t>7-5 社会保障资金缴纳记录证明文件</w:t>
      </w:r>
    </w:p>
    <w:p>
      <w:pPr>
        <w:tabs>
          <w:tab w:val="left" w:pos="5580"/>
        </w:tabs>
        <w:spacing w:before="120" w:line="360" w:lineRule="auto"/>
        <w:ind w:left="1675" w:leftChars="600" w:hanging="415" w:hangingChars="173"/>
        <w:rPr>
          <w:rFonts w:ascii="宋体" w:hAnsi="宋体" w:cs="宋体"/>
          <w:color w:val="auto"/>
          <w:sz w:val="24"/>
          <w:highlight w:val="none"/>
        </w:rPr>
      </w:pPr>
      <w:r>
        <w:rPr>
          <w:rFonts w:hint="eastAsia" w:ascii="宋体" w:hAnsi="宋体" w:cs="宋体"/>
          <w:color w:val="auto"/>
          <w:sz w:val="24"/>
          <w:highlight w:val="none"/>
        </w:rPr>
        <w:t>7-6 依法缴纳税收记录证明文件</w:t>
      </w:r>
    </w:p>
    <w:p>
      <w:pPr>
        <w:tabs>
          <w:tab w:val="left" w:pos="5580"/>
        </w:tabs>
        <w:spacing w:before="120" w:line="360" w:lineRule="auto"/>
        <w:ind w:left="1675" w:leftChars="600" w:hanging="415" w:hangingChars="173"/>
        <w:rPr>
          <w:rFonts w:ascii="宋体" w:hAnsi="宋体" w:cs="宋体"/>
          <w:color w:val="auto"/>
          <w:sz w:val="24"/>
          <w:highlight w:val="none"/>
        </w:rPr>
      </w:pPr>
      <w:r>
        <w:rPr>
          <w:rFonts w:hint="eastAsia" w:ascii="宋体" w:hAnsi="宋体" w:cs="宋体"/>
          <w:color w:val="auto"/>
          <w:sz w:val="24"/>
          <w:highlight w:val="none"/>
        </w:rPr>
        <w:t>7-7 参加本次政府采购活动前三年内，在经营活动中没有重大违法 记录的书面声明</w:t>
      </w:r>
    </w:p>
    <w:p>
      <w:pPr>
        <w:tabs>
          <w:tab w:val="left" w:pos="5580"/>
        </w:tabs>
        <w:spacing w:before="120" w:line="360" w:lineRule="auto"/>
        <w:ind w:left="1675" w:leftChars="600" w:hanging="415" w:hangingChars="173"/>
        <w:rPr>
          <w:rFonts w:ascii="宋体" w:hAnsi="宋体" w:cs="宋体"/>
          <w:color w:val="auto"/>
          <w:sz w:val="24"/>
          <w:highlight w:val="none"/>
        </w:rPr>
      </w:pPr>
      <w:r>
        <w:rPr>
          <w:rFonts w:hint="eastAsia" w:ascii="宋体" w:hAnsi="宋体" w:cs="宋体"/>
          <w:color w:val="auto"/>
          <w:sz w:val="24"/>
          <w:highlight w:val="none"/>
        </w:rPr>
        <w:t>7-8 招标文件要求的其他资格证明文件（如有）</w:t>
      </w:r>
    </w:p>
    <w:p>
      <w:pPr>
        <w:tabs>
          <w:tab w:val="left" w:pos="5580"/>
        </w:tabs>
        <w:spacing w:before="120"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附件8——服务明细表</w:t>
      </w:r>
    </w:p>
    <w:p>
      <w:pPr>
        <w:tabs>
          <w:tab w:val="left" w:pos="5580"/>
        </w:tabs>
        <w:spacing w:before="120" w:line="360" w:lineRule="auto"/>
        <w:rPr>
          <w:rFonts w:hint="eastAsia" w:ascii="宋体" w:hAnsi="宋体" w:eastAsia="宋体" w:cs="宋体"/>
          <w:color w:val="auto"/>
          <w:sz w:val="24"/>
          <w:highlight w:val="none"/>
        </w:rPr>
      </w:pPr>
      <w:r>
        <w:rPr>
          <w:rFonts w:hint="eastAsia" w:ascii="宋体" w:hAnsi="宋体" w:eastAsia="宋体" w:cs="宋体"/>
          <w:color w:val="auto"/>
          <w:sz w:val="24"/>
          <w:highlight w:val="none"/>
        </w:rPr>
        <w:t>附件9——中标服务费承诺书</w:t>
      </w:r>
    </w:p>
    <w:p>
      <w:pPr>
        <w:spacing w:before="120" w:line="360" w:lineRule="auto"/>
        <w:ind w:left="1200" w:hanging="1200" w:hangingChars="500"/>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lang w:val="en-US" w:eastAsia="zh-CN"/>
        </w:rPr>
        <w:t>附件10-1（1）中小企业声明函（如适用）</w:t>
      </w:r>
    </w:p>
    <w:p>
      <w:pPr>
        <w:spacing w:before="120" w:line="360" w:lineRule="auto"/>
        <w:ind w:left="1200" w:hanging="1200" w:hangingChars="500"/>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lang w:val="en-US" w:eastAsia="zh-CN"/>
        </w:rPr>
        <w:t>附件10-1（2）监狱企业声明函（如适用）</w:t>
      </w:r>
    </w:p>
    <w:p>
      <w:pPr>
        <w:spacing w:before="120" w:line="360" w:lineRule="auto"/>
        <w:ind w:left="1200" w:hanging="1200" w:hangingChars="500"/>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lang w:val="en-US" w:eastAsia="zh-CN"/>
        </w:rPr>
        <w:t>附件10-1（3）残疾人福利性单位声明函（如适用）</w:t>
      </w:r>
    </w:p>
    <w:p>
      <w:pPr>
        <w:spacing w:before="120" w:line="360" w:lineRule="auto"/>
        <w:ind w:left="1200" w:hanging="1200" w:hangingChars="500"/>
        <w:rPr>
          <w:rFonts w:hint="eastAsia" w:ascii="宋体" w:hAnsi="宋体" w:eastAsia="宋体" w:cs="宋体"/>
          <w:b w:val="0"/>
          <w:bCs/>
          <w:color w:val="auto"/>
          <w:sz w:val="24"/>
          <w:highlight w:val="none"/>
        </w:rPr>
      </w:pPr>
      <w:r>
        <w:rPr>
          <w:rFonts w:hint="eastAsia" w:ascii="宋体" w:hAnsi="宋体" w:eastAsia="宋体" w:cs="宋体"/>
          <w:b w:val="0"/>
          <w:bCs/>
          <w:color w:val="auto"/>
          <w:sz w:val="24"/>
          <w:highlight w:val="none"/>
        </w:rPr>
        <w:t>附件10-2</w:t>
      </w:r>
      <w:r>
        <w:rPr>
          <w:rFonts w:hint="eastAsia" w:ascii="宋体" w:hAnsi="宋体" w:eastAsia="宋体" w:cs="宋体"/>
          <w:b w:val="0"/>
          <w:bCs/>
          <w:color w:val="auto"/>
          <w:sz w:val="24"/>
          <w:highlight w:val="none"/>
          <w:lang w:val="en-US" w:eastAsia="zh-CN"/>
        </w:rPr>
        <w:t xml:space="preserve"> </w:t>
      </w:r>
      <w:r>
        <w:rPr>
          <w:rFonts w:hint="eastAsia" w:ascii="宋体" w:hAnsi="宋体" w:eastAsia="宋体" w:cs="宋体"/>
          <w:b w:val="0"/>
          <w:bCs/>
          <w:color w:val="auto"/>
          <w:sz w:val="24"/>
          <w:highlight w:val="none"/>
        </w:rPr>
        <w:t>小型和微型企业/监狱企业/残疾人福利性单位产品一览表</w:t>
      </w:r>
    </w:p>
    <w:p>
      <w:pPr>
        <w:spacing w:before="120" w:line="360" w:lineRule="auto"/>
        <w:ind w:left="1200" w:hanging="1200" w:hangingChars="500"/>
        <w:rPr>
          <w:rFonts w:hint="eastAsia" w:ascii="宋体" w:hAnsi="宋体" w:eastAsia="宋体" w:cs="宋体"/>
          <w:b w:val="0"/>
          <w:bCs/>
          <w:color w:val="auto"/>
          <w:sz w:val="24"/>
          <w:highlight w:val="none"/>
        </w:rPr>
      </w:pPr>
      <w:r>
        <w:rPr>
          <w:rFonts w:hint="eastAsia" w:ascii="宋体" w:hAnsi="宋体" w:eastAsia="宋体" w:cs="宋体"/>
          <w:b w:val="0"/>
          <w:bCs/>
          <w:color w:val="auto"/>
          <w:sz w:val="24"/>
          <w:highlight w:val="none"/>
        </w:rPr>
        <w:t>附件11</w:t>
      </w:r>
      <w:r>
        <w:rPr>
          <w:rFonts w:hint="eastAsia" w:ascii="宋体" w:hAnsi="宋体" w:eastAsia="宋体" w:cs="宋体"/>
          <w:color w:val="auto"/>
          <w:sz w:val="24"/>
          <w:highlight w:val="none"/>
        </w:rPr>
        <w:t>——</w:t>
      </w:r>
      <w:r>
        <w:rPr>
          <w:rFonts w:hint="eastAsia" w:ascii="宋体" w:hAnsi="宋体" w:eastAsia="宋体" w:cs="宋体"/>
          <w:b w:val="0"/>
          <w:bCs/>
          <w:color w:val="auto"/>
          <w:sz w:val="24"/>
          <w:highlight w:val="none"/>
        </w:rPr>
        <w:t>政府采购投标担保函 （项目用）</w:t>
      </w:r>
    </w:p>
    <w:p>
      <w:pPr>
        <w:tabs>
          <w:tab w:val="left" w:pos="5580"/>
        </w:tabs>
        <w:spacing w:before="120" w:line="360" w:lineRule="auto"/>
        <w:rPr>
          <w:rFonts w:hint="eastAsia" w:ascii="宋体" w:hAnsi="宋体" w:cs="宋体"/>
          <w:color w:val="auto"/>
          <w:sz w:val="24"/>
          <w:highlight w:val="none"/>
        </w:rPr>
      </w:pPr>
    </w:p>
    <w:p>
      <w:pPr>
        <w:spacing w:before="120" w:line="360" w:lineRule="auto"/>
        <w:outlineLvl w:val="2"/>
        <w:rPr>
          <w:rFonts w:ascii="宋体" w:hAnsi="宋体" w:cs="宋体"/>
          <w:b/>
          <w:color w:val="auto"/>
          <w:sz w:val="24"/>
          <w:highlight w:val="none"/>
        </w:rPr>
      </w:pPr>
      <w:r>
        <w:rPr>
          <w:rFonts w:hint="eastAsia" w:ascii="宋体" w:hAnsi="宋体" w:cs="宋体"/>
          <w:color w:val="auto"/>
          <w:sz w:val="24"/>
          <w:highlight w:val="none"/>
        </w:rPr>
        <w:br w:type="page"/>
      </w:r>
      <w:bookmarkStart w:id="243" w:name="_Toc30224"/>
      <w:bookmarkStart w:id="244" w:name="_Toc332808024"/>
      <w:bookmarkStart w:id="245" w:name="_Toc26532"/>
      <w:r>
        <w:rPr>
          <w:rFonts w:hint="eastAsia" w:ascii="宋体" w:hAnsi="宋体" w:cs="宋体"/>
          <w:b/>
          <w:color w:val="auto"/>
          <w:sz w:val="24"/>
          <w:highlight w:val="none"/>
        </w:rPr>
        <w:t>附件1</w:t>
      </w:r>
      <w:bookmarkStart w:id="246" w:name="_Hlt520355504"/>
      <w:bookmarkEnd w:id="246"/>
      <w:r>
        <w:rPr>
          <w:rFonts w:hint="eastAsia" w:ascii="宋体" w:hAnsi="宋体" w:cs="宋体"/>
          <w:b/>
          <w:color w:val="auto"/>
          <w:sz w:val="24"/>
          <w:highlight w:val="none"/>
        </w:rPr>
        <w:t xml:space="preserve">                          投标书</w:t>
      </w:r>
      <w:bookmarkEnd w:id="243"/>
      <w:bookmarkEnd w:id="244"/>
      <w:bookmarkEnd w:id="245"/>
    </w:p>
    <w:p>
      <w:pPr>
        <w:spacing w:line="360" w:lineRule="auto"/>
        <w:rPr>
          <w:rFonts w:ascii="宋体" w:hAnsi="宋体" w:cs="宋体"/>
          <w:color w:val="auto"/>
          <w:sz w:val="24"/>
          <w:highlight w:val="none"/>
        </w:rPr>
      </w:pPr>
    </w:p>
    <w:p>
      <w:pPr>
        <w:tabs>
          <w:tab w:val="left" w:pos="5580"/>
        </w:tabs>
        <w:spacing w:before="120" w:line="360" w:lineRule="auto"/>
        <w:rPr>
          <w:rFonts w:ascii="宋体" w:hAnsi="宋体" w:cs="宋体"/>
          <w:color w:val="auto"/>
          <w:sz w:val="24"/>
          <w:highlight w:val="none"/>
        </w:rPr>
      </w:pPr>
      <w:r>
        <w:rPr>
          <w:rFonts w:hint="eastAsia" w:ascii="宋体" w:hAnsi="宋体" w:cs="宋体"/>
          <w:color w:val="auto"/>
          <w:sz w:val="24"/>
          <w:highlight w:val="none"/>
        </w:rPr>
        <w:t>致：北京国际贸易公司</w:t>
      </w:r>
    </w:p>
    <w:p>
      <w:pPr>
        <w:pStyle w:val="11"/>
        <w:tabs>
          <w:tab w:val="left" w:pos="5580"/>
        </w:tabs>
        <w:spacing w:before="120" w:line="360" w:lineRule="auto"/>
        <w:rPr>
          <w:rFonts w:hAnsi="宋体" w:cs="宋体"/>
          <w:color w:val="auto"/>
          <w:sz w:val="24"/>
          <w:szCs w:val="24"/>
          <w:highlight w:val="none"/>
        </w:rPr>
      </w:pPr>
    </w:p>
    <w:p>
      <w:pPr>
        <w:pStyle w:val="11"/>
        <w:tabs>
          <w:tab w:val="left" w:pos="5580"/>
        </w:tabs>
        <w:spacing w:before="120" w:line="360" w:lineRule="auto"/>
        <w:ind w:firstLine="588" w:firstLineChars="245"/>
        <w:rPr>
          <w:rFonts w:hAnsi="宋体" w:cs="宋体"/>
          <w:color w:val="auto"/>
          <w:sz w:val="24"/>
          <w:szCs w:val="24"/>
          <w:highlight w:val="none"/>
        </w:rPr>
      </w:pPr>
      <w:r>
        <w:rPr>
          <w:rFonts w:hint="eastAsia" w:hAnsi="宋体" w:cs="宋体"/>
          <w:color w:val="auto"/>
          <w:sz w:val="24"/>
          <w:szCs w:val="24"/>
          <w:highlight w:val="none"/>
        </w:rPr>
        <w:t>根据贵方发布的(</w:t>
      </w:r>
      <w:r>
        <w:rPr>
          <w:rFonts w:hint="eastAsia" w:hAnsi="宋体" w:cs="宋体"/>
          <w:color w:val="auto"/>
          <w:sz w:val="24"/>
          <w:szCs w:val="24"/>
          <w:highlight w:val="none"/>
          <w:u w:val="single"/>
        </w:rPr>
        <w:t>项目名称</w:t>
      </w:r>
      <w:r>
        <w:rPr>
          <w:rFonts w:hint="eastAsia" w:hAnsi="宋体" w:cs="宋体"/>
          <w:color w:val="auto"/>
          <w:sz w:val="24"/>
          <w:szCs w:val="24"/>
          <w:highlight w:val="none"/>
        </w:rPr>
        <w:t>)招标文件 (</w:t>
      </w:r>
      <w:r>
        <w:rPr>
          <w:rFonts w:hint="eastAsia" w:hAnsi="宋体" w:cs="宋体"/>
          <w:color w:val="auto"/>
          <w:sz w:val="24"/>
          <w:szCs w:val="24"/>
          <w:highlight w:val="none"/>
          <w:u w:val="single"/>
        </w:rPr>
        <w:t xml:space="preserve">招标编号：     </w:t>
      </w:r>
      <w:r>
        <w:rPr>
          <w:rFonts w:hint="eastAsia" w:hAnsi="宋体" w:cs="宋体"/>
          <w:color w:val="auto"/>
          <w:sz w:val="24"/>
          <w:szCs w:val="24"/>
          <w:highlight w:val="none"/>
        </w:rPr>
        <w:t>)的规定,签字代表(</w:t>
      </w:r>
      <w:r>
        <w:rPr>
          <w:rFonts w:hint="eastAsia" w:hAnsi="宋体" w:cs="宋体"/>
          <w:color w:val="auto"/>
          <w:sz w:val="24"/>
          <w:szCs w:val="24"/>
          <w:highlight w:val="none"/>
          <w:u w:val="single"/>
        </w:rPr>
        <w:t>姓名、职务</w:t>
      </w:r>
      <w:r>
        <w:rPr>
          <w:rFonts w:hint="eastAsia" w:hAnsi="宋体" w:cs="宋体"/>
          <w:color w:val="auto"/>
          <w:sz w:val="24"/>
          <w:szCs w:val="24"/>
          <w:highlight w:val="none"/>
        </w:rPr>
        <w:t>)经正式授权并代表供应商（</w:t>
      </w:r>
      <w:r>
        <w:rPr>
          <w:rFonts w:hint="eastAsia" w:hAnsi="宋体" w:cs="宋体"/>
          <w:color w:val="auto"/>
          <w:sz w:val="24"/>
          <w:szCs w:val="24"/>
          <w:highlight w:val="none"/>
          <w:u w:val="single"/>
        </w:rPr>
        <w:t>供应商名称、地址</w:t>
      </w:r>
      <w:r>
        <w:rPr>
          <w:rFonts w:hint="eastAsia" w:hAnsi="宋体" w:cs="宋体"/>
          <w:color w:val="auto"/>
          <w:sz w:val="24"/>
          <w:szCs w:val="24"/>
          <w:highlight w:val="none"/>
        </w:rPr>
        <w:t>）提交下述文件正本一份及副本</w:t>
      </w:r>
      <w:r>
        <w:rPr>
          <w:rFonts w:hint="eastAsia" w:hAnsi="宋体" w:cs="宋体"/>
          <w:color w:val="auto"/>
          <w:sz w:val="24"/>
          <w:szCs w:val="24"/>
          <w:highlight w:val="none"/>
          <w:u w:val="single"/>
        </w:rPr>
        <w:t>　　　</w:t>
      </w:r>
      <w:r>
        <w:rPr>
          <w:rFonts w:hint="eastAsia" w:hAnsi="宋体" w:cs="宋体"/>
          <w:color w:val="auto"/>
          <w:sz w:val="24"/>
          <w:szCs w:val="24"/>
          <w:highlight w:val="none"/>
        </w:rPr>
        <w:t>份：</w:t>
      </w:r>
    </w:p>
    <w:p>
      <w:pPr>
        <w:pStyle w:val="11"/>
        <w:tabs>
          <w:tab w:val="left" w:pos="5580"/>
        </w:tabs>
        <w:spacing w:before="120" w:line="360" w:lineRule="auto"/>
        <w:ind w:left="407" w:leftChars="194" w:firstLine="240" w:firstLineChars="100"/>
        <w:rPr>
          <w:rFonts w:hAnsi="宋体" w:cs="宋体"/>
          <w:color w:val="auto"/>
          <w:sz w:val="24"/>
          <w:szCs w:val="24"/>
          <w:highlight w:val="none"/>
        </w:rPr>
      </w:pPr>
      <w:r>
        <w:rPr>
          <w:rFonts w:hint="eastAsia" w:hAnsi="宋体" w:cs="宋体"/>
          <w:color w:val="auto"/>
          <w:sz w:val="24"/>
          <w:szCs w:val="24"/>
          <w:highlight w:val="none"/>
        </w:rPr>
        <w:t>1.开标一览表</w:t>
      </w:r>
    </w:p>
    <w:p>
      <w:pPr>
        <w:pStyle w:val="11"/>
        <w:tabs>
          <w:tab w:val="left" w:pos="5580"/>
        </w:tabs>
        <w:spacing w:before="120" w:line="360" w:lineRule="auto"/>
        <w:ind w:left="407" w:leftChars="194" w:firstLine="240" w:firstLineChars="100"/>
        <w:rPr>
          <w:rFonts w:hAnsi="宋体" w:cs="宋体"/>
          <w:color w:val="auto"/>
          <w:sz w:val="24"/>
          <w:szCs w:val="24"/>
          <w:highlight w:val="none"/>
        </w:rPr>
      </w:pPr>
      <w:r>
        <w:rPr>
          <w:rFonts w:hint="eastAsia" w:hAnsi="宋体" w:cs="宋体"/>
          <w:color w:val="auto"/>
          <w:sz w:val="24"/>
          <w:szCs w:val="24"/>
          <w:highlight w:val="none"/>
        </w:rPr>
        <w:t>2.投标分项报价说明表</w:t>
      </w:r>
    </w:p>
    <w:p>
      <w:pPr>
        <w:pStyle w:val="11"/>
        <w:tabs>
          <w:tab w:val="left" w:pos="5580"/>
        </w:tabs>
        <w:spacing w:before="120" w:line="360" w:lineRule="auto"/>
        <w:ind w:left="407" w:leftChars="194" w:firstLine="240" w:firstLineChars="100"/>
        <w:rPr>
          <w:rFonts w:hAnsi="宋体" w:cs="宋体"/>
          <w:color w:val="auto"/>
          <w:sz w:val="24"/>
          <w:szCs w:val="24"/>
          <w:highlight w:val="none"/>
        </w:rPr>
      </w:pPr>
      <w:r>
        <w:rPr>
          <w:rFonts w:hint="eastAsia" w:hAnsi="宋体" w:cs="宋体"/>
          <w:color w:val="auto"/>
          <w:sz w:val="24"/>
          <w:szCs w:val="24"/>
          <w:highlight w:val="none"/>
        </w:rPr>
        <w:t>3.技术规格偏离表</w:t>
      </w:r>
    </w:p>
    <w:p>
      <w:pPr>
        <w:pStyle w:val="11"/>
        <w:tabs>
          <w:tab w:val="left" w:pos="5580"/>
        </w:tabs>
        <w:spacing w:before="120" w:line="360" w:lineRule="auto"/>
        <w:ind w:left="407" w:leftChars="194" w:firstLine="240" w:firstLineChars="100"/>
        <w:rPr>
          <w:rFonts w:hAnsi="宋体" w:cs="宋体"/>
          <w:color w:val="auto"/>
          <w:sz w:val="24"/>
          <w:szCs w:val="24"/>
          <w:highlight w:val="none"/>
        </w:rPr>
      </w:pPr>
      <w:r>
        <w:rPr>
          <w:rFonts w:hint="eastAsia" w:hAnsi="宋体" w:cs="宋体"/>
          <w:color w:val="auto"/>
          <w:sz w:val="24"/>
          <w:szCs w:val="24"/>
          <w:highlight w:val="none"/>
        </w:rPr>
        <w:t>4.商务条款偏离表</w:t>
      </w:r>
    </w:p>
    <w:p>
      <w:pPr>
        <w:pStyle w:val="11"/>
        <w:tabs>
          <w:tab w:val="left" w:pos="5580"/>
        </w:tabs>
        <w:spacing w:before="120" w:line="360" w:lineRule="auto"/>
        <w:ind w:left="407" w:leftChars="194" w:firstLine="240" w:firstLineChars="100"/>
        <w:rPr>
          <w:rFonts w:hAnsi="宋体" w:cs="宋体"/>
          <w:color w:val="auto"/>
          <w:sz w:val="24"/>
          <w:szCs w:val="24"/>
          <w:highlight w:val="none"/>
        </w:rPr>
      </w:pPr>
      <w:r>
        <w:rPr>
          <w:rFonts w:hint="eastAsia" w:hAnsi="宋体" w:cs="宋体"/>
          <w:color w:val="auto"/>
          <w:sz w:val="24"/>
          <w:szCs w:val="24"/>
          <w:highlight w:val="none"/>
        </w:rPr>
        <w:t>5.资格证明文件（附件</w:t>
      </w:r>
      <w:r>
        <w:rPr>
          <w:rFonts w:hint="eastAsia" w:hAnsi="宋体" w:cs="宋体"/>
          <w:color w:val="auto"/>
          <w:sz w:val="24"/>
          <w:szCs w:val="24"/>
          <w:highlight w:val="none"/>
          <w:u w:val="single"/>
        </w:rPr>
        <w:t>　　</w:t>
      </w:r>
      <w:r>
        <w:rPr>
          <w:rFonts w:hint="eastAsia" w:hAnsi="宋体" w:cs="宋体"/>
          <w:color w:val="auto"/>
          <w:sz w:val="24"/>
          <w:szCs w:val="24"/>
          <w:highlight w:val="none"/>
        </w:rPr>
        <w:t>—附件</w:t>
      </w:r>
      <w:r>
        <w:rPr>
          <w:rFonts w:hint="eastAsia" w:hAnsi="宋体" w:cs="宋体"/>
          <w:color w:val="auto"/>
          <w:sz w:val="24"/>
          <w:szCs w:val="24"/>
          <w:highlight w:val="none"/>
          <w:u w:val="single"/>
        </w:rPr>
        <w:t>　　</w:t>
      </w:r>
      <w:r>
        <w:rPr>
          <w:rFonts w:hint="eastAsia" w:hAnsi="宋体" w:cs="宋体"/>
          <w:color w:val="auto"/>
          <w:sz w:val="24"/>
          <w:szCs w:val="24"/>
          <w:highlight w:val="none"/>
        </w:rPr>
        <w:t>）</w:t>
      </w:r>
    </w:p>
    <w:p>
      <w:pPr>
        <w:pStyle w:val="11"/>
        <w:tabs>
          <w:tab w:val="left" w:pos="5580"/>
        </w:tabs>
        <w:spacing w:before="120" w:line="360" w:lineRule="auto"/>
        <w:ind w:left="407" w:leftChars="194" w:firstLine="240" w:firstLineChars="100"/>
        <w:rPr>
          <w:rFonts w:hAnsi="宋体" w:cs="宋体"/>
          <w:color w:val="auto"/>
          <w:sz w:val="24"/>
          <w:szCs w:val="24"/>
          <w:highlight w:val="none"/>
        </w:rPr>
      </w:pPr>
      <w:r>
        <w:rPr>
          <w:rFonts w:hint="eastAsia" w:hAnsi="宋体" w:cs="宋体"/>
          <w:color w:val="auto"/>
          <w:sz w:val="24"/>
          <w:szCs w:val="24"/>
          <w:highlight w:val="none"/>
        </w:rPr>
        <w:t>6.遵守国家有关法律、法规和规章，按招标文件中供应商须知和技术</w:t>
      </w:r>
    </w:p>
    <w:p>
      <w:pPr>
        <w:pStyle w:val="11"/>
        <w:tabs>
          <w:tab w:val="left" w:pos="5580"/>
        </w:tabs>
        <w:spacing w:before="120" w:line="360" w:lineRule="auto"/>
        <w:ind w:firstLine="840" w:firstLineChars="350"/>
        <w:rPr>
          <w:rFonts w:hAnsi="宋体" w:cs="宋体"/>
          <w:color w:val="auto"/>
          <w:sz w:val="24"/>
          <w:szCs w:val="24"/>
          <w:highlight w:val="none"/>
        </w:rPr>
      </w:pPr>
      <w:r>
        <w:rPr>
          <w:rFonts w:hint="eastAsia" w:hAnsi="宋体" w:cs="宋体"/>
          <w:color w:val="auto"/>
          <w:sz w:val="24"/>
          <w:szCs w:val="24"/>
          <w:highlight w:val="none"/>
        </w:rPr>
        <w:t>规格要求提供的有关文件</w:t>
      </w:r>
    </w:p>
    <w:p>
      <w:pPr>
        <w:pStyle w:val="11"/>
        <w:tabs>
          <w:tab w:val="left" w:pos="5580"/>
        </w:tabs>
        <w:spacing w:before="120" w:line="360" w:lineRule="auto"/>
        <w:ind w:left="407" w:leftChars="194" w:firstLine="240" w:firstLineChars="100"/>
        <w:rPr>
          <w:rFonts w:hAnsi="宋体" w:cs="宋体"/>
          <w:color w:val="auto"/>
          <w:sz w:val="24"/>
          <w:szCs w:val="24"/>
          <w:highlight w:val="none"/>
        </w:rPr>
      </w:pPr>
      <w:r>
        <w:rPr>
          <w:rFonts w:hint="eastAsia" w:hAnsi="宋体" w:cs="宋体"/>
          <w:color w:val="auto"/>
          <w:sz w:val="24"/>
          <w:szCs w:val="24"/>
          <w:highlight w:val="none"/>
        </w:rPr>
        <w:t>7.以</w:t>
      </w:r>
      <w:r>
        <w:rPr>
          <w:rFonts w:hint="eastAsia" w:hAnsi="宋体" w:cs="宋体"/>
          <w:color w:val="auto"/>
          <w:sz w:val="24"/>
          <w:szCs w:val="24"/>
          <w:highlight w:val="none"/>
          <w:u w:val="single"/>
        </w:rPr>
        <w:t>　　　</w:t>
      </w:r>
      <w:r>
        <w:rPr>
          <w:rFonts w:hint="eastAsia" w:hAnsi="宋体" w:cs="宋体"/>
          <w:color w:val="auto"/>
          <w:sz w:val="24"/>
          <w:szCs w:val="24"/>
          <w:highlight w:val="none"/>
        </w:rPr>
        <w:t>形式出具的投标保证金，金额为人民币</w:t>
      </w:r>
      <w:r>
        <w:rPr>
          <w:rFonts w:hint="eastAsia" w:hAnsi="宋体" w:cs="宋体"/>
          <w:color w:val="auto"/>
          <w:sz w:val="24"/>
          <w:szCs w:val="24"/>
          <w:highlight w:val="none"/>
          <w:u w:val="single"/>
        </w:rPr>
        <w:t>　　　</w:t>
      </w:r>
      <w:r>
        <w:rPr>
          <w:rFonts w:hint="eastAsia" w:hAnsi="宋体" w:cs="宋体"/>
          <w:color w:val="auto"/>
          <w:sz w:val="24"/>
          <w:szCs w:val="24"/>
          <w:highlight w:val="none"/>
        </w:rPr>
        <w:t>元。</w:t>
      </w:r>
    </w:p>
    <w:p>
      <w:pPr>
        <w:pStyle w:val="11"/>
        <w:tabs>
          <w:tab w:val="left" w:pos="5580"/>
        </w:tabs>
        <w:spacing w:before="120" w:line="360" w:lineRule="auto"/>
        <w:ind w:left="407" w:leftChars="194" w:firstLine="240" w:firstLineChars="100"/>
        <w:rPr>
          <w:rFonts w:hAnsi="宋体" w:cs="宋体"/>
          <w:color w:val="auto"/>
          <w:sz w:val="24"/>
          <w:szCs w:val="24"/>
          <w:highlight w:val="none"/>
        </w:rPr>
      </w:pPr>
      <w:r>
        <w:rPr>
          <w:rFonts w:hint="eastAsia" w:hAnsi="宋体" w:cs="宋体"/>
          <w:color w:val="auto"/>
          <w:sz w:val="24"/>
          <w:szCs w:val="24"/>
          <w:highlight w:val="none"/>
        </w:rPr>
        <w:t>8.中标服务费承诺书</w:t>
      </w:r>
    </w:p>
    <w:p>
      <w:pPr>
        <w:pStyle w:val="11"/>
        <w:tabs>
          <w:tab w:val="left" w:pos="5580"/>
        </w:tabs>
        <w:spacing w:before="120" w:line="360" w:lineRule="auto"/>
        <w:ind w:left="897" w:leftChars="307" w:hanging="252" w:hangingChars="105"/>
        <w:rPr>
          <w:rFonts w:hAnsi="宋体" w:cs="宋体"/>
          <w:color w:val="auto"/>
          <w:sz w:val="24"/>
          <w:szCs w:val="24"/>
          <w:highlight w:val="none"/>
        </w:rPr>
      </w:pPr>
      <w:r>
        <w:rPr>
          <w:rFonts w:hint="eastAsia" w:hAnsi="宋体" w:cs="宋体"/>
          <w:color w:val="auto"/>
          <w:sz w:val="24"/>
          <w:szCs w:val="24"/>
          <w:highlight w:val="none"/>
        </w:rPr>
        <w:t>9.关于售后服务、产品全过程维护、备品、备件及技术支持、培训、维修的承诺。</w:t>
      </w:r>
    </w:p>
    <w:p>
      <w:pPr>
        <w:pStyle w:val="11"/>
        <w:tabs>
          <w:tab w:val="left" w:pos="5580"/>
        </w:tabs>
        <w:spacing w:before="120" w:line="360" w:lineRule="auto"/>
        <w:rPr>
          <w:rFonts w:hAnsi="宋体" w:cs="宋体"/>
          <w:color w:val="auto"/>
          <w:sz w:val="24"/>
          <w:szCs w:val="24"/>
          <w:highlight w:val="none"/>
        </w:rPr>
      </w:pPr>
    </w:p>
    <w:p>
      <w:pPr>
        <w:pStyle w:val="11"/>
        <w:tabs>
          <w:tab w:val="left" w:pos="5580"/>
        </w:tabs>
        <w:spacing w:before="120" w:line="360" w:lineRule="auto"/>
        <w:ind w:left="407" w:leftChars="194" w:firstLine="240" w:firstLineChars="100"/>
        <w:rPr>
          <w:rFonts w:hAnsi="宋体" w:cs="宋体"/>
          <w:color w:val="auto"/>
          <w:sz w:val="24"/>
          <w:szCs w:val="24"/>
          <w:highlight w:val="none"/>
        </w:rPr>
      </w:pPr>
      <w:r>
        <w:rPr>
          <w:rFonts w:hint="eastAsia" w:hAnsi="宋体" w:cs="宋体"/>
          <w:color w:val="auto"/>
          <w:sz w:val="24"/>
          <w:szCs w:val="24"/>
          <w:highlight w:val="none"/>
        </w:rPr>
        <w:t>据此，供应商宣布同意如下：</w:t>
      </w:r>
    </w:p>
    <w:p>
      <w:pPr>
        <w:pStyle w:val="11"/>
        <w:numPr>
          <w:ilvl w:val="0"/>
          <w:numId w:val="12"/>
        </w:numPr>
        <w:tabs>
          <w:tab w:val="left" w:pos="720"/>
          <w:tab w:val="left" w:pos="900"/>
        </w:tabs>
        <w:spacing w:before="120" w:line="360" w:lineRule="auto"/>
        <w:rPr>
          <w:rFonts w:hAnsi="宋体" w:cs="宋体"/>
          <w:color w:val="auto"/>
          <w:sz w:val="24"/>
          <w:szCs w:val="24"/>
          <w:highlight w:val="none"/>
        </w:rPr>
      </w:pPr>
      <w:r>
        <w:rPr>
          <w:rFonts w:hint="eastAsia" w:hAnsi="宋体" w:cs="宋体"/>
          <w:color w:val="auto"/>
          <w:sz w:val="24"/>
          <w:szCs w:val="24"/>
          <w:highlight w:val="none"/>
        </w:rPr>
        <w:t>附投标价格表中规定的应当提交和交付的货物及招标代理服务费投标总价为人民币</w:t>
      </w:r>
      <w:r>
        <w:rPr>
          <w:rFonts w:hint="eastAsia" w:hAnsi="宋体" w:cs="宋体"/>
          <w:color w:val="auto"/>
          <w:sz w:val="24"/>
          <w:szCs w:val="24"/>
          <w:highlight w:val="none"/>
          <w:u w:val="single"/>
        </w:rPr>
        <w:t>　　　　　　　　　　　</w:t>
      </w:r>
      <w:r>
        <w:rPr>
          <w:rFonts w:hint="eastAsia" w:hAnsi="宋体" w:cs="宋体"/>
          <w:color w:val="auto"/>
          <w:sz w:val="24"/>
          <w:szCs w:val="24"/>
          <w:highlight w:val="none"/>
        </w:rPr>
        <w:t>（用文字和数字表示的投标总价）。</w:t>
      </w:r>
    </w:p>
    <w:p>
      <w:pPr>
        <w:pStyle w:val="11"/>
        <w:tabs>
          <w:tab w:val="left" w:pos="5580"/>
        </w:tabs>
        <w:spacing w:before="120" w:line="360" w:lineRule="auto"/>
        <w:ind w:firstLine="600" w:firstLineChars="250"/>
        <w:rPr>
          <w:rFonts w:hAnsi="宋体" w:cs="宋体"/>
          <w:color w:val="auto"/>
          <w:sz w:val="24"/>
          <w:szCs w:val="24"/>
          <w:highlight w:val="none"/>
        </w:rPr>
      </w:pPr>
      <w:r>
        <w:rPr>
          <w:rFonts w:hint="eastAsia" w:hAnsi="宋体" w:cs="宋体"/>
          <w:color w:val="auto"/>
          <w:sz w:val="24"/>
          <w:szCs w:val="24"/>
          <w:highlight w:val="none"/>
        </w:rPr>
        <w:t>（2）供应商将按招标文件的规定履行合同义务。</w:t>
      </w:r>
    </w:p>
    <w:p>
      <w:pPr>
        <w:pStyle w:val="11"/>
        <w:tabs>
          <w:tab w:val="left" w:pos="5580"/>
        </w:tabs>
        <w:spacing w:before="120" w:line="360" w:lineRule="auto"/>
        <w:ind w:firstLine="600" w:firstLineChars="250"/>
        <w:rPr>
          <w:rFonts w:hAnsi="宋体" w:cs="宋体"/>
          <w:color w:val="auto"/>
          <w:sz w:val="24"/>
          <w:szCs w:val="24"/>
          <w:highlight w:val="none"/>
        </w:rPr>
      </w:pPr>
      <w:r>
        <w:rPr>
          <w:rFonts w:hint="eastAsia" w:hAnsi="宋体" w:cs="宋体"/>
          <w:color w:val="auto"/>
          <w:sz w:val="24"/>
          <w:szCs w:val="24"/>
          <w:highlight w:val="none"/>
        </w:rPr>
        <w:t>（3）供应商已详细阅读了全部招标文件的内容，包括第</w:t>
      </w:r>
      <w:r>
        <w:rPr>
          <w:rFonts w:hint="eastAsia" w:hAnsi="宋体" w:cs="宋体"/>
          <w:color w:val="auto"/>
          <w:sz w:val="24"/>
          <w:szCs w:val="24"/>
          <w:highlight w:val="none"/>
          <w:u w:val="single"/>
        </w:rPr>
        <w:t xml:space="preserve">       号（招</w:t>
      </w:r>
    </w:p>
    <w:p>
      <w:pPr>
        <w:pStyle w:val="11"/>
        <w:tabs>
          <w:tab w:val="left" w:pos="5580"/>
        </w:tabs>
        <w:spacing w:before="120" w:line="360" w:lineRule="auto"/>
        <w:rPr>
          <w:rFonts w:hAnsi="宋体" w:cs="宋体"/>
          <w:color w:val="auto"/>
          <w:sz w:val="24"/>
          <w:szCs w:val="24"/>
          <w:highlight w:val="none"/>
        </w:rPr>
      </w:pPr>
      <w:r>
        <w:rPr>
          <w:rFonts w:hint="eastAsia" w:hAnsi="宋体" w:cs="宋体"/>
          <w:color w:val="auto"/>
          <w:sz w:val="24"/>
          <w:szCs w:val="24"/>
          <w:highlight w:val="none"/>
          <w:u w:val="single"/>
        </w:rPr>
        <w:t>标编号、补充通知）（如果有的话</w:t>
      </w:r>
      <w:r>
        <w:rPr>
          <w:rFonts w:hint="eastAsia" w:hAnsi="宋体" w:cs="宋体"/>
          <w:color w:val="auto"/>
          <w:sz w:val="24"/>
          <w:szCs w:val="24"/>
          <w:highlight w:val="none"/>
        </w:rPr>
        <w:t>）。由于供应商自身未能正确理解招标文件相关内容而产生的责任和造成的损失，将供应商自行承担。</w:t>
      </w:r>
    </w:p>
    <w:p>
      <w:pPr>
        <w:pStyle w:val="11"/>
        <w:tabs>
          <w:tab w:val="left" w:pos="5580"/>
        </w:tabs>
        <w:spacing w:before="120" w:line="360" w:lineRule="auto"/>
        <w:ind w:firstLine="600" w:firstLineChars="250"/>
        <w:rPr>
          <w:rFonts w:hAnsi="宋体" w:cs="宋体"/>
          <w:color w:val="auto"/>
          <w:sz w:val="24"/>
          <w:szCs w:val="24"/>
          <w:highlight w:val="none"/>
        </w:rPr>
      </w:pPr>
      <w:r>
        <w:rPr>
          <w:rFonts w:hint="eastAsia" w:hAnsi="宋体" w:cs="宋体"/>
          <w:color w:val="auto"/>
          <w:sz w:val="24"/>
          <w:szCs w:val="24"/>
          <w:highlight w:val="none"/>
        </w:rPr>
        <w:t>（4）本投标有效期为自开标日起（）个日历日。</w:t>
      </w:r>
    </w:p>
    <w:p>
      <w:pPr>
        <w:pStyle w:val="11"/>
        <w:tabs>
          <w:tab w:val="left" w:pos="5580"/>
        </w:tabs>
        <w:spacing w:before="120" w:line="360" w:lineRule="auto"/>
        <w:ind w:firstLine="600" w:firstLineChars="250"/>
        <w:rPr>
          <w:rFonts w:hAnsi="宋体" w:cs="宋体"/>
          <w:color w:val="auto"/>
          <w:sz w:val="24"/>
          <w:szCs w:val="24"/>
          <w:highlight w:val="none"/>
        </w:rPr>
      </w:pPr>
      <w:r>
        <w:rPr>
          <w:rFonts w:hint="eastAsia" w:hAnsi="宋体" w:cs="宋体"/>
          <w:color w:val="auto"/>
          <w:sz w:val="24"/>
          <w:szCs w:val="24"/>
          <w:highlight w:val="none"/>
        </w:rPr>
        <w:t>（5）在规定的开标时间后，供应商保证遵守招标文件中有关保证金的规定。</w:t>
      </w:r>
    </w:p>
    <w:p>
      <w:pPr>
        <w:pStyle w:val="11"/>
        <w:tabs>
          <w:tab w:val="left" w:pos="5580"/>
        </w:tabs>
        <w:spacing w:before="120" w:line="360" w:lineRule="auto"/>
        <w:ind w:firstLine="600" w:firstLineChars="250"/>
        <w:rPr>
          <w:rFonts w:hAnsi="宋体" w:cs="宋体"/>
          <w:color w:val="auto"/>
          <w:sz w:val="24"/>
          <w:szCs w:val="24"/>
          <w:highlight w:val="none"/>
        </w:rPr>
      </w:pPr>
      <w:r>
        <w:rPr>
          <w:rFonts w:hint="eastAsia" w:hAnsi="宋体" w:cs="宋体"/>
          <w:color w:val="auto"/>
          <w:sz w:val="24"/>
          <w:szCs w:val="24"/>
          <w:highlight w:val="none"/>
        </w:rPr>
        <w:t>（6）根据供应商须知规定，我方承诺，与招标采购单位聘请的为此项目提供咨询服务的公司及任何附属机构均无关联，我方不是招标采购单位的附属机构。</w:t>
      </w:r>
    </w:p>
    <w:p>
      <w:pPr>
        <w:pStyle w:val="11"/>
        <w:tabs>
          <w:tab w:val="left" w:pos="5580"/>
        </w:tabs>
        <w:spacing w:before="120" w:line="360" w:lineRule="auto"/>
        <w:ind w:firstLine="600" w:firstLineChars="250"/>
        <w:rPr>
          <w:rFonts w:hAnsi="宋体" w:cs="宋体"/>
          <w:color w:val="auto"/>
          <w:sz w:val="24"/>
          <w:szCs w:val="24"/>
          <w:highlight w:val="none"/>
        </w:rPr>
      </w:pPr>
      <w:r>
        <w:rPr>
          <w:rFonts w:hint="eastAsia" w:hAnsi="宋体" w:cs="宋体"/>
          <w:color w:val="auto"/>
          <w:sz w:val="24"/>
          <w:szCs w:val="24"/>
          <w:highlight w:val="none"/>
        </w:rPr>
        <w:t>（7）供应商同意提供按照贵方要求的与其投标有关的一切数据或者资料；完全理解贵方不一定接受最低价的投标或者不一定接受收到的任何投标。</w:t>
      </w:r>
    </w:p>
    <w:p>
      <w:pPr>
        <w:pStyle w:val="11"/>
        <w:tabs>
          <w:tab w:val="left" w:pos="5580"/>
        </w:tabs>
        <w:spacing w:before="120" w:line="360" w:lineRule="auto"/>
        <w:ind w:firstLine="600" w:firstLineChars="250"/>
        <w:rPr>
          <w:rFonts w:hAnsi="宋体" w:cs="宋体"/>
          <w:color w:val="auto"/>
          <w:sz w:val="24"/>
          <w:szCs w:val="24"/>
          <w:highlight w:val="none"/>
        </w:rPr>
      </w:pPr>
      <w:r>
        <w:rPr>
          <w:rFonts w:hint="eastAsia" w:hAnsi="宋体" w:cs="宋体"/>
          <w:color w:val="auto"/>
          <w:sz w:val="24"/>
          <w:szCs w:val="24"/>
          <w:highlight w:val="none"/>
        </w:rPr>
        <w:t>（8）与本投标有关的一切正式往来信函请寄：</w:t>
      </w:r>
    </w:p>
    <w:p>
      <w:pPr>
        <w:pStyle w:val="11"/>
        <w:tabs>
          <w:tab w:val="left" w:pos="5580"/>
        </w:tabs>
        <w:spacing w:before="120" w:line="360" w:lineRule="auto"/>
        <w:ind w:left="420" w:leftChars="200" w:firstLine="360" w:firstLineChars="150"/>
        <w:rPr>
          <w:rFonts w:hAnsi="宋体" w:cs="宋体"/>
          <w:color w:val="auto"/>
          <w:sz w:val="24"/>
          <w:szCs w:val="24"/>
          <w:highlight w:val="none"/>
        </w:rPr>
      </w:pPr>
    </w:p>
    <w:p>
      <w:pPr>
        <w:pStyle w:val="11"/>
        <w:tabs>
          <w:tab w:val="left" w:pos="5580"/>
        </w:tabs>
        <w:spacing w:before="120" w:line="360" w:lineRule="auto"/>
        <w:ind w:left="420" w:leftChars="200" w:firstLine="360" w:firstLineChars="150"/>
        <w:rPr>
          <w:rFonts w:hAnsi="宋体" w:cs="宋体"/>
          <w:color w:val="auto"/>
          <w:sz w:val="24"/>
          <w:szCs w:val="24"/>
          <w:highlight w:val="none"/>
        </w:rPr>
      </w:pPr>
      <w:r>
        <w:rPr>
          <w:rFonts w:hint="eastAsia" w:hAnsi="宋体" w:cs="宋体"/>
          <w:color w:val="auto"/>
          <w:sz w:val="24"/>
          <w:szCs w:val="24"/>
          <w:highlight w:val="none"/>
        </w:rPr>
        <w:t>地址:</w:t>
      </w:r>
      <w:r>
        <w:rPr>
          <w:rFonts w:hint="eastAsia" w:hAnsi="宋体" w:cs="宋体"/>
          <w:color w:val="auto"/>
          <w:sz w:val="24"/>
          <w:szCs w:val="24"/>
          <w:highlight w:val="none"/>
          <w:u w:val="single"/>
        </w:rPr>
        <w:tab/>
      </w:r>
    </w:p>
    <w:p>
      <w:pPr>
        <w:pStyle w:val="11"/>
        <w:tabs>
          <w:tab w:val="left" w:pos="5580"/>
        </w:tabs>
        <w:spacing w:before="120" w:line="360" w:lineRule="auto"/>
        <w:ind w:left="420"/>
        <w:rPr>
          <w:rFonts w:hAnsi="宋体" w:cs="宋体"/>
          <w:color w:val="auto"/>
          <w:sz w:val="24"/>
          <w:szCs w:val="24"/>
          <w:highlight w:val="none"/>
        </w:rPr>
      </w:pPr>
      <w:r>
        <w:rPr>
          <w:rFonts w:hint="eastAsia" w:hAnsi="宋体" w:cs="宋体"/>
          <w:color w:val="auto"/>
          <w:sz w:val="24"/>
          <w:szCs w:val="24"/>
          <w:highlight w:val="none"/>
        </w:rPr>
        <w:t xml:space="preserve">   传真:</w:t>
      </w:r>
      <w:r>
        <w:rPr>
          <w:rFonts w:hint="eastAsia" w:hAnsi="宋体" w:cs="宋体"/>
          <w:color w:val="auto"/>
          <w:sz w:val="24"/>
          <w:szCs w:val="24"/>
          <w:highlight w:val="none"/>
          <w:u w:val="single"/>
        </w:rPr>
        <w:tab/>
      </w:r>
    </w:p>
    <w:p>
      <w:pPr>
        <w:pStyle w:val="11"/>
        <w:tabs>
          <w:tab w:val="left" w:pos="5580"/>
        </w:tabs>
        <w:spacing w:before="120" w:line="360" w:lineRule="auto"/>
        <w:ind w:firstLine="720" w:firstLineChars="300"/>
        <w:rPr>
          <w:rFonts w:hAnsi="宋体" w:cs="宋体"/>
          <w:color w:val="auto"/>
          <w:sz w:val="24"/>
          <w:szCs w:val="24"/>
          <w:highlight w:val="none"/>
        </w:rPr>
      </w:pPr>
      <w:r>
        <w:rPr>
          <w:rFonts w:hint="eastAsia" w:hAnsi="宋体" w:cs="宋体"/>
          <w:color w:val="auto"/>
          <w:sz w:val="24"/>
          <w:szCs w:val="24"/>
          <w:highlight w:val="none"/>
        </w:rPr>
        <w:t>电话：</w:t>
      </w:r>
      <w:r>
        <w:rPr>
          <w:rFonts w:hint="eastAsia" w:hAnsi="宋体" w:cs="宋体"/>
          <w:color w:val="auto"/>
          <w:sz w:val="24"/>
          <w:szCs w:val="24"/>
          <w:highlight w:val="none"/>
          <w:u w:val="single"/>
        </w:rPr>
        <w:tab/>
      </w:r>
      <w:r>
        <w:rPr>
          <w:rFonts w:hint="eastAsia" w:hAnsi="宋体" w:cs="宋体"/>
          <w:color w:val="auto"/>
          <w:sz w:val="24"/>
          <w:szCs w:val="24"/>
          <w:highlight w:val="none"/>
        </w:rPr>
        <w:t xml:space="preserve">_     </w:t>
      </w:r>
    </w:p>
    <w:p>
      <w:pPr>
        <w:pStyle w:val="11"/>
        <w:tabs>
          <w:tab w:val="left" w:pos="5580"/>
        </w:tabs>
        <w:spacing w:before="120" w:line="360" w:lineRule="auto"/>
        <w:ind w:firstLine="720" w:firstLineChars="300"/>
        <w:rPr>
          <w:rFonts w:hAnsi="宋体" w:cs="宋体"/>
          <w:color w:val="auto"/>
          <w:sz w:val="24"/>
          <w:szCs w:val="24"/>
          <w:highlight w:val="none"/>
        </w:rPr>
      </w:pPr>
      <w:r>
        <w:rPr>
          <w:rFonts w:hint="eastAsia" w:hAnsi="宋体" w:cs="宋体"/>
          <w:color w:val="auto"/>
          <w:sz w:val="24"/>
          <w:szCs w:val="24"/>
          <w:highlight w:val="none"/>
        </w:rPr>
        <w:t>电子函件：</w:t>
      </w:r>
      <w:r>
        <w:rPr>
          <w:rFonts w:hint="eastAsia" w:hAnsi="宋体" w:cs="宋体"/>
          <w:color w:val="auto"/>
          <w:sz w:val="24"/>
          <w:szCs w:val="24"/>
          <w:highlight w:val="none"/>
          <w:u w:val="single"/>
        </w:rPr>
        <w:tab/>
      </w:r>
    </w:p>
    <w:p>
      <w:pPr>
        <w:pStyle w:val="11"/>
        <w:tabs>
          <w:tab w:val="left" w:pos="5580"/>
        </w:tabs>
        <w:spacing w:before="120" w:line="360" w:lineRule="auto"/>
        <w:ind w:left="420" w:leftChars="200" w:firstLine="360" w:firstLineChars="150"/>
        <w:rPr>
          <w:rFonts w:hAnsi="宋体" w:cs="宋体"/>
          <w:color w:val="auto"/>
          <w:sz w:val="24"/>
          <w:szCs w:val="24"/>
          <w:highlight w:val="none"/>
        </w:rPr>
      </w:pPr>
    </w:p>
    <w:p>
      <w:pPr>
        <w:pStyle w:val="11"/>
        <w:tabs>
          <w:tab w:val="left" w:pos="5580"/>
        </w:tabs>
        <w:spacing w:before="120" w:line="360" w:lineRule="auto"/>
        <w:ind w:left="420" w:leftChars="200" w:firstLine="360" w:firstLineChars="150"/>
        <w:rPr>
          <w:rFonts w:hAnsi="宋体" w:cs="宋体"/>
          <w:color w:val="auto"/>
          <w:sz w:val="24"/>
          <w:szCs w:val="24"/>
          <w:highlight w:val="none"/>
        </w:rPr>
      </w:pPr>
      <w:r>
        <w:rPr>
          <w:rFonts w:hint="eastAsia" w:hAnsi="宋体" w:cs="宋体"/>
          <w:color w:val="auto"/>
          <w:sz w:val="24"/>
          <w:szCs w:val="24"/>
          <w:highlight w:val="none"/>
        </w:rPr>
        <w:t>供应商名称（全称）：</w:t>
      </w:r>
      <w:r>
        <w:rPr>
          <w:rFonts w:hint="eastAsia" w:hAnsi="宋体" w:cs="宋体"/>
          <w:color w:val="auto"/>
          <w:sz w:val="24"/>
          <w:szCs w:val="24"/>
          <w:highlight w:val="none"/>
          <w:u w:val="single"/>
        </w:rPr>
        <w:tab/>
      </w:r>
    </w:p>
    <w:p>
      <w:pPr>
        <w:pStyle w:val="11"/>
        <w:tabs>
          <w:tab w:val="left" w:pos="5580"/>
        </w:tabs>
        <w:spacing w:before="120" w:line="360" w:lineRule="auto"/>
        <w:ind w:left="420" w:leftChars="200" w:firstLine="360" w:firstLineChars="150"/>
        <w:rPr>
          <w:rFonts w:hAnsi="宋体" w:cs="宋体"/>
          <w:color w:val="auto"/>
          <w:sz w:val="24"/>
          <w:szCs w:val="24"/>
          <w:highlight w:val="none"/>
        </w:rPr>
      </w:pPr>
    </w:p>
    <w:p>
      <w:pPr>
        <w:pStyle w:val="11"/>
        <w:tabs>
          <w:tab w:val="left" w:pos="5580"/>
        </w:tabs>
        <w:spacing w:before="120" w:line="360" w:lineRule="auto"/>
        <w:ind w:left="420" w:leftChars="200" w:firstLine="360" w:firstLineChars="150"/>
        <w:rPr>
          <w:rFonts w:hAnsi="宋体" w:cs="宋体"/>
          <w:color w:val="auto"/>
          <w:sz w:val="24"/>
          <w:szCs w:val="24"/>
          <w:highlight w:val="none"/>
        </w:rPr>
      </w:pPr>
      <w:r>
        <w:rPr>
          <w:rFonts w:hint="eastAsia" w:hAnsi="宋体" w:cs="宋体"/>
          <w:color w:val="auto"/>
          <w:sz w:val="24"/>
          <w:szCs w:val="24"/>
          <w:highlight w:val="none"/>
        </w:rPr>
        <w:t>供应商单位公章：</w:t>
      </w:r>
      <w:r>
        <w:rPr>
          <w:rFonts w:hint="eastAsia" w:hAnsi="宋体" w:cs="宋体"/>
          <w:color w:val="auto"/>
          <w:sz w:val="24"/>
          <w:szCs w:val="24"/>
          <w:highlight w:val="none"/>
          <w:u w:val="single"/>
        </w:rPr>
        <w:tab/>
      </w:r>
    </w:p>
    <w:p>
      <w:pPr>
        <w:pStyle w:val="11"/>
        <w:tabs>
          <w:tab w:val="left" w:pos="5580"/>
        </w:tabs>
        <w:spacing w:before="120" w:line="360" w:lineRule="auto"/>
        <w:ind w:left="420" w:leftChars="200" w:firstLine="360" w:firstLineChars="150"/>
        <w:rPr>
          <w:rFonts w:hAnsi="宋体" w:cs="宋体"/>
          <w:color w:val="auto"/>
          <w:sz w:val="24"/>
          <w:szCs w:val="24"/>
          <w:highlight w:val="none"/>
        </w:rPr>
      </w:pPr>
    </w:p>
    <w:p>
      <w:pPr>
        <w:pStyle w:val="11"/>
        <w:tabs>
          <w:tab w:val="left" w:pos="5585"/>
        </w:tabs>
        <w:spacing w:before="120" w:line="360" w:lineRule="auto"/>
        <w:ind w:left="420" w:leftChars="200" w:firstLine="360" w:firstLineChars="150"/>
        <w:rPr>
          <w:rFonts w:hAnsi="宋体" w:cs="宋体"/>
          <w:color w:val="auto"/>
          <w:sz w:val="24"/>
          <w:szCs w:val="24"/>
          <w:highlight w:val="none"/>
        </w:rPr>
      </w:pPr>
      <w:r>
        <w:rPr>
          <w:rFonts w:hint="eastAsia" w:hAnsi="宋体" w:cs="宋体"/>
          <w:color w:val="auto"/>
          <w:sz w:val="24"/>
          <w:szCs w:val="24"/>
          <w:highlight w:val="none"/>
        </w:rPr>
        <w:t>供应商授权代表签字：</w:t>
      </w:r>
      <w:r>
        <w:rPr>
          <w:rFonts w:hint="eastAsia" w:hAnsi="宋体" w:cs="宋体"/>
          <w:color w:val="auto"/>
          <w:sz w:val="24"/>
          <w:szCs w:val="24"/>
          <w:highlight w:val="none"/>
          <w:u w:val="single"/>
        </w:rPr>
        <w:tab/>
      </w:r>
    </w:p>
    <w:p>
      <w:pPr>
        <w:pStyle w:val="11"/>
        <w:tabs>
          <w:tab w:val="left" w:pos="5585"/>
        </w:tabs>
        <w:spacing w:before="120" w:line="360" w:lineRule="auto"/>
        <w:ind w:left="420" w:leftChars="200" w:firstLine="360" w:firstLineChars="150"/>
        <w:rPr>
          <w:rFonts w:hAnsi="宋体" w:cs="宋体"/>
          <w:color w:val="auto"/>
          <w:sz w:val="24"/>
          <w:szCs w:val="24"/>
          <w:highlight w:val="none"/>
        </w:rPr>
      </w:pPr>
      <w:r>
        <w:rPr>
          <w:rFonts w:hint="eastAsia" w:hAnsi="宋体" w:cs="宋体"/>
          <w:color w:val="auto"/>
          <w:sz w:val="24"/>
          <w:szCs w:val="24"/>
          <w:highlight w:val="none"/>
        </w:rPr>
        <w:t>供应商开户银行（全称）：</w:t>
      </w:r>
      <w:r>
        <w:rPr>
          <w:rFonts w:hint="eastAsia" w:hAnsi="宋体" w:cs="宋体"/>
          <w:color w:val="auto"/>
          <w:sz w:val="24"/>
          <w:szCs w:val="24"/>
          <w:highlight w:val="none"/>
          <w:u w:val="single"/>
        </w:rPr>
        <w:tab/>
      </w:r>
    </w:p>
    <w:p>
      <w:pPr>
        <w:pStyle w:val="11"/>
        <w:tabs>
          <w:tab w:val="left" w:pos="5580"/>
        </w:tabs>
        <w:spacing w:before="120" w:line="360" w:lineRule="auto"/>
        <w:ind w:left="420" w:leftChars="200" w:firstLine="360" w:firstLineChars="150"/>
        <w:rPr>
          <w:rFonts w:hAnsi="宋体" w:cs="宋体"/>
          <w:color w:val="auto"/>
          <w:sz w:val="24"/>
          <w:szCs w:val="24"/>
          <w:highlight w:val="none"/>
        </w:rPr>
      </w:pPr>
      <w:r>
        <w:rPr>
          <w:rFonts w:hint="eastAsia" w:hAnsi="宋体" w:cs="宋体"/>
          <w:color w:val="auto"/>
          <w:sz w:val="24"/>
          <w:szCs w:val="24"/>
          <w:highlight w:val="none"/>
        </w:rPr>
        <w:t>供应商银行帐号：</w:t>
      </w:r>
      <w:r>
        <w:rPr>
          <w:rFonts w:hint="eastAsia" w:hAnsi="宋体" w:cs="宋体"/>
          <w:color w:val="auto"/>
          <w:sz w:val="24"/>
          <w:szCs w:val="24"/>
          <w:highlight w:val="none"/>
          <w:u w:val="single"/>
        </w:rPr>
        <w:tab/>
      </w:r>
    </w:p>
    <w:p>
      <w:pPr>
        <w:pStyle w:val="11"/>
        <w:tabs>
          <w:tab w:val="left" w:pos="5460"/>
        </w:tabs>
        <w:spacing w:before="120" w:line="360" w:lineRule="auto"/>
        <w:ind w:left="420" w:leftChars="200" w:firstLine="360" w:firstLineChars="150"/>
        <w:rPr>
          <w:rFonts w:hAnsi="宋体" w:cs="宋体"/>
          <w:b/>
          <w:color w:val="auto"/>
          <w:kern w:val="2"/>
          <w:sz w:val="24"/>
          <w:szCs w:val="24"/>
          <w:highlight w:val="none"/>
        </w:rPr>
      </w:pPr>
      <w:r>
        <w:rPr>
          <w:rFonts w:hint="eastAsia" w:hAnsi="宋体" w:cs="宋体"/>
          <w:color w:val="auto"/>
          <w:sz w:val="24"/>
          <w:szCs w:val="24"/>
          <w:highlight w:val="none"/>
        </w:rPr>
        <w:t>日期：</w:t>
      </w:r>
      <w:r>
        <w:rPr>
          <w:rFonts w:hint="eastAsia" w:hAnsi="宋体" w:cs="宋体"/>
          <w:color w:val="auto"/>
          <w:sz w:val="24"/>
          <w:szCs w:val="24"/>
          <w:highlight w:val="none"/>
          <w:u w:val="single"/>
        </w:rPr>
        <w:tab/>
      </w:r>
      <w:r>
        <w:rPr>
          <w:rFonts w:hint="eastAsia" w:hAnsi="宋体" w:cs="宋体"/>
          <w:color w:val="auto"/>
          <w:sz w:val="24"/>
          <w:highlight w:val="none"/>
        </w:rPr>
        <w:br w:type="page"/>
      </w:r>
      <w:bookmarkStart w:id="247" w:name="_Toc332808025"/>
      <w:bookmarkStart w:id="248" w:name="_Toc145751426"/>
      <w:r>
        <w:rPr>
          <w:rFonts w:hint="eastAsia" w:hAnsi="宋体" w:cs="宋体"/>
          <w:b/>
          <w:color w:val="auto"/>
          <w:kern w:val="2"/>
          <w:sz w:val="24"/>
          <w:szCs w:val="24"/>
          <w:highlight w:val="none"/>
        </w:rPr>
        <w:t>附件2                      开标一览表</w:t>
      </w:r>
      <w:bookmarkEnd w:id="247"/>
      <w:bookmarkEnd w:id="248"/>
    </w:p>
    <w:p>
      <w:pPr>
        <w:rPr>
          <w:rFonts w:ascii="宋体" w:hAnsi="宋体" w:cs="宋体"/>
          <w:color w:val="auto"/>
          <w:sz w:val="28"/>
          <w:highlight w:val="none"/>
        </w:rPr>
      </w:pPr>
      <w:bookmarkStart w:id="249" w:name="_Toc145751427"/>
      <w:bookmarkEnd w:id="249"/>
    </w:p>
    <w:p>
      <w:pPr>
        <w:tabs>
          <w:tab w:val="left" w:pos="1800"/>
          <w:tab w:val="left" w:pos="5580"/>
        </w:tabs>
        <w:spacing w:before="120" w:line="360" w:lineRule="auto"/>
        <w:jc w:val="left"/>
        <w:rPr>
          <w:rFonts w:ascii="宋体" w:hAnsi="宋体" w:cs="宋体"/>
          <w:color w:val="auto"/>
          <w:sz w:val="24"/>
          <w:highlight w:val="none"/>
        </w:rPr>
      </w:pPr>
      <w:bookmarkStart w:id="250" w:name="_Toc145751428"/>
      <w:r>
        <w:rPr>
          <w:rFonts w:hint="eastAsia" w:ascii="宋体" w:hAnsi="宋体" w:cs="宋体"/>
          <w:color w:val="auto"/>
          <w:sz w:val="24"/>
          <w:highlight w:val="none"/>
        </w:rPr>
        <w:t>供应商名称：</w:t>
      </w:r>
      <w:bookmarkEnd w:id="250"/>
      <w:r>
        <w:rPr>
          <w:rFonts w:hint="eastAsia" w:ascii="宋体" w:hAnsi="宋体" w:cs="宋体"/>
          <w:color w:val="auto"/>
          <w:sz w:val="24"/>
          <w:highlight w:val="none"/>
        </w:rPr>
        <w:t xml:space="preserve">  项目名称：招标编号：</w:t>
      </w:r>
    </w:p>
    <w:p>
      <w:pPr>
        <w:tabs>
          <w:tab w:val="left" w:pos="1800"/>
          <w:tab w:val="left" w:pos="5580"/>
        </w:tabs>
        <w:spacing w:before="120" w:line="360" w:lineRule="auto"/>
        <w:jc w:val="left"/>
        <w:rPr>
          <w:rFonts w:ascii="宋体" w:hAnsi="宋体" w:cs="宋体"/>
          <w:color w:val="auto"/>
          <w:sz w:val="24"/>
          <w:highlight w:val="none"/>
        </w:rPr>
      </w:pPr>
    </w:p>
    <w:tbl>
      <w:tblPr>
        <w:tblStyle w:val="28"/>
        <w:tblW w:w="8522"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185"/>
        <w:gridCol w:w="2304"/>
        <w:gridCol w:w="2543"/>
        <w:gridCol w:w="138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15" w:hRule="atLeast"/>
          <w:jc w:val="center"/>
        </w:trPr>
        <w:tc>
          <w:tcPr>
            <w:tcW w:w="1101" w:type="dxa"/>
            <w:vAlign w:val="center"/>
          </w:tcPr>
          <w:p>
            <w:pPr>
              <w:spacing w:before="156" w:beforeLines="50" w:line="360" w:lineRule="auto"/>
              <w:jc w:val="center"/>
              <w:rPr>
                <w:rFonts w:ascii="宋体" w:hAnsi="宋体" w:cs="宋体"/>
                <w:b/>
                <w:color w:val="auto"/>
                <w:sz w:val="24"/>
                <w:highlight w:val="none"/>
              </w:rPr>
            </w:pPr>
            <w:r>
              <w:rPr>
                <w:rFonts w:hint="eastAsia" w:ascii="宋体" w:hAnsi="宋体" w:cs="宋体"/>
                <w:b/>
                <w:color w:val="auto"/>
                <w:sz w:val="24"/>
                <w:highlight w:val="none"/>
              </w:rPr>
              <w:t>包号</w:t>
            </w:r>
          </w:p>
        </w:tc>
        <w:tc>
          <w:tcPr>
            <w:tcW w:w="1185" w:type="dxa"/>
            <w:vAlign w:val="center"/>
          </w:tcPr>
          <w:p>
            <w:pPr>
              <w:spacing w:before="156" w:beforeLines="50" w:line="360" w:lineRule="auto"/>
              <w:jc w:val="center"/>
              <w:rPr>
                <w:rFonts w:ascii="宋体" w:hAnsi="宋体" w:cs="宋体"/>
                <w:b/>
                <w:color w:val="auto"/>
                <w:sz w:val="24"/>
                <w:highlight w:val="none"/>
              </w:rPr>
            </w:pPr>
            <w:r>
              <w:rPr>
                <w:rFonts w:hint="eastAsia" w:ascii="宋体" w:hAnsi="宋体" w:cs="宋体"/>
                <w:b/>
                <w:color w:val="auto"/>
                <w:sz w:val="24"/>
                <w:highlight w:val="none"/>
              </w:rPr>
              <w:t>包名称</w:t>
            </w:r>
          </w:p>
        </w:tc>
        <w:tc>
          <w:tcPr>
            <w:tcW w:w="2304" w:type="dxa"/>
            <w:vAlign w:val="center"/>
          </w:tcPr>
          <w:p>
            <w:pPr>
              <w:spacing w:before="156" w:beforeLines="50" w:line="360" w:lineRule="auto"/>
              <w:jc w:val="center"/>
              <w:rPr>
                <w:rFonts w:ascii="宋体" w:hAnsi="宋体" w:cs="宋体"/>
                <w:b/>
                <w:color w:val="auto"/>
                <w:sz w:val="24"/>
                <w:highlight w:val="none"/>
              </w:rPr>
            </w:pPr>
            <w:r>
              <w:rPr>
                <w:rFonts w:hint="eastAsia" w:ascii="宋体" w:hAnsi="宋体" w:cs="宋体"/>
                <w:b/>
                <w:color w:val="auto"/>
                <w:sz w:val="24"/>
                <w:highlight w:val="none"/>
              </w:rPr>
              <w:t>投标总价</w:t>
            </w:r>
          </w:p>
          <w:p>
            <w:pPr>
              <w:spacing w:before="156" w:beforeLines="50" w:line="360" w:lineRule="auto"/>
              <w:jc w:val="center"/>
              <w:rPr>
                <w:rFonts w:ascii="宋体" w:hAnsi="宋体" w:cs="宋体"/>
                <w:b/>
                <w:color w:val="auto"/>
                <w:sz w:val="24"/>
                <w:highlight w:val="none"/>
              </w:rPr>
            </w:pPr>
            <w:r>
              <w:rPr>
                <w:rFonts w:hint="eastAsia" w:ascii="宋体" w:hAnsi="宋体" w:cs="宋体"/>
                <w:b/>
                <w:color w:val="auto"/>
                <w:sz w:val="24"/>
                <w:highlight w:val="none"/>
              </w:rPr>
              <w:t>（人民币/元）</w:t>
            </w:r>
          </w:p>
        </w:tc>
        <w:tc>
          <w:tcPr>
            <w:tcW w:w="2543" w:type="dxa"/>
            <w:tcBorders>
              <w:right w:val="single" w:color="auto" w:sz="4" w:space="0"/>
            </w:tcBorders>
            <w:vAlign w:val="center"/>
          </w:tcPr>
          <w:p>
            <w:pPr>
              <w:spacing w:before="156" w:beforeLines="50" w:line="360" w:lineRule="auto"/>
              <w:jc w:val="center"/>
              <w:rPr>
                <w:rFonts w:ascii="宋体" w:hAnsi="宋体" w:cs="宋体"/>
                <w:b/>
                <w:color w:val="auto"/>
                <w:sz w:val="24"/>
                <w:highlight w:val="none"/>
              </w:rPr>
            </w:pPr>
            <w:r>
              <w:rPr>
                <w:rFonts w:hint="eastAsia" w:ascii="宋体" w:hAnsi="宋体" w:cs="宋体"/>
                <w:b/>
                <w:color w:val="auto"/>
                <w:sz w:val="24"/>
                <w:highlight w:val="none"/>
              </w:rPr>
              <w:t>投标保证金（有/无）</w:t>
            </w:r>
          </w:p>
        </w:tc>
        <w:tc>
          <w:tcPr>
            <w:tcW w:w="1389" w:type="dxa"/>
            <w:tcBorders>
              <w:left w:val="single" w:color="auto" w:sz="4" w:space="0"/>
            </w:tcBorders>
            <w:vAlign w:val="center"/>
          </w:tcPr>
          <w:p>
            <w:pPr>
              <w:spacing w:before="156" w:beforeLines="50" w:line="360" w:lineRule="auto"/>
              <w:jc w:val="center"/>
              <w:rPr>
                <w:rFonts w:ascii="宋体" w:hAnsi="宋体" w:cs="宋体"/>
                <w:b/>
                <w:color w:val="auto"/>
                <w:sz w:val="24"/>
                <w:highlight w:val="none"/>
              </w:rPr>
            </w:pPr>
            <w:r>
              <w:rPr>
                <w:rFonts w:hint="eastAsia" w:ascii="宋体" w:hAnsi="宋体" w:cs="宋体"/>
                <w:b/>
                <w:color w:val="auto"/>
                <w:sz w:val="24"/>
                <w:highlight w:val="none"/>
              </w:rPr>
              <w:t xml:space="preserve"> 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560" w:hRule="atLeast"/>
          <w:jc w:val="center"/>
        </w:trPr>
        <w:tc>
          <w:tcPr>
            <w:tcW w:w="1101" w:type="dxa"/>
            <w:vAlign w:val="center"/>
          </w:tcPr>
          <w:p>
            <w:pPr>
              <w:spacing w:before="156" w:beforeLines="50" w:line="360" w:lineRule="auto"/>
              <w:jc w:val="center"/>
              <w:rPr>
                <w:rFonts w:ascii="宋体" w:hAnsi="宋体" w:cs="宋体"/>
                <w:b/>
                <w:color w:val="auto"/>
                <w:sz w:val="24"/>
                <w:highlight w:val="none"/>
              </w:rPr>
            </w:pPr>
          </w:p>
        </w:tc>
        <w:tc>
          <w:tcPr>
            <w:tcW w:w="1185" w:type="dxa"/>
          </w:tcPr>
          <w:p>
            <w:pPr>
              <w:spacing w:before="156" w:beforeLines="50" w:line="360" w:lineRule="auto"/>
              <w:ind w:left="-134"/>
              <w:jc w:val="center"/>
              <w:rPr>
                <w:rFonts w:ascii="宋体" w:hAnsi="宋体" w:cs="宋体"/>
                <w:b/>
                <w:color w:val="auto"/>
                <w:sz w:val="24"/>
                <w:highlight w:val="none"/>
              </w:rPr>
            </w:pPr>
          </w:p>
        </w:tc>
        <w:tc>
          <w:tcPr>
            <w:tcW w:w="2304" w:type="dxa"/>
            <w:vAlign w:val="center"/>
          </w:tcPr>
          <w:p>
            <w:pPr>
              <w:spacing w:before="156" w:beforeLines="50" w:line="360" w:lineRule="auto"/>
              <w:ind w:left="-134"/>
              <w:jc w:val="center"/>
              <w:rPr>
                <w:rFonts w:ascii="宋体" w:hAnsi="宋体" w:cs="宋体"/>
                <w:b/>
                <w:color w:val="auto"/>
                <w:sz w:val="24"/>
                <w:highlight w:val="none"/>
              </w:rPr>
            </w:pPr>
          </w:p>
        </w:tc>
        <w:tc>
          <w:tcPr>
            <w:tcW w:w="2543" w:type="dxa"/>
            <w:tcBorders>
              <w:right w:val="single" w:color="auto" w:sz="4" w:space="0"/>
            </w:tcBorders>
            <w:vAlign w:val="center"/>
          </w:tcPr>
          <w:p>
            <w:pPr>
              <w:spacing w:before="156" w:beforeLines="50" w:line="360" w:lineRule="auto"/>
              <w:jc w:val="center"/>
              <w:rPr>
                <w:rFonts w:ascii="宋体" w:hAnsi="宋体" w:cs="宋体"/>
                <w:b/>
                <w:color w:val="auto"/>
                <w:sz w:val="24"/>
                <w:highlight w:val="none"/>
              </w:rPr>
            </w:pPr>
          </w:p>
        </w:tc>
        <w:tc>
          <w:tcPr>
            <w:tcW w:w="1389" w:type="dxa"/>
            <w:tcBorders>
              <w:left w:val="single" w:color="auto" w:sz="4" w:space="0"/>
            </w:tcBorders>
            <w:vAlign w:val="center"/>
          </w:tcPr>
          <w:p>
            <w:pPr>
              <w:spacing w:before="156" w:beforeLines="50" w:line="360" w:lineRule="auto"/>
              <w:jc w:val="center"/>
              <w:rPr>
                <w:rFonts w:ascii="宋体" w:hAnsi="宋体" w:cs="宋体"/>
                <w:b/>
                <w:color w:val="auto"/>
                <w:sz w:val="24"/>
                <w:highlight w:val="none"/>
              </w:rPr>
            </w:pPr>
          </w:p>
        </w:tc>
      </w:tr>
    </w:tbl>
    <w:p>
      <w:pPr>
        <w:pStyle w:val="11"/>
        <w:tabs>
          <w:tab w:val="left" w:pos="5580"/>
        </w:tabs>
        <w:spacing w:before="120" w:line="360" w:lineRule="auto"/>
        <w:rPr>
          <w:rFonts w:hAnsi="宋体" w:cs="宋体"/>
          <w:color w:val="auto"/>
          <w:sz w:val="24"/>
          <w:szCs w:val="24"/>
          <w:highlight w:val="none"/>
        </w:rPr>
      </w:pPr>
    </w:p>
    <w:p>
      <w:pPr>
        <w:pStyle w:val="11"/>
        <w:tabs>
          <w:tab w:val="left" w:pos="5580"/>
        </w:tabs>
        <w:spacing w:before="120" w:line="22" w:lineRule="atLeast"/>
        <w:rPr>
          <w:rFonts w:hAnsi="宋体" w:cs="宋体"/>
          <w:color w:val="auto"/>
          <w:sz w:val="24"/>
          <w:szCs w:val="24"/>
          <w:highlight w:val="none"/>
          <w:u w:val="single"/>
        </w:rPr>
      </w:pPr>
      <w:r>
        <w:rPr>
          <w:rFonts w:hint="eastAsia" w:hAnsi="宋体" w:cs="宋体"/>
          <w:color w:val="auto"/>
          <w:sz w:val="24"/>
          <w:szCs w:val="24"/>
          <w:highlight w:val="none"/>
        </w:rPr>
        <w:t xml:space="preserve">供应商全称：          供应商单位公章： </w:t>
      </w:r>
    </w:p>
    <w:p>
      <w:pPr>
        <w:pStyle w:val="11"/>
        <w:tabs>
          <w:tab w:val="left" w:pos="4965"/>
        </w:tabs>
        <w:spacing w:before="120" w:line="22" w:lineRule="atLeast"/>
        <w:rPr>
          <w:rFonts w:hAnsi="宋体" w:cs="宋体"/>
          <w:color w:val="auto"/>
          <w:sz w:val="24"/>
          <w:szCs w:val="24"/>
          <w:highlight w:val="none"/>
        </w:rPr>
      </w:pPr>
    </w:p>
    <w:p>
      <w:pPr>
        <w:pStyle w:val="11"/>
        <w:tabs>
          <w:tab w:val="left" w:pos="4965"/>
        </w:tabs>
        <w:spacing w:before="120" w:line="22" w:lineRule="atLeast"/>
        <w:rPr>
          <w:rFonts w:hAnsi="宋体" w:cs="宋体"/>
          <w:color w:val="auto"/>
          <w:sz w:val="24"/>
          <w:szCs w:val="24"/>
          <w:highlight w:val="none"/>
        </w:rPr>
      </w:pPr>
      <w:r>
        <w:rPr>
          <w:rFonts w:hint="eastAsia" w:hAnsi="宋体" w:cs="宋体"/>
          <w:color w:val="auto"/>
          <w:sz w:val="24"/>
          <w:szCs w:val="24"/>
          <w:highlight w:val="none"/>
        </w:rPr>
        <w:t xml:space="preserve">供应商地址：  </w:t>
      </w:r>
    </w:p>
    <w:p>
      <w:pPr>
        <w:pStyle w:val="11"/>
        <w:tabs>
          <w:tab w:val="left" w:pos="5580"/>
        </w:tabs>
        <w:spacing w:before="120" w:line="22" w:lineRule="atLeast"/>
        <w:rPr>
          <w:rFonts w:hAnsi="宋体" w:cs="宋体"/>
          <w:color w:val="auto"/>
          <w:sz w:val="24"/>
          <w:szCs w:val="24"/>
          <w:highlight w:val="none"/>
        </w:rPr>
      </w:pPr>
    </w:p>
    <w:p>
      <w:pPr>
        <w:pStyle w:val="11"/>
        <w:tabs>
          <w:tab w:val="left" w:pos="5580"/>
        </w:tabs>
        <w:spacing w:before="120" w:line="22" w:lineRule="atLeast"/>
        <w:rPr>
          <w:rFonts w:hAnsi="宋体" w:cs="宋体"/>
          <w:color w:val="auto"/>
          <w:sz w:val="24"/>
          <w:szCs w:val="24"/>
          <w:highlight w:val="none"/>
        </w:rPr>
      </w:pPr>
      <w:r>
        <w:rPr>
          <w:rFonts w:hint="eastAsia" w:hAnsi="宋体" w:cs="宋体"/>
          <w:color w:val="auto"/>
          <w:sz w:val="24"/>
          <w:szCs w:val="24"/>
          <w:highlight w:val="none"/>
        </w:rPr>
        <w:t xml:space="preserve">供应商授权代表(签字): </w:t>
      </w:r>
      <w:r>
        <w:rPr>
          <w:rFonts w:hint="eastAsia" w:hAnsi="宋体" w:cs="宋体"/>
          <w:color w:val="auto"/>
          <w:sz w:val="24"/>
          <w:szCs w:val="24"/>
          <w:highlight w:val="none"/>
        </w:rPr>
        <w:tab/>
      </w:r>
    </w:p>
    <w:p>
      <w:pPr>
        <w:pStyle w:val="11"/>
        <w:tabs>
          <w:tab w:val="left" w:pos="5580"/>
        </w:tabs>
        <w:spacing w:before="120" w:line="22" w:lineRule="atLeast"/>
        <w:rPr>
          <w:rFonts w:hAnsi="宋体" w:cs="宋体"/>
          <w:color w:val="auto"/>
          <w:sz w:val="24"/>
          <w:szCs w:val="24"/>
          <w:highlight w:val="none"/>
        </w:rPr>
      </w:pPr>
    </w:p>
    <w:p>
      <w:pPr>
        <w:pStyle w:val="11"/>
        <w:tabs>
          <w:tab w:val="left" w:pos="5580"/>
        </w:tabs>
        <w:spacing w:before="120" w:line="360" w:lineRule="auto"/>
        <w:rPr>
          <w:rFonts w:hAnsi="宋体" w:cs="宋体"/>
          <w:color w:val="auto"/>
          <w:sz w:val="24"/>
          <w:szCs w:val="24"/>
          <w:highlight w:val="none"/>
        </w:rPr>
      </w:pPr>
      <w:r>
        <w:rPr>
          <w:rFonts w:hint="eastAsia" w:hAnsi="宋体" w:cs="宋体"/>
          <w:color w:val="auto"/>
          <w:sz w:val="24"/>
          <w:szCs w:val="24"/>
          <w:highlight w:val="none"/>
        </w:rPr>
        <w:t>注:1、开标一览表中投标总价大小写不一致时，以大写为准。</w:t>
      </w:r>
    </w:p>
    <w:p>
      <w:pPr>
        <w:pStyle w:val="11"/>
        <w:tabs>
          <w:tab w:val="left" w:pos="5580"/>
        </w:tabs>
        <w:spacing w:before="120" w:line="360" w:lineRule="auto"/>
        <w:rPr>
          <w:rFonts w:hAnsi="宋体" w:cs="宋体"/>
          <w:color w:val="auto"/>
          <w:sz w:val="24"/>
          <w:szCs w:val="24"/>
          <w:highlight w:val="none"/>
        </w:rPr>
      </w:pPr>
      <w:r>
        <w:rPr>
          <w:rFonts w:hint="eastAsia" w:hAnsi="宋体" w:cs="宋体"/>
          <w:color w:val="auto"/>
          <w:sz w:val="24"/>
          <w:szCs w:val="24"/>
          <w:highlight w:val="none"/>
        </w:rPr>
        <w:t xml:space="preserve">   2、若本项目不分包，则“包号”、“包名称”两栏无须填写。</w:t>
      </w:r>
    </w:p>
    <w:p>
      <w:pPr>
        <w:pStyle w:val="11"/>
        <w:tabs>
          <w:tab w:val="left" w:pos="5580"/>
        </w:tabs>
        <w:spacing w:before="120" w:line="360" w:lineRule="auto"/>
        <w:rPr>
          <w:rFonts w:hAnsi="宋体" w:cs="宋体"/>
          <w:color w:val="auto"/>
          <w:sz w:val="24"/>
          <w:szCs w:val="24"/>
          <w:highlight w:val="none"/>
        </w:rPr>
      </w:pPr>
      <w:r>
        <w:rPr>
          <w:rFonts w:hint="eastAsia" w:hAnsi="宋体" w:cs="宋体"/>
          <w:color w:val="auto"/>
          <w:sz w:val="24"/>
          <w:szCs w:val="24"/>
          <w:highlight w:val="none"/>
        </w:rPr>
        <w:t xml:space="preserve">   3、此表中，投标总价应当和附件3中的总价相一致。</w:t>
      </w:r>
    </w:p>
    <w:p>
      <w:pPr>
        <w:pStyle w:val="11"/>
        <w:tabs>
          <w:tab w:val="left" w:pos="5580"/>
        </w:tabs>
        <w:spacing w:before="120" w:line="360" w:lineRule="auto"/>
        <w:ind w:left="719" w:hanging="360"/>
        <w:rPr>
          <w:rFonts w:hAnsi="宋体" w:cs="宋体"/>
          <w:color w:val="auto"/>
          <w:sz w:val="24"/>
          <w:szCs w:val="24"/>
          <w:highlight w:val="none"/>
        </w:rPr>
      </w:pPr>
      <w:r>
        <w:rPr>
          <w:rFonts w:hint="eastAsia" w:hAnsi="宋体" w:cs="宋体"/>
          <w:color w:val="auto"/>
          <w:sz w:val="24"/>
          <w:szCs w:val="24"/>
          <w:highlight w:val="none"/>
        </w:rPr>
        <w:t>4、此表还应当单独制作一份，并按照“供应商须知”的规定密封标记并单独提交，以供唱标使用。</w:t>
      </w:r>
    </w:p>
    <w:p>
      <w:pPr>
        <w:pStyle w:val="11"/>
        <w:tabs>
          <w:tab w:val="left" w:pos="5580"/>
        </w:tabs>
        <w:spacing w:before="120" w:line="360" w:lineRule="auto"/>
        <w:ind w:left="638" w:hanging="638" w:hangingChars="266"/>
        <w:rPr>
          <w:rFonts w:hAnsi="宋体" w:cs="宋体"/>
          <w:color w:val="auto"/>
          <w:sz w:val="24"/>
          <w:szCs w:val="24"/>
          <w:highlight w:val="none"/>
        </w:rPr>
      </w:pPr>
      <w:r>
        <w:rPr>
          <w:rFonts w:hint="eastAsia" w:hAnsi="宋体" w:cs="宋体"/>
          <w:color w:val="auto"/>
          <w:sz w:val="24"/>
          <w:highlight w:val="none"/>
        </w:rPr>
        <w:t xml:space="preserve">   5、若项目分多包进行招标，则本表须以包为单位分别密封提交，每投一包对 应一份本开标一览表。</w:t>
      </w:r>
    </w:p>
    <w:p>
      <w:pPr>
        <w:rPr>
          <w:rFonts w:ascii="宋体" w:hAnsi="宋体" w:cs="宋体"/>
          <w:b/>
          <w:color w:val="auto"/>
          <w:sz w:val="32"/>
          <w:szCs w:val="32"/>
          <w:highlight w:val="none"/>
        </w:rPr>
      </w:pPr>
    </w:p>
    <w:p>
      <w:pPr>
        <w:spacing w:before="120" w:line="360" w:lineRule="auto"/>
        <w:outlineLvl w:val="2"/>
        <w:rPr>
          <w:rFonts w:ascii="宋体" w:hAnsi="宋体" w:cs="宋体"/>
          <w:b/>
          <w:color w:val="auto"/>
          <w:sz w:val="24"/>
          <w:highlight w:val="none"/>
        </w:rPr>
      </w:pPr>
      <w:r>
        <w:rPr>
          <w:rFonts w:hint="eastAsia" w:ascii="宋体" w:hAnsi="宋体" w:cs="宋体"/>
          <w:color w:val="auto"/>
          <w:sz w:val="24"/>
          <w:highlight w:val="none"/>
          <w:u w:val="single"/>
        </w:rPr>
        <w:br w:type="page"/>
      </w:r>
      <w:bookmarkStart w:id="251" w:name="_Toc27583"/>
      <w:bookmarkStart w:id="252" w:name="_Toc332808026"/>
      <w:bookmarkStart w:id="253" w:name="_Toc7660"/>
      <w:r>
        <w:rPr>
          <w:rFonts w:hint="eastAsia" w:ascii="宋体" w:hAnsi="宋体" w:cs="宋体"/>
          <w:b/>
          <w:color w:val="auto"/>
          <w:sz w:val="24"/>
          <w:highlight w:val="none"/>
        </w:rPr>
        <w:t>附件3　　　　              投标分项报价说明表</w:t>
      </w:r>
      <w:bookmarkEnd w:id="251"/>
      <w:bookmarkEnd w:id="252"/>
      <w:bookmarkEnd w:id="253"/>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spacing w:line="360" w:lineRule="auto"/>
        <w:rPr>
          <w:rFonts w:ascii="宋体" w:hAnsi="宋体" w:cs="宋体"/>
          <w:b/>
          <w:color w:val="auto"/>
          <w:sz w:val="24"/>
          <w:highlight w:val="none"/>
        </w:rPr>
      </w:pPr>
    </w:p>
    <w:p>
      <w:pPr>
        <w:pStyle w:val="11"/>
        <w:spacing w:line="520" w:lineRule="exact"/>
        <w:rPr>
          <w:rFonts w:hAnsi="宋体" w:cs="宋体"/>
          <w:color w:val="auto"/>
          <w:sz w:val="24"/>
          <w:szCs w:val="24"/>
          <w:highlight w:val="none"/>
        </w:rPr>
      </w:pPr>
      <w:r>
        <w:rPr>
          <w:rFonts w:hint="eastAsia" w:hAnsi="宋体" w:cs="宋体"/>
          <w:color w:val="auto"/>
          <w:sz w:val="24"/>
          <w:szCs w:val="24"/>
          <w:highlight w:val="none"/>
        </w:rPr>
        <w:t>供应商授权代表签字：</w:t>
      </w:r>
      <w:r>
        <w:rPr>
          <w:rFonts w:hint="eastAsia" w:hAnsi="宋体" w:cs="宋体"/>
          <w:color w:val="auto"/>
          <w:sz w:val="24"/>
          <w:szCs w:val="24"/>
          <w:highlight w:val="none"/>
        </w:rPr>
        <w:tab/>
      </w:r>
    </w:p>
    <w:p>
      <w:pPr>
        <w:spacing w:line="360" w:lineRule="auto"/>
        <w:rPr>
          <w:rFonts w:ascii="宋体" w:hAnsi="宋体" w:cs="宋体"/>
          <w:b/>
          <w:color w:val="auto"/>
          <w:sz w:val="24"/>
          <w:highlight w:val="none"/>
        </w:rPr>
      </w:pPr>
      <w:r>
        <w:rPr>
          <w:rFonts w:hint="eastAsia" w:ascii="宋体" w:hAnsi="宋体" w:cs="宋体"/>
          <w:color w:val="auto"/>
          <w:sz w:val="24"/>
          <w:highlight w:val="none"/>
        </w:rPr>
        <w:t>供应商(公章):</w:t>
      </w:r>
      <w:r>
        <w:rPr>
          <w:rFonts w:hint="eastAsia" w:ascii="宋体" w:hAnsi="宋体" w:cs="宋体"/>
          <w:bCs/>
          <w:color w:val="auto"/>
          <w:sz w:val="24"/>
          <w:highlight w:val="none"/>
        </w:rPr>
        <w:tab/>
      </w:r>
      <w:r>
        <w:rPr>
          <w:rFonts w:hint="eastAsia" w:ascii="宋体" w:hAnsi="宋体" w:cs="宋体"/>
          <w:bCs/>
          <w:color w:val="auto"/>
          <w:sz w:val="24"/>
          <w:highlight w:val="none"/>
        </w:rPr>
        <w:br w:type="page"/>
      </w:r>
      <w:bookmarkStart w:id="254" w:name="_Toc22046"/>
      <w:bookmarkStart w:id="255" w:name="_Toc2459"/>
      <w:bookmarkStart w:id="256" w:name="_Toc332808027"/>
      <w:r>
        <w:rPr>
          <w:rFonts w:hint="eastAsia" w:ascii="宋体" w:hAnsi="宋体" w:cs="宋体"/>
          <w:b/>
          <w:color w:val="auto"/>
          <w:sz w:val="24"/>
          <w:highlight w:val="none"/>
        </w:rPr>
        <w:t xml:space="preserve">附件4　　　　          </w:t>
      </w:r>
      <w:bookmarkStart w:id="257" w:name="_Toc145751449"/>
      <w:bookmarkStart w:id="258" w:name="_Toc119767559"/>
      <w:r>
        <w:rPr>
          <w:rFonts w:hint="eastAsia" w:ascii="宋体" w:hAnsi="宋体" w:cs="宋体"/>
          <w:b/>
          <w:color w:val="auto"/>
          <w:sz w:val="24"/>
          <w:highlight w:val="none"/>
        </w:rPr>
        <w:t>供应商技术服务项目偏离表</w:t>
      </w:r>
      <w:bookmarkEnd w:id="254"/>
      <w:bookmarkEnd w:id="255"/>
      <w:bookmarkEnd w:id="256"/>
      <w:bookmarkEnd w:id="257"/>
      <w:bookmarkEnd w:id="258"/>
    </w:p>
    <w:p>
      <w:pPr>
        <w:pStyle w:val="11"/>
        <w:tabs>
          <w:tab w:val="left" w:pos="5580"/>
        </w:tabs>
        <w:spacing w:before="120" w:line="22" w:lineRule="atLeast"/>
        <w:ind w:firstLine="480" w:firstLineChars="200"/>
        <w:rPr>
          <w:rFonts w:hAnsi="宋体" w:cs="宋体"/>
          <w:color w:val="auto"/>
          <w:sz w:val="24"/>
          <w:szCs w:val="24"/>
          <w:highlight w:val="none"/>
        </w:rPr>
      </w:pPr>
    </w:p>
    <w:p>
      <w:pPr>
        <w:pStyle w:val="11"/>
        <w:tabs>
          <w:tab w:val="left" w:pos="5580"/>
        </w:tabs>
        <w:spacing w:before="120" w:line="360" w:lineRule="auto"/>
        <w:ind w:firstLine="480" w:firstLineChars="200"/>
        <w:rPr>
          <w:rFonts w:hAnsi="宋体" w:cs="宋体"/>
          <w:color w:val="auto"/>
          <w:sz w:val="24"/>
          <w:szCs w:val="24"/>
          <w:highlight w:val="none"/>
        </w:rPr>
      </w:pPr>
      <w:r>
        <w:rPr>
          <w:rFonts w:hint="eastAsia" w:hAnsi="宋体" w:cs="宋体"/>
          <w:color w:val="auto"/>
          <w:sz w:val="24"/>
          <w:szCs w:val="24"/>
          <w:highlight w:val="none"/>
        </w:rPr>
        <w:t>如供应商提交的投标文件技术和服务条款及合同条款与招标文件的要求存在偏离，需逐项填写技术服务条款偏离表，否则认为供应商完全接受招标文件的要求。</w:t>
      </w:r>
    </w:p>
    <w:p>
      <w:pPr>
        <w:tabs>
          <w:tab w:val="left" w:pos="5580"/>
        </w:tabs>
        <w:spacing w:before="120" w:line="360" w:lineRule="auto"/>
        <w:ind w:firstLine="560" w:firstLineChars="200"/>
        <w:rPr>
          <w:rFonts w:ascii="宋体" w:hAnsi="宋体" w:cs="宋体"/>
          <w:color w:val="auto"/>
          <w:sz w:val="28"/>
          <w:highlight w:val="none"/>
        </w:rPr>
      </w:pPr>
    </w:p>
    <w:p>
      <w:pPr>
        <w:pStyle w:val="11"/>
        <w:spacing w:before="120" w:line="360" w:lineRule="auto"/>
        <w:rPr>
          <w:rFonts w:hAnsi="宋体" w:cs="宋体"/>
          <w:color w:val="auto"/>
          <w:sz w:val="28"/>
          <w:highlight w:val="none"/>
        </w:rPr>
      </w:pPr>
      <w:r>
        <w:rPr>
          <w:rFonts w:hint="eastAsia" w:hAnsi="宋体" w:cs="宋体"/>
          <w:color w:val="auto"/>
          <w:sz w:val="24"/>
          <w:szCs w:val="24"/>
          <w:highlight w:val="none"/>
        </w:rPr>
        <w:t xml:space="preserve">供应商名称:      招标编号:       包号: </w:t>
      </w:r>
    </w:p>
    <w:p>
      <w:pPr>
        <w:tabs>
          <w:tab w:val="left" w:pos="5580"/>
        </w:tabs>
        <w:spacing w:before="120" w:line="360" w:lineRule="auto"/>
        <w:rPr>
          <w:rFonts w:ascii="宋体" w:hAnsi="宋体" w:cs="宋体"/>
          <w:color w:val="auto"/>
          <w:sz w:val="24"/>
          <w:highlight w:val="none"/>
        </w:rPr>
      </w:pPr>
    </w:p>
    <w:tbl>
      <w:tblPr>
        <w:tblStyle w:val="28"/>
        <w:tblW w:w="9640" w:type="dxa"/>
        <w:tblInd w:w="-459"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54"/>
        <w:gridCol w:w="1982"/>
        <w:gridCol w:w="3544"/>
        <w:gridCol w:w="1984"/>
        <w:gridCol w:w="127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92" w:hRule="atLeast"/>
        </w:trPr>
        <w:tc>
          <w:tcPr>
            <w:tcW w:w="854" w:type="dxa"/>
            <w:vAlign w:val="center"/>
          </w:tcPr>
          <w:p>
            <w:pPr>
              <w:tabs>
                <w:tab w:val="left" w:pos="5580"/>
              </w:tabs>
              <w:spacing w:before="120" w:line="360" w:lineRule="auto"/>
              <w:jc w:val="center"/>
              <w:rPr>
                <w:rFonts w:ascii="宋体" w:hAnsi="宋体" w:cs="宋体"/>
                <w:color w:val="auto"/>
                <w:sz w:val="24"/>
                <w:highlight w:val="none"/>
              </w:rPr>
            </w:pPr>
            <w:r>
              <w:rPr>
                <w:rFonts w:hint="eastAsia" w:ascii="宋体" w:hAnsi="宋体" w:cs="宋体"/>
                <w:color w:val="auto"/>
                <w:sz w:val="24"/>
                <w:highlight w:val="none"/>
              </w:rPr>
              <w:t>序号</w:t>
            </w:r>
          </w:p>
        </w:tc>
        <w:tc>
          <w:tcPr>
            <w:tcW w:w="1982" w:type="dxa"/>
            <w:vAlign w:val="center"/>
          </w:tcPr>
          <w:p>
            <w:pPr>
              <w:tabs>
                <w:tab w:val="left" w:pos="5580"/>
              </w:tabs>
              <w:spacing w:before="120" w:line="360" w:lineRule="auto"/>
              <w:jc w:val="center"/>
              <w:rPr>
                <w:rFonts w:ascii="宋体" w:hAnsi="宋体" w:cs="宋体"/>
                <w:color w:val="auto"/>
                <w:sz w:val="24"/>
                <w:highlight w:val="none"/>
              </w:rPr>
            </w:pPr>
            <w:r>
              <w:rPr>
                <w:rFonts w:hint="eastAsia" w:ascii="宋体" w:hAnsi="宋体" w:cs="宋体"/>
                <w:color w:val="auto"/>
                <w:sz w:val="24"/>
                <w:highlight w:val="none"/>
              </w:rPr>
              <w:t>招标文件条目号</w:t>
            </w:r>
          </w:p>
        </w:tc>
        <w:tc>
          <w:tcPr>
            <w:tcW w:w="3544" w:type="dxa"/>
            <w:vAlign w:val="center"/>
          </w:tcPr>
          <w:p>
            <w:pPr>
              <w:tabs>
                <w:tab w:val="left" w:pos="5580"/>
              </w:tabs>
              <w:spacing w:before="120" w:line="360" w:lineRule="auto"/>
              <w:jc w:val="center"/>
              <w:rPr>
                <w:rFonts w:ascii="宋体" w:hAnsi="宋体" w:cs="宋体"/>
                <w:color w:val="auto"/>
                <w:sz w:val="24"/>
                <w:highlight w:val="none"/>
              </w:rPr>
            </w:pPr>
            <w:r>
              <w:rPr>
                <w:rFonts w:hint="eastAsia" w:ascii="宋体" w:hAnsi="宋体" w:cs="宋体"/>
                <w:color w:val="auto"/>
                <w:sz w:val="24"/>
                <w:highlight w:val="none"/>
              </w:rPr>
              <w:t>招标文件的技术服务条款要求</w:t>
            </w:r>
          </w:p>
        </w:tc>
        <w:tc>
          <w:tcPr>
            <w:tcW w:w="1984" w:type="dxa"/>
            <w:vAlign w:val="center"/>
          </w:tcPr>
          <w:p>
            <w:pPr>
              <w:tabs>
                <w:tab w:val="left" w:pos="5580"/>
              </w:tabs>
              <w:spacing w:before="120" w:line="360" w:lineRule="auto"/>
              <w:jc w:val="center"/>
              <w:rPr>
                <w:rFonts w:ascii="宋体" w:hAnsi="宋体" w:cs="宋体"/>
                <w:color w:val="auto"/>
                <w:sz w:val="24"/>
                <w:highlight w:val="none"/>
              </w:rPr>
            </w:pPr>
            <w:r>
              <w:rPr>
                <w:rFonts w:hint="eastAsia" w:ascii="宋体" w:hAnsi="宋体" w:cs="宋体"/>
                <w:color w:val="auto"/>
                <w:sz w:val="24"/>
                <w:highlight w:val="none"/>
              </w:rPr>
              <w:t>投标文件的应答</w:t>
            </w:r>
          </w:p>
        </w:tc>
        <w:tc>
          <w:tcPr>
            <w:tcW w:w="1276" w:type="dxa"/>
            <w:vAlign w:val="center"/>
          </w:tcPr>
          <w:p>
            <w:pPr>
              <w:tabs>
                <w:tab w:val="left" w:pos="5580"/>
              </w:tabs>
              <w:spacing w:before="120" w:line="360" w:lineRule="auto"/>
              <w:jc w:val="center"/>
              <w:rPr>
                <w:rFonts w:ascii="宋体" w:hAnsi="宋体" w:cs="宋体"/>
                <w:color w:val="auto"/>
                <w:sz w:val="24"/>
                <w:highlight w:val="none"/>
              </w:rPr>
            </w:pPr>
            <w:r>
              <w:rPr>
                <w:rFonts w:hint="eastAsia" w:ascii="宋体" w:hAnsi="宋体" w:cs="宋体"/>
                <w:color w:val="auto"/>
                <w:sz w:val="24"/>
                <w:highlight w:val="none"/>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854" w:type="dxa"/>
          </w:tcPr>
          <w:p>
            <w:pPr>
              <w:tabs>
                <w:tab w:val="left" w:pos="5580"/>
              </w:tabs>
              <w:spacing w:before="120" w:line="360" w:lineRule="auto"/>
              <w:ind w:firstLine="480" w:firstLineChars="200"/>
              <w:rPr>
                <w:rFonts w:ascii="宋体" w:hAnsi="宋体" w:cs="宋体"/>
                <w:color w:val="auto"/>
                <w:sz w:val="24"/>
                <w:highlight w:val="none"/>
              </w:rPr>
            </w:pPr>
          </w:p>
        </w:tc>
        <w:tc>
          <w:tcPr>
            <w:tcW w:w="1982" w:type="dxa"/>
          </w:tcPr>
          <w:p>
            <w:pPr>
              <w:tabs>
                <w:tab w:val="left" w:pos="5580"/>
              </w:tabs>
              <w:spacing w:before="120" w:line="360" w:lineRule="auto"/>
              <w:ind w:firstLine="480" w:firstLineChars="200"/>
              <w:rPr>
                <w:rFonts w:ascii="宋体" w:hAnsi="宋体" w:cs="宋体"/>
                <w:color w:val="auto"/>
                <w:sz w:val="24"/>
                <w:highlight w:val="none"/>
              </w:rPr>
            </w:pPr>
          </w:p>
        </w:tc>
        <w:tc>
          <w:tcPr>
            <w:tcW w:w="3544" w:type="dxa"/>
          </w:tcPr>
          <w:p>
            <w:pPr>
              <w:tabs>
                <w:tab w:val="left" w:pos="5580"/>
              </w:tabs>
              <w:spacing w:before="120" w:line="360" w:lineRule="auto"/>
              <w:ind w:firstLine="480" w:firstLineChars="200"/>
              <w:rPr>
                <w:rFonts w:ascii="宋体" w:hAnsi="宋体" w:cs="宋体"/>
                <w:color w:val="auto"/>
                <w:sz w:val="24"/>
                <w:highlight w:val="none"/>
              </w:rPr>
            </w:pPr>
          </w:p>
        </w:tc>
        <w:tc>
          <w:tcPr>
            <w:tcW w:w="1984" w:type="dxa"/>
          </w:tcPr>
          <w:p>
            <w:pPr>
              <w:tabs>
                <w:tab w:val="left" w:pos="5580"/>
              </w:tabs>
              <w:spacing w:before="120" w:line="360" w:lineRule="auto"/>
              <w:ind w:firstLine="480" w:firstLineChars="200"/>
              <w:rPr>
                <w:rFonts w:ascii="宋体" w:hAnsi="宋体" w:cs="宋体"/>
                <w:color w:val="auto"/>
                <w:sz w:val="24"/>
                <w:highlight w:val="none"/>
              </w:rPr>
            </w:pPr>
          </w:p>
        </w:tc>
        <w:tc>
          <w:tcPr>
            <w:tcW w:w="1276" w:type="dxa"/>
          </w:tcPr>
          <w:p>
            <w:pPr>
              <w:tabs>
                <w:tab w:val="left" w:pos="5580"/>
              </w:tabs>
              <w:spacing w:before="120" w:line="360" w:lineRule="auto"/>
              <w:ind w:firstLine="480" w:firstLineChars="200"/>
              <w:rPr>
                <w:rFonts w:ascii="宋体" w:hAnsi="宋体" w:cs="宋体"/>
                <w:color w:val="auto"/>
                <w:sz w:val="24"/>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854" w:type="dxa"/>
          </w:tcPr>
          <w:p>
            <w:pPr>
              <w:tabs>
                <w:tab w:val="left" w:pos="5580"/>
              </w:tabs>
              <w:spacing w:before="120" w:line="360" w:lineRule="auto"/>
              <w:ind w:firstLine="480" w:firstLineChars="200"/>
              <w:rPr>
                <w:rFonts w:ascii="宋体" w:hAnsi="宋体" w:cs="宋体"/>
                <w:color w:val="auto"/>
                <w:sz w:val="24"/>
                <w:highlight w:val="none"/>
              </w:rPr>
            </w:pPr>
          </w:p>
        </w:tc>
        <w:tc>
          <w:tcPr>
            <w:tcW w:w="1982" w:type="dxa"/>
          </w:tcPr>
          <w:p>
            <w:pPr>
              <w:tabs>
                <w:tab w:val="left" w:pos="5580"/>
              </w:tabs>
              <w:spacing w:before="120" w:line="360" w:lineRule="auto"/>
              <w:ind w:firstLine="480" w:firstLineChars="200"/>
              <w:rPr>
                <w:rFonts w:ascii="宋体" w:hAnsi="宋体" w:cs="宋体"/>
                <w:color w:val="auto"/>
                <w:sz w:val="24"/>
                <w:highlight w:val="none"/>
              </w:rPr>
            </w:pPr>
          </w:p>
        </w:tc>
        <w:tc>
          <w:tcPr>
            <w:tcW w:w="3544" w:type="dxa"/>
          </w:tcPr>
          <w:p>
            <w:pPr>
              <w:tabs>
                <w:tab w:val="left" w:pos="5580"/>
              </w:tabs>
              <w:spacing w:before="120" w:line="360" w:lineRule="auto"/>
              <w:rPr>
                <w:rFonts w:ascii="宋体" w:hAnsi="宋体" w:cs="宋体"/>
                <w:color w:val="auto"/>
                <w:sz w:val="24"/>
                <w:highlight w:val="none"/>
              </w:rPr>
            </w:pPr>
          </w:p>
        </w:tc>
        <w:tc>
          <w:tcPr>
            <w:tcW w:w="1984" w:type="dxa"/>
          </w:tcPr>
          <w:p>
            <w:pPr>
              <w:tabs>
                <w:tab w:val="left" w:pos="5580"/>
              </w:tabs>
              <w:spacing w:before="120" w:line="360" w:lineRule="auto"/>
              <w:ind w:firstLine="480" w:firstLineChars="200"/>
              <w:rPr>
                <w:rFonts w:ascii="宋体" w:hAnsi="宋体" w:cs="宋体"/>
                <w:color w:val="auto"/>
                <w:sz w:val="24"/>
                <w:highlight w:val="none"/>
              </w:rPr>
            </w:pPr>
          </w:p>
        </w:tc>
        <w:tc>
          <w:tcPr>
            <w:tcW w:w="1276" w:type="dxa"/>
          </w:tcPr>
          <w:p>
            <w:pPr>
              <w:tabs>
                <w:tab w:val="left" w:pos="5580"/>
              </w:tabs>
              <w:spacing w:before="120" w:line="360" w:lineRule="auto"/>
              <w:ind w:firstLine="480" w:firstLineChars="200"/>
              <w:rPr>
                <w:rFonts w:ascii="宋体" w:hAnsi="宋体" w:cs="宋体"/>
                <w:color w:val="auto"/>
                <w:sz w:val="24"/>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854" w:type="dxa"/>
          </w:tcPr>
          <w:p>
            <w:pPr>
              <w:tabs>
                <w:tab w:val="left" w:pos="5580"/>
              </w:tabs>
              <w:spacing w:before="120" w:line="360" w:lineRule="auto"/>
              <w:ind w:firstLine="480" w:firstLineChars="200"/>
              <w:rPr>
                <w:rFonts w:ascii="宋体" w:hAnsi="宋体" w:cs="宋体"/>
                <w:color w:val="auto"/>
                <w:sz w:val="24"/>
                <w:highlight w:val="none"/>
              </w:rPr>
            </w:pPr>
          </w:p>
        </w:tc>
        <w:tc>
          <w:tcPr>
            <w:tcW w:w="1982" w:type="dxa"/>
          </w:tcPr>
          <w:p>
            <w:pPr>
              <w:tabs>
                <w:tab w:val="left" w:pos="5580"/>
              </w:tabs>
              <w:spacing w:before="120" w:line="360" w:lineRule="auto"/>
              <w:ind w:firstLine="480" w:firstLineChars="200"/>
              <w:rPr>
                <w:rFonts w:ascii="宋体" w:hAnsi="宋体" w:cs="宋体"/>
                <w:color w:val="auto"/>
                <w:sz w:val="24"/>
                <w:highlight w:val="none"/>
              </w:rPr>
            </w:pPr>
          </w:p>
        </w:tc>
        <w:tc>
          <w:tcPr>
            <w:tcW w:w="3544" w:type="dxa"/>
          </w:tcPr>
          <w:p>
            <w:pPr>
              <w:tabs>
                <w:tab w:val="left" w:pos="5580"/>
              </w:tabs>
              <w:spacing w:before="120" w:line="360" w:lineRule="auto"/>
              <w:ind w:firstLine="480" w:firstLineChars="200"/>
              <w:rPr>
                <w:rFonts w:ascii="宋体" w:hAnsi="宋体" w:cs="宋体"/>
                <w:color w:val="auto"/>
                <w:sz w:val="24"/>
                <w:highlight w:val="none"/>
              </w:rPr>
            </w:pPr>
          </w:p>
        </w:tc>
        <w:tc>
          <w:tcPr>
            <w:tcW w:w="1984" w:type="dxa"/>
          </w:tcPr>
          <w:p>
            <w:pPr>
              <w:tabs>
                <w:tab w:val="left" w:pos="5580"/>
              </w:tabs>
              <w:spacing w:before="120" w:line="360" w:lineRule="auto"/>
              <w:ind w:firstLine="480" w:firstLineChars="200"/>
              <w:rPr>
                <w:rFonts w:ascii="宋体" w:hAnsi="宋体" w:cs="宋体"/>
                <w:color w:val="auto"/>
                <w:sz w:val="24"/>
                <w:highlight w:val="none"/>
              </w:rPr>
            </w:pPr>
          </w:p>
        </w:tc>
        <w:tc>
          <w:tcPr>
            <w:tcW w:w="1276" w:type="dxa"/>
          </w:tcPr>
          <w:p>
            <w:pPr>
              <w:tabs>
                <w:tab w:val="left" w:pos="5580"/>
              </w:tabs>
              <w:spacing w:before="120" w:line="360" w:lineRule="auto"/>
              <w:ind w:firstLine="480" w:firstLineChars="200"/>
              <w:rPr>
                <w:rFonts w:ascii="宋体" w:hAnsi="宋体" w:cs="宋体"/>
                <w:color w:val="auto"/>
                <w:sz w:val="24"/>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854" w:type="dxa"/>
          </w:tcPr>
          <w:p>
            <w:pPr>
              <w:tabs>
                <w:tab w:val="left" w:pos="5580"/>
              </w:tabs>
              <w:spacing w:before="120" w:line="360" w:lineRule="auto"/>
              <w:ind w:firstLine="480" w:firstLineChars="200"/>
              <w:rPr>
                <w:rFonts w:ascii="宋体" w:hAnsi="宋体" w:cs="宋体"/>
                <w:color w:val="auto"/>
                <w:sz w:val="24"/>
                <w:highlight w:val="none"/>
              </w:rPr>
            </w:pPr>
          </w:p>
        </w:tc>
        <w:tc>
          <w:tcPr>
            <w:tcW w:w="1982" w:type="dxa"/>
          </w:tcPr>
          <w:p>
            <w:pPr>
              <w:tabs>
                <w:tab w:val="left" w:pos="5580"/>
              </w:tabs>
              <w:spacing w:before="120" w:line="360" w:lineRule="auto"/>
              <w:ind w:firstLine="480" w:firstLineChars="200"/>
              <w:rPr>
                <w:rFonts w:ascii="宋体" w:hAnsi="宋体" w:cs="宋体"/>
                <w:color w:val="auto"/>
                <w:sz w:val="24"/>
                <w:highlight w:val="none"/>
              </w:rPr>
            </w:pPr>
          </w:p>
        </w:tc>
        <w:tc>
          <w:tcPr>
            <w:tcW w:w="3544" w:type="dxa"/>
          </w:tcPr>
          <w:p>
            <w:pPr>
              <w:tabs>
                <w:tab w:val="left" w:pos="5580"/>
              </w:tabs>
              <w:spacing w:before="120" w:line="360" w:lineRule="auto"/>
              <w:ind w:firstLine="480" w:firstLineChars="200"/>
              <w:rPr>
                <w:rFonts w:ascii="宋体" w:hAnsi="宋体" w:cs="宋体"/>
                <w:color w:val="auto"/>
                <w:sz w:val="24"/>
                <w:highlight w:val="none"/>
              </w:rPr>
            </w:pPr>
          </w:p>
        </w:tc>
        <w:tc>
          <w:tcPr>
            <w:tcW w:w="1984" w:type="dxa"/>
          </w:tcPr>
          <w:p>
            <w:pPr>
              <w:tabs>
                <w:tab w:val="left" w:pos="5580"/>
              </w:tabs>
              <w:spacing w:before="120" w:line="360" w:lineRule="auto"/>
              <w:ind w:firstLine="480" w:firstLineChars="200"/>
              <w:rPr>
                <w:rFonts w:ascii="宋体" w:hAnsi="宋体" w:cs="宋体"/>
                <w:color w:val="auto"/>
                <w:sz w:val="24"/>
                <w:highlight w:val="none"/>
              </w:rPr>
            </w:pPr>
          </w:p>
        </w:tc>
        <w:tc>
          <w:tcPr>
            <w:tcW w:w="1276" w:type="dxa"/>
          </w:tcPr>
          <w:p>
            <w:pPr>
              <w:tabs>
                <w:tab w:val="left" w:pos="5580"/>
              </w:tabs>
              <w:spacing w:before="120" w:line="360" w:lineRule="auto"/>
              <w:ind w:firstLine="480" w:firstLineChars="200"/>
              <w:rPr>
                <w:rFonts w:ascii="宋体" w:hAnsi="宋体" w:cs="宋体"/>
                <w:color w:val="auto"/>
                <w:sz w:val="24"/>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854" w:type="dxa"/>
          </w:tcPr>
          <w:p>
            <w:pPr>
              <w:tabs>
                <w:tab w:val="left" w:pos="5580"/>
              </w:tabs>
              <w:spacing w:before="120" w:line="360" w:lineRule="auto"/>
              <w:ind w:firstLine="480" w:firstLineChars="200"/>
              <w:rPr>
                <w:rFonts w:ascii="宋体" w:hAnsi="宋体" w:cs="宋体"/>
                <w:color w:val="auto"/>
                <w:sz w:val="24"/>
                <w:highlight w:val="none"/>
              </w:rPr>
            </w:pPr>
          </w:p>
        </w:tc>
        <w:tc>
          <w:tcPr>
            <w:tcW w:w="1982" w:type="dxa"/>
          </w:tcPr>
          <w:p>
            <w:pPr>
              <w:tabs>
                <w:tab w:val="left" w:pos="5580"/>
              </w:tabs>
              <w:spacing w:before="120" w:line="360" w:lineRule="auto"/>
              <w:ind w:firstLine="480" w:firstLineChars="200"/>
              <w:rPr>
                <w:rFonts w:ascii="宋体" w:hAnsi="宋体" w:cs="宋体"/>
                <w:color w:val="auto"/>
                <w:sz w:val="24"/>
                <w:highlight w:val="none"/>
              </w:rPr>
            </w:pPr>
          </w:p>
        </w:tc>
        <w:tc>
          <w:tcPr>
            <w:tcW w:w="3544" w:type="dxa"/>
          </w:tcPr>
          <w:p>
            <w:pPr>
              <w:tabs>
                <w:tab w:val="left" w:pos="5580"/>
              </w:tabs>
              <w:spacing w:before="120" w:line="360" w:lineRule="auto"/>
              <w:ind w:firstLine="480" w:firstLineChars="200"/>
              <w:rPr>
                <w:rFonts w:ascii="宋体" w:hAnsi="宋体" w:cs="宋体"/>
                <w:color w:val="auto"/>
                <w:sz w:val="24"/>
                <w:highlight w:val="none"/>
              </w:rPr>
            </w:pPr>
          </w:p>
        </w:tc>
        <w:tc>
          <w:tcPr>
            <w:tcW w:w="1984" w:type="dxa"/>
          </w:tcPr>
          <w:p>
            <w:pPr>
              <w:tabs>
                <w:tab w:val="left" w:pos="5580"/>
              </w:tabs>
              <w:spacing w:before="120" w:line="360" w:lineRule="auto"/>
              <w:ind w:firstLine="480" w:firstLineChars="200"/>
              <w:rPr>
                <w:rFonts w:ascii="宋体" w:hAnsi="宋体" w:cs="宋体"/>
                <w:color w:val="auto"/>
                <w:sz w:val="24"/>
                <w:highlight w:val="none"/>
              </w:rPr>
            </w:pPr>
          </w:p>
        </w:tc>
        <w:tc>
          <w:tcPr>
            <w:tcW w:w="1276" w:type="dxa"/>
          </w:tcPr>
          <w:p>
            <w:pPr>
              <w:tabs>
                <w:tab w:val="left" w:pos="5580"/>
              </w:tabs>
              <w:spacing w:before="120" w:line="360" w:lineRule="auto"/>
              <w:ind w:firstLine="480" w:firstLineChars="200"/>
              <w:rPr>
                <w:rFonts w:ascii="宋体" w:hAnsi="宋体" w:cs="宋体"/>
                <w:color w:val="auto"/>
                <w:sz w:val="24"/>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854" w:type="dxa"/>
          </w:tcPr>
          <w:p>
            <w:pPr>
              <w:tabs>
                <w:tab w:val="left" w:pos="5580"/>
              </w:tabs>
              <w:spacing w:before="120" w:line="360" w:lineRule="auto"/>
              <w:ind w:firstLine="480" w:firstLineChars="200"/>
              <w:rPr>
                <w:rFonts w:ascii="宋体" w:hAnsi="宋体" w:cs="宋体"/>
                <w:color w:val="auto"/>
                <w:sz w:val="24"/>
                <w:highlight w:val="none"/>
              </w:rPr>
            </w:pPr>
          </w:p>
        </w:tc>
        <w:tc>
          <w:tcPr>
            <w:tcW w:w="1982" w:type="dxa"/>
          </w:tcPr>
          <w:p>
            <w:pPr>
              <w:tabs>
                <w:tab w:val="left" w:pos="5580"/>
              </w:tabs>
              <w:spacing w:before="120" w:line="360" w:lineRule="auto"/>
              <w:ind w:firstLine="480" w:firstLineChars="200"/>
              <w:rPr>
                <w:rFonts w:ascii="宋体" w:hAnsi="宋体" w:cs="宋体"/>
                <w:color w:val="auto"/>
                <w:sz w:val="24"/>
                <w:highlight w:val="none"/>
              </w:rPr>
            </w:pPr>
          </w:p>
        </w:tc>
        <w:tc>
          <w:tcPr>
            <w:tcW w:w="3544" w:type="dxa"/>
          </w:tcPr>
          <w:p>
            <w:pPr>
              <w:tabs>
                <w:tab w:val="left" w:pos="5580"/>
              </w:tabs>
              <w:spacing w:before="120" w:line="360" w:lineRule="auto"/>
              <w:ind w:firstLine="480" w:firstLineChars="200"/>
              <w:rPr>
                <w:rFonts w:ascii="宋体" w:hAnsi="宋体" w:cs="宋体"/>
                <w:color w:val="auto"/>
                <w:sz w:val="24"/>
                <w:highlight w:val="none"/>
              </w:rPr>
            </w:pPr>
          </w:p>
        </w:tc>
        <w:tc>
          <w:tcPr>
            <w:tcW w:w="1984" w:type="dxa"/>
          </w:tcPr>
          <w:p>
            <w:pPr>
              <w:tabs>
                <w:tab w:val="left" w:pos="5580"/>
              </w:tabs>
              <w:spacing w:before="120" w:line="360" w:lineRule="auto"/>
              <w:ind w:firstLine="480" w:firstLineChars="200"/>
              <w:rPr>
                <w:rFonts w:ascii="宋体" w:hAnsi="宋体" w:cs="宋体"/>
                <w:color w:val="auto"/>
                <w:sz w:val="24"/>
                <w:highlight w:val="none"/>
              </w:rPr>
            </w:pPr>
          </w:p>
        </w:tc>
        <w:tc>
          <w:tcPr>
            <w:tcW w:w="1276" w:type="dxa"/>
          </w:tcPr>
          <w:p>
            <w:pPr>
              <w:tabs>
                <w:tab w:val="left" w:pos="5580"/>
              </w:tabs>
              <w:spacing w:before="120" w:line="360" w:lineRule="auto"/>
              <w:ind w:firstLine="480" w:firstLineChars="200"/>
              <w:rPr>
                <w:rFonts w:ascii="宋体" w:hAnsi="宋体" w:cs="宋体"/>
                <w:color w:val="auto"/>
                <w:sz w:val="24"/>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854" w:type="dxa"/>
          </w:tcPr>
          <w:p>
            <w:pPr>
              <w:tabs>
                <w:tab w:val="left" w:pos="5580"/>
              </w:tabs>
              <w:spacing w:before="120" w:line="360" w:lineRule="auto"/>
              <w:ind w:firstLine="480" w:firstLineChars="200"/>
              <w:rPr>
                <w:rFonts w:ascii="宋体" w:hAnsi="宋体" w:cs="宋体"/>
                <w:color w:val="auto"/>
                <w:sz w:val="24"/>
                <w:highlight w:val="none"/>
              </w:rPr>
            </w:pPr>
          </w:p>
        </w:tc>
        <w:tc>
          <w:tcPr>
            <w:tcW w:w="1982" w:type="dxa"/>
          </w:tcPr>
          <w:p>
            <w:pPr>
              <w:tabs>
                <w:tab w:val="left" w:pos="5580"/>
              </w:tabs>
              <w:spacing w:before="120" w:line="360" w:lineRule="auto"/>
              <w:ind w:firstLine="480" w:firstLineChars="200"/>
              <w:rPr>
                <w:rFonts w:ascii="宋体" w:hAnsi="宋体" w:cs="宋体"/>
                <w:color w:val="auto"/>
                <w:sz w:val="24"/>
                <w:highlight w:val="none"/>
              </w:rPr>
            </w:pPr>
          </w:p>
        </w:tc>
        <w:tc>
          <w:tcPr>
            <w:tcW w:w="3544" w:type="dxa"/>
          </w:tcPr>
          <w:p>
            <w:pPr>
              <w:tabs>
                <w:tab w:val="left" w:pos="5580"/>
              </w:tabs>
              <w:spacing w:before="120" w:line="360" w:lineRule="auto"/>
              <w:ind w:firstLine="480" w:firstLineChars="200"/>
              <w:rPr>
                <w:rFonts w:ascii="宋体" w:hAnsi="宋体" w:cs="宋体"/>
                <w:color w:val="auto"/>
                <w:sz w:val="24"/>
                <w:highlight w:val="none"/>
              </w:rPr>
            </w:pPr>
          </w:p>
        </w:tc>
        <w:tc>
          <w:tcPr>
            <w:tcW w:w="1984" w:type="dxa"/>
          </w:tcPr>
          <w:p>
            <w:pPr>
              <w:tabs>
                <w:tab w:val="left" w:pos="5580"/>
              </w:tabs>
              <w:spacing w:before="120" w:line="360" w:lineRule="auto"/>
              <w:ind w:firstLine="480" w:firstLineChars="200"/>
              <w:rPr>
                <w:rFonts w:ascii="宋体" w:hAnsi="宋体" w:cs="宋体"/>
                <w:color w:val="auto"/>
                <w:sz w:val="24"/>
                <w:highlight w:val="none"/>
              </w:rPr>
            </w:pPr>
          </w:p>
        </w:tc>
        <w:tc>
          <w:tcPr>
            <w:tcW w:w="1276" w:type="dxa"/>
          </w:tcPr>
          <w:p>
            <w:pPr>
              <w:tabs>
                <w:tab w:val="left" w:pos="5580"/>
              </w:tabs>
              <w:spacing w:before="120" w:line="360" w:lineRule="auto"/>
              <w:ind w:firstLine="480" w:firstLineChars="200"/>
              <w:rPr>
                <w:rFonts w:ascii="宋体" w:hAnsi="宋体" w:cs="宋体"/>
                <w:color w:val="auto"/>
                <w:sz w:val="24"/>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854" w:type="dxa"/>
          </w:tcPr>
          <w:p>
            <w:pPr>
              <w:tabs>
                <w:tab w:val="left" w:pos="5580"/>
              </w:tabs>
              <w:spacing w:before="120" w:line="360" w:lineRule="auto"/>
              <w:ind w:firstLine="480" w:firstLineChars="200"/>
              <w:rPr>
                <w:rFonts w:ascii="宋体" w:hAnsi="宋体" w:cs="宋体"/>
                <w:color w:val="auto"/>
                <w:sz w:val="24"/>
                <w:highlight w:val="none"/>
              </w:rPr>
            </w:pPr>
          </w:p>
        </w:tc>
        <w:tc>
          <w:tcPr>
            <w:tcW w:w="1982" w:type="dxa"/>
          </w:tcPr>
          <w:p>
            <w:pPr>
              <w:tabs>
                <w:tab w:val="left" w:pos="5580"/>
              </w:tabs>
              <w:spacing w:before="120" w:line="360" w:lineRule="auto"/>
              <w:ind w:firstLine="480" w:firstLineChars="200"/>
              <w:rPr>
                <w:rFonts w:ascii="宋体" w:hAnsi="宋体" w:cs="宋体"/>
                <w:color w:val="auto"/>
                <w:sz w:val="24"/>
                <w:highlight w:val="none"/>
              </w:rPr>
            </w:pPr>
          </w:p>
        </w:tc>
        <w:tc>
          <w:tcPr>
            <w:tcW w:w="3544" w:type="dxa"/>
          </w:tcPr>
          <w:p>
            <w:pPr>
              <w:tabs>
                <w:tab w:val="left" w:pos="5580"/>
              </w:tabs>
              <w:spacing w:before="120" w:line="360" w:lineRule="auto"/>
              <w:ind w:firstLine="480" w:firstLineChars="200"/>
              <w:rPr>
                <w:rFonts w:ascii="宋体" w:hAnsi="宋体" w:cs="宋体"/>
                <w:color w:val="auto"/>
                <w:sz w:val="24"/>
                <w:highlight w:val="none"/>
              </w:rPr>
            </w:pPr>
          </w:p>
        </w:tc>
        <w:tc>
          <w:tcPr>
            <w:tcW w:w="1984" w:type="dxa"/>
          </w:tcPr>
          <w:p>
            <w:pPr>
              <w:tabs>
                <w:tab w:val="left" w:pos="5580"/>
              </w:tabs>
              <w:spacing w:before="120" w:line="360" w:lineRule="auto"/>
              <w:ind w:firstLine="480" w:firstLineChars="200"/>
              <w:rPr>
                <w:rFonts w:ascii="宋体" w:hAnsi="宋体" w:cs="宋体"/>
                <w:color w:val="auto"/>
                <w:sz w:val="24"/>
                <w:highlight w:val="none"/>
              </w:rPr>
            </w:pPr>
          </w:p>
        </w:tc>
        <w:tc>
          <w:tcPr>
            <w:tcW w:w="1276" w:type="dxa"/>
          </w:tcPr>
          <w:p>
            <w:pPr>
              <w:tabs>
                <w:tab w:val="left" w:pos="5580"/>
              </w:tabs>
              <w:spacing w:before="120" w:line="360" w:lineRule="auto"/>
              <w:ind w:firstLine="480" w:firstLineChars="200"/>
              <w:rPr>
                <w:rFonts w:ascii="宋体" w:hAnsi="宋体" w:cs="宋体"/>
                <w:color w:val="auto"/>
                <w:sz w:val="24"/>
                <w:highlight w:val="none"/>
              </w:rPr>
            </w:pPr>
          </w:p>
        </w:tc>
      </w:tr>
    </w:tbl>
    <w:p>
      <w:pPr>
        <w:tabs>
          <w:tab w:val="left" w:pos="5580"/>
        </w:tabs>
        <w:spacing w:before="120" w:line="360" w:lineRule="auto"/>
        <w:ind w:firstLine="480" w:firstLineChars="200"/>
        <w:rPr>
          <w:rFonts w:ascii="宋体" w:hAnsi="宋体" w:cs="宋体"/>
          <w:color w:val="auto"/>
          <w:sz w:val="24"/>
          <w:highlight w:val="none"/>
        </w:rPr>
      </w:pPr>
    </w:p>
    <w:p>
      <w:pPr>
        <w:pStyle w:val="11"/>
        <w:spacing w:line="520" w:lineRule="exact"/>
        <w:rPr>
          <w:rFonts w:hAnsi="宋体" w:cs="宋体"/>
          <w:color w:val="auto"/>
          <w:sz w:val="28"/>
          <w:highlight w:val="none"/>
        </w:rPr>
      </w:pPr>
    </w:p>
    <w:p>
      <w:pPr>
        <w:pStyle w:val="11"/>
        <w:spacing w:line="520" w:lineRule="exact"/>
        <w:rPr>
          <w:rFonts w:hAnsi="宋体" w:cs="宋体"/>
          <w:color w:val="auto"/>
          <w:sz w:val="24"/>
          <w:szCs w:val="24"/>
          <w:highlight w:val="none"/>
        </w:rPr>
      </w:pPr>
      <w:r>
        <w:rPr>
          <w:rFonts w:hint="eastAsia" w:hAnsi="宋体" w:cs="宋体"/>
          <w:color w:val="auto"/>
          <w:sz w:val="24"/>
          <w:szCs w:val="24"/>
          <w:highlight w:val="none"/>
        </w:rPr>
        <w:t>供应商授权代表签字：</w:t>
      </w:r>
      <w:r>
        <w:rPr>
          <w:rFonts w:hint="eastAsia" w:hAnsi="宋体" w:cs="宋体"/>
          <w:color w:val="auto"/>
          <w:sz w:val="24"/>
          <w:szCs w:val="24"/>
          <w:highlight w:val="none"/>
        </w:rPr>
        <w:tab/>
      </w:r>
    </w:p>
    <w:p>
      <w:pPr>
        <w:pStyle w:val="11"/>
        <w:tabs>
          <w:tab w:val="left" w:pos="5580"/>
        </w:tabs>
        <w:spacing w:before="120" w:line="520" w:lineRule="exact"/>
        <w:rPr>
          <w:rFonts w:hAnsi="宋体" w:cs="宋体"/>
          <w:color w:val="auto"/>
          <w:sz w:val="24"/>
          <w:szCs w:val="24"/>
          <w:highlight w:val="none"/>
        </w:rPr>
      </w:pPr>
      <w:r>
        <w:rPr>
          <w:rFonts w:hint="eastAsia" w:hAnsi="宋体" w:cs="宋体"/>
          <w:color w:val="auto"/>
          <w:sz w:val="24"/>
          <w:szCs w:val="24"/>
          <w:highlight w:val="none"/>
        </w:rPr>
        <w:t>供应商(公章):</w:t>
      </w:r>
      <w:r>
        <w:rPr>
          <w:rFonts w:hint="eastAsia" w:hAnsi="宋体" w:cs="宋体"/>
          <w:color w:val="auto"/>
          <w:sz w:val="24"/>
          <w:szCs w:val="24"/>
          <w:highlight w:val="none"/>
        </w:rPr>
        <w:tab/>
      </w:r>
      <w:r>
        <w:rPr>
          <w:rFonts w:hint="eastAsia" w:hAnsi="宋体" w:cs="宋体"/>
          <w:color w:val="auto"/>
          <w:sz w:val="24"/>
          <w:szCs w:val="24"/>
          <w:highlight w:val="none"/>
        </w:rPr>
        <w:tab/>
      </w:r>
    </w:p>
    <w:p>
      <w:pPr>
        <w:spacing w:before="120" w:line="360" w:lineRule="auto"/>
        <w:outlineLvl w:val="2"/>
        <w:rPr>
          <w:rFonts w:ascii="宋体" w:hAnsi="宋体" w:cs="宋体"/>
          <w:b/>
          <w:color w:val="auto"/>
          <w:sz w:val="24"/>
          <w:highlight w:val="none"/>
        </w:rPr>
      </w:pPr>
      <w:r>
        <w:rPr>
          <w:rFonts w:hint="eastAsia" w:ascii="宋体" w:hAnsi="宋体" w:cs="宋体"/>
          <w:b/>
          <w:color w:val="auto"/>
          <w:sz w:val="24"/>
          <w:highlight w:val="none"/>
        </w:rPr>
        <w:br w:type="page"/>
      </w:r>
      <w:bookmarkStart w:id="259" w:name="_Toc332808028"/>
      <w:bookmarkStart w:id="260" w:name="_Toc3697"/>
      <w:bookmarkStart w:id="261" w:name="_Toc31142"/>
      <w:r>
        <w:rPr>
          <w:rFonts w:hint="eastAsia" w:ascii="宋体" w:hAnsi="宋体" w:cs="宋体"/>
          <w:b/>
          <w:color w:val="auto"/>
          <w:sz w:val="24"/>
          <w:highlight w:val="none"/>
        </w:rPr>
        <w:t>附件5　　　　             商务条款偏离表</w:t>
      </w:r>
      <w:bookmarkEnd w:id="259"/>
      <w:bookmarkEnd w:id="260"/>
      <w:bookmarkEnd w:id="261"/>
    </w:p>
    <w:p>
      <w:pPr>
        <w:pStyle w:val="11"/>
        <w:spacing w:line="520" w:lineRule="exact"/>
        <w:rPr>
          <w:rFonts w:hAnsi="宋体" w:cs="宋体"/>
          <w:color w:val="auto"/>
          <w:sz w:val="28"/>
          <w:highlight w:val="none"/>
        </w:rPr>
      </w:pPr>
    </w:p>
    <w:p>
      <w:pPr>
        <w:pStyle w:val="11"/>
        <w:spacing w:before="120" w:line="360" w:lineRule="auto"/>
        <w:ind w:firstLine="120" w:firstLineChars="50"/>
        <w:rPr>
          <w:rFonts w:hAnsi="宋体" w:cs="宋体"/>
          <w:color w:val="auto"/>
          <w:sz w:val="28"/>
          <w:highlight w:val="none"/>
        </w:rPr>
      </w:pPr>
      <w:r>
        <w:rPr>
          <w:rFonts w:hint="eastAsia" w:hAnsi="宋体" w:cs="宋体"/>
          <w:color w:val="auto"/>
          <w:sz w:val="24"/>
          <w:szCs w:val="24"/>
          <w:highlight w:val="none"/>
        </w:rPr>
        <w:t xml:space="preserve">供应商名称:      招标编号:       包号: </w:t>
      </w:r>
    </w:p>
    <w:p>
      <w:pPr>
        <w:pStyle w:val="11"/>
        <w:spacing w:line="520" w:lineRule="exact"/>
        <w:rPr>
          <w:rFonts w:hAnsi="宋体" w:cs="宋体"/>
          <w:color w:val="auto"/>
          <w:sz w:val="28"/>
          <w:highlight w:val="none"/>
        </w:rPr>
      </w:pPr>
    </w:p>
    <w:tbl>
      <w:tblPr>
        <w:tblStyle w:val="28"/>
        <w:tblW w:w="9246"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2214"/>
        <w:gridCol w:w="3597"/>
        <w:gridCol w:w="1683"/>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vAlign w:val="center"/>
          </w:tcPr>
          <w:p>
            <w:pPr>
              <w:pStyle w:val="11"/>
              <w:spacing w:before="156" w:line="520" w:lineRule="exact"/>
              <w:jc w:val="center"/>
              <w:rPr>
                <w:rFonts w:hAnsi="宋体" w:cs="宋体"/>
                <w:color w:val="auto"/>
                <w:kern w:val="2"/>
                <w:sz w:val="24"/>
                <w:szCs w:val="24"/>
                <w:highlight w:val="none"/>
              </w:rPr>
            </w:pPr>
            <w:r>
              <w:rPr>
                <w:rFonts w:hint="eastAsia" w:hAnsi="宋体" w:cs="宋体"/>
                <w:color w:val="auto"/>
                <w:kern w:val="2"/>
                <w:sz w:val="24"/>
                <w:szCs w:val="24"/>
                <w:highlight w:val="none"/>
              </w:rPr>
              <w:t>序号</w:t>
            </w:r>
          </w:p>
        </w:tc>
        <w:tc>
          <w:tcPr>
            <w:tcW w:w="2214" w:type="dxa"/>
            <w:vAlign w:val="center"/>
          </w:tcPr>
          <w:p>
            <w:pPr>
              <w:pStyle w:val="11"/>
              <w:spacing w:before="156" w:line="520" w:lineRule="exact"/>
              <w:jc w:val="center"/>
              <w:rPr>
                <w:rFonts w:hAnsi="宋体" w:cs="宋体"/>
                <w:color w:val="auto"/>
                <w:kern w:val="2"/>
                <w:sz w:val="24"/>
                <w:szCs w:val="24"/>
                <w:highlight w:val="none"/>
              </w:rPr>
            </w:pPr>
            <w:r>
              <w:rPr>
                <w:rFonts w:hint="eastAsia" w:hAnsi="宋体" w:cs="宋体"/>
                <w:color w:val="auto"/>
                <w:kern w:val="2"/>
                <w:sz w:val="24"/>
                <w:szCs w:val="24"/>
                <w:highlight w:val="none"/>
              </w:rPr>
              <w:t>招标文件页码</w:t>
            </w:r>
          </w:p>
          <w:p>
            <w:pPr>
              <w:pStyle w:val="11"/>
              <w:spacing w:before="156" w:line="520" w:lineRule="exact"/>
              <w:jc w:val="center"/>
              <w:rPr>
                <w:rFonts w:hAnsi="宋体" w:cs="宋体"/>
                <w:color w:val="auto"/>
                <w:kern w:val="2"/>
                <w:sz w:val="24"/>
                <w:szCs w:val="24"/>
                <w:highlight w:val="none"/>
              </w:rPr>
            </w:pPr>
            <w:r>
              <w:rPr>
                <w:rFonts w:hint="eastAsia" w:hAnsi="宋体" w:cs="宋体"/>
                <w:color w:val="auto"/>
                <w:kern w:val="2"/>
                <w:sz w:val="24"/>
                <w:szCs w:val="24"/>
                <w:highlight w:val="none"/>
              </w:rPr>
              <w:t>及条款号</w:t>
            </w:r>
          </w:p>
        </w:tc>
        <w:tc>
          <w:tcPr>
            <w:tcW w:w="3597" w:type="dxa"/>
            <w:vAlign w:val="center"/>
          </w:tcPr>
          <w:p>
            <w:pPr>
              <w:pStyle w:val="11"/>
              <w:spacing w:before="156" w:line="520" w:lineRule="exact"/>
              <w:jc w:val="center"/>
              <w:rPr>
                <w:rFonts w:hAnsi="宋体" w:cs="宋体"/>
                <w:color w:val="auto"/>
                <w:kern w:val="2"/>
                <w:sz w:val="24"/>
                <w:szCs w:val="24"/>
                <w:highlight w:val="none"/>
              </w:rPr>
            </w:pPr>
            <w:r>
              <w:rPr>
                <w:rFonts w:hint="eastAsia" w:hAnsi="宋体" w:cs="宋体"/>
                <w:color w:val="auto"/>
                <w:kern w:val="2"/>
                <w:sz w:val="24"/>
                <w:szCs w:val="24"/>
                <w:highlight w:val="none"/>
              </w:rPr>
              <w:t>投标文件的商务条款应答</w:t>
            </w:r>
          </w:p>
        </w:tc>
        <w:tc>
          <w:tcPr>
            <w:tcW w:w="1683" w:type="dxa"/>
            <w:vAlign w:val="center"/>
          </w:tcPr>
          <w:p>
            <w:pPr>
              <w:pStyle w:val="11"/>
              <w:spacing w:before="156" w:line="520" w:lineRule="exact"/>
              <w:jc w:val="center"/>
              <w:rPr>
                <w:rFonts w:hAnsi="宋体" w:cs="宋体"/>
                <w:color w:val="auto"/>
                <w:kern w:val="2"/>
                <w:sz w:val="24"/>
                <w:szCs w:val="24"/>
                <w:highlight w:val="none"/>
              </w:rPr>
            </w:pPr>
            <w:r>
              <w:rPr>
                <w:rFonts w:hint="eastAsia" w:hAnsi="宋体" w:cs="宋体"/>
                <w:color w:val="auto"/>
                <w:kern w:val="2"/>
                <w:sz w:val="24"/>
                <w:szCs w:val="24"/>
                <w:highlight w:val="none"/>
              </w:rPr>
              <w:t>偏离</w:t>
            </w:r>
          </w:p>
          <w:p>
            <w:pPr>
              <w:pStyle w:val="11"/>
              <w:spacing w:before="156" w:line="520" w:lineRule="exact"/>
              <w:jc w:val="center"/>
              <w:rPr>
                <w:rFonts w:hAnsi="宋体" w:cs="宋体"/>
                <w:color w:val="auto"/>
                <w:kern w:val="2"/>
                <w:sz w:val="24"/>
                <w:szCs w:val="24"/>
                <w:highlight w:val="none"/>
              </w:rPr>
            </w:pPr>
            <w:r>
              <w:rPr>
                <w:rFonts w:hint="eastAsia" w:hAnsi="宋体" w:cs="宋体"/>
                <w:color w:val="auto"/>
                <w:kern w:val="2"/>
                <w:sz w:val="24"/>
                <w:szCs w:val="24"/>
                <w:highlight w:val="none"/>
              </w:rPr>
              <w:t>（正/负/无）</w:t>
            </w:r>
          </w:p>
        </w:tc>
        <w:tc>
          <w:tcPr>
            <w:tcW w:w="900" w:type="dxa"/>
            <w:vAlign w:val="center"/>
          </w:tcPr>
          <w:p>
            <w:pPr>
              <w:pStyle w:val="11"/>
              <w:spacing w:before="156" w:line="520" w:lineRule="exact"/>
              <w:jc w:val="center"/>
              <w:rPr>
                <w:rFonts w:hAnsi="宋体" w:cs="宋体"/>
                <w:color w:val="auto"/>
                <w:kern w:val="2"/>
                <w:sz w:val="24"/>
                <w:szCs w:val="24"/>
                <w:highlight w:val="none"/>
              </w:rPr>
            </w:pPr>
            <w:r>
              <w:rPr>
                <w:rFonts w:hint="eastAsia" w:hAnsi="宋体" w:cs="宋体"/>
                <w:color w:val="auto"/>
                <w:kern w:val="2"/>
                <w:sz w:val="24"/>
                <w:szCs w:val="24"/>
                <w:highlight w:val="no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jc w:val="center"/>
              <w:rPr>
                <w:rFonts w:hAnsi="宋体" w:cs="宋体"/>
                <w:color w:val="auto"/>
                <w:kern w:val="2"/>
                <w:sz w:val="28"/>
                <w:highlight w:val="none"/>
              </w:rPr>
            </w:pPr>
          </w:p>
        </w:tc>
        <w:tc>
          <w:tcPr>
            <w:tcW w:w="3597" w:type="dxa"/>
          </w:tcPr>
          <w:p>
            <w:pPr>
              <w:pStyle w:val="11"/>
              <w:spacing w:line="520" w:lineRule="exact"/>
              <w:jc w:val="center"/>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Borders>
              <w:bottom w:val="single" w:color="auto" w:sz="4" w:space="0"/>
            </w:tcBorders>
          </w:tcPr>
          <w:p>
            <w:pPr>
              <w:pStyle w:val="11"/>
              <w:spacing w:line="520" w:lineRule="exact"/>
              <w:rPr>
                <w:rFonts w:hAnsi="宋体" w:cs="宋体"/>
                <w:color w:val="auto"/>
                <w:kern w:val="2"/>
                <w:sz w:val="28"/>
                <w:highlight w:val="none"/>
              </w:rPr>
            </w:pPr>
          </w:p>
        </w:tc>
        <w:tc>
          <w:tcPr>
            <w:tcW w:w="2214" w:type="dxa"/>
            <w:tcBorders>
              <w:bottom w:val="single" w:color="auto" w:sz="4" w:space="0"/>
            </w:tcBorders>
          </w:tcPr>
          <w:p>
            <w:pPr>
              <w:pStyle w:val="11"/>
              <w:spacing w:line="520" w:lineRule="exact"/>
              <w:rPr>
                <w:rFonts w:hAnsi="宋体" w:cs="宋体"/>
                <w:color w:val="auto"/>
                <w:kern w:val="2"/>
                <w:sz w:val="28"/>
                <w:highlight w:val="none"/>
              </w:rPr>
            </w:pPr>
          </w:p>
        </w:tc>
        <w:tc>
          <w:tcPr>
            <w:tcW w:w="3597" w:type="dxa"/>
            <w:tcBorders>
              <w:bottom w:val="single" w:color="auto" w:sz="4" w:space="0"/>
            </w:tcBorders>
          </w:tcPr>
          <w:p>
            <w:pPr>
              <w:pStyle w:val="11"/>
              <w:spacing w:line="520" w:lineRule="exact"/>
              <w:rPr>
                <w:rFonts w:hAnsi="宋体" w:cs="宋体"/>
                <w:color w:val="auto"/>
                <w:kern w:val="2"/>
                <w:sz w:val="28"/>
                <w:highlight w:val="none"/>
              </w:rPr>
            </w:pPr>
          </w:p>
        </w:tc>
        <w:tc>
          <w:tcPr>
            <w:tcW w:w="1683" w:type="dxa"/>
            <w:tcBorders>
              <w:bottom w:val="single" w:color="auto" w:sz="4" w:space="0"/>
            </w:tcBorders>
          </w:tcPr>
          <w:p>
            <w:pPr>
              <w:pStyle w:val="11"/>
              <w:spacing w:line="520" w:lineRule="exact"/>
              <w:rPr>
                <w:rFonts w:hAnsi="宋体" w:cs="宋体"/>
                <w:color w:val="auto"/>
                <w:kern w:val="2"/>
                <w:sz w:val="28"/>
                <w:highlight w:val="none"/>
              </w:rPr>
            </w:pPr>
          </w:p>
        </w:tc>
        <w:tc>
          <w:tcPr>
            <w:tcW w:w="900" w:type="dxa"/>
            <w:tcBorders>
              <w:bottom w:val="single" w:color="auto" w:sz="4" w:space="0"/>
            </w:tcBorders>
          </w:tcPr>
          <w:p>
            <w:pPr>
              <w:pStyle w:val="11"/>
              <w:spacing w:line="520" w:lineRule="exact"/>
              <w:rPr>
                <w:rFonts w:hAnsi="宋体" w:cs="宋体"/>
                <w:color w:val="auto"/>
                <w:kern w:val="2"/>
                <w:sz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852" w:type="dxa"/>
          </w:tcPr>
          <w:p>
            <w:pPr>
              <w:pStyle w:val="11"/>
              <w:spacing w:line="520" w:lineRule="exact"/>
              <w:rPr>
                <w:rFonts w:hAnsi="宋体" w:cs="宋体"/>
                <w:color w:val="auto"/>
                <w:kern w:val="2"/>
                <w:sz w:val="28"/>
                <w:highlight w:val="none"/>
              </w:rPr>
            </w:pPr>
          </w:p>
        </w:tc>
        <w:tc>
          <w:tcPr>
            <w:tcW w:w="2214" w:type="dxa"/>
          </w:tcPr>
          <w:p>
            <w:pPr>
              <w:pStyle w:val="11"/>
              <w:spacing w:line="520" w:lineRule="exact"/>
              <w:rPr>
                <w:rFonts w:hAnsi="宋体" w:cs="宋体"/>
                <w:color w:val="auto"/>
                <w:kern w:val="2"/>
                <w:sz w:val="28"/>
                <w:highlight w:val="none"/>
              </w:rPr>
            </w:pPr>
          </w:p>
        </w:tc>
        <w:tc>
          <w:tcPr>
            <w:tcW w:w="3597" w:type="dxa"/>
          </w:tcPr>
          <w:p>
            <w:pPr>
              <w:pStyle w:val="11"/>
              <w:spacing w:line="520" w:lineRule="exact"/>
              <w:rPr>
                <w:rFonts w:hAnsi="宋体" w:cs="宋体"/>
                <w:color w:val="auto"/>
                <w:kern w:val="2"/>
                <w:sz w:val="28"/>
                <w:highlight w:val="none"/>
              </w:rPr>
            </w:pPr>
          </w:p>
        </w:tc>
        <w:tc>
          <w:tcPr>
            <w:tcW w:w="1683" w:type="dxa"/>
          </w:tcPr>
          <w:p>
            <w:pPr>
              <w:pStyle w:val="11"/>
              <w:spacing w:line="520" w:lineRule="exact"/>
              <w:rPr>
                <w:rFonts w:hAnsi="宋体" w:cs="宋体"/>
                <w:color w:val="auto"/>
                <w:kern w:val="2"/>
                <w:sz w:val="28"/>
                <w:highlight w:val="none"/>
              </w:rPr>
            </w:pPr>
          </w:p>
        </w:tc>
        <w:tc>
          <w:tcPr>
            <w:tcW w:w="900" w:type="dxa"/>
          </w:tcPr>
          <w:p>
            <w:pPr>
              <w:pStyle w:val="11"/>
              <w:spacing w:line="520" w:lineRule="exact"/>
              <w:rPr>
                <w:rFonts w:hAnsi="宋体" w:cs="宋体"/>
                <w:color w:val="auto"/>
                <w:kern w:val="2"/>
                <w:sz w:val="28"/>
                <w:highlight w:val="none"/>
              </w:rPr>
            </w:pPr>
          </w:p>
        </w:tc>
      </w:tr>
    </w:tbl>
    <w:p>
      <w:pPr>
        <w:pStyle w:val="11"/>
        <w:spacing w:line="520" w:lineRule="exact"/>
        <w:rPr>
          <w:rFonts w:hAnsi="宋体" w:cs="宋体"/>
          <w:color w:val="auto"/>
          <w:sz w:val="28"/>
          <w:highlight w:val="none"/>
        </w:rPr>
      </w:pPr>
    </w:p>
    <w:p>
      <w:pPr>
        <w:pStyle w:val="11"/>
        <w:spacing w:line="520" w:lineRule="exact"/>
        <w:rPr>
          <w:rFonts w:hAnsi="宋体" w:cs="宋体"/>
          <w:color w:val="auto"/>
          <w:sz w:val="24"/>
          <w:szCs w:val="24"/>
          <w:highlight w:val="none"/>
        </w:rPr>
      </w:pPr>
      <w:r>
        <w:rPr>
          <w:rFonts w:hint="eastAsia" w:hAnsi="宋体" w:cs="宋体"/>
          <w:color w:val="auto"/>
          <w:sz w:val="24"/>
          <w:szCs w:val="24"/>
          <w:highlight w:val="none"/>
        </w:rPr>
        <w:t>供应商授权代表签字：</w:t>
      </w:r>
      <w:r>
        <w:rPr>
          <w:rFonts w:hint="eastAsia" w:hAnsi="宋体" w:cs="宋体"/>
          <w:color w:val="auto"/>
          <w:sz w:val="24"/>
          <w:szCs w:val="24"/>
          <w:highlight w:val="none"/>
        </w:rPr>
        <w:tab/>
      </w:r>
      <w:r>
        <w:rPr>
          <w:rFonts w:hint="eastAsia" w:hAnsi="宋体" w:cs="宋体"/>
          <w:color w:val="auto"/>
          <w:sz w:val="24"/>
          <w:szCs w:val="24"/>
          <w:highlight w:val="none"/>
        </w:rPr>
        <w:tab/>
      </w:r>
    </w:p>
    <w:p>
      <w:pPr>
        <w:pStyle w:val="11"/>
        <w:spacing w:line="520" w:lineRule="exact"/>
        <w:rPr>
          <w:rFonts w:hAnsi="宋体" w:cs="宋体"/>
          <w:color w:val="auto"/>
          <w:sz w:val="24"/>
          <w:szCs w:val="24"/>
          <w:highlight w:val="none"/>
        </w:rPr>
      </w:pPr>
      <w:r>
        <w:rPr>
          <w:rFonts w:hint="eastAsia" w:hAnsi="宋体" w:cs="宋体"/>
          <w:color w:val="auto"/>
          <w:sz w:val="24"/>
          <w:szCs w:val="24"/>
          <w:highlight w:val="none"/>
        </w:rPr>
        <w:t>供应商(公章):</w:t>
      </w:r>
      <w:r>
        <w:rPr>
          <w:rFonts w:hint="eastAsia" w:hAnsi="宋体" w:cs="宋体"/>
          <w:color w:val="auto"/>
          <w:sz w:val="24"/>
          <w:szCs w:val="24"/>
          <w:highlight w:val="none"/>
        </w:rPr>
        <w:tab/>
      </w:r>
      <w:r>
        <w:rPr>
          <w:rFonts w:hint="eastAsia" w:hAnsi="宋体" w:cs="宋体"/>
          <w:color w:val="auto"/>
          <w:sz w:val="24"/>
          <w:szCs w:val="24"/>
          <w:highlight w:val="none"/>
        </w:rPr>
        <w:tab/>
      </w:r>
    </w:p>
    <w:p>
      <w:pPr>
        <w:rPr>
          <w:rFonts w:ascii="宋体" w:hAnsi="宋体" w:cs="宋体"/>
          <w:color w:val="auto"/>
          <w:sz w:val="24"/>
          <w:highlight w:val="none"/>
        </w:rPr>
      </w:pPr>
    </w:p>
    <w:p>
      <w:pPr>
        <w:ind w:left="480" w:hanging="480" w:hangingChars="200"/>
        <w:rPr>
          <w:rFonts w:ascii="宋体" w:hAnsi="宋体" w:cs="宋体"/>
          <w:color w:val="auto"/>
          <w:sz w:val="24"/>
          <w:highlight w:val="none"/>
        </w:rPr>
      </w:pPr>
      <w:r>
        <w:rPr>
          <w:rFonts w:hint="eastAsia" w:ascii="宋体" w:hAnsi="宋体" w:cs="宋体"/>
          <w:color w:val="auto"/>
          <w:sz w:val="24"/>
          <w:highlight w:val="none"/>
        </w:rPr>
        <w:t>注：本项目中商务条款包括但不限于招标文件中要求的资质条件、保证金、付款条件等。</w:t>
      </w:r>
    </w:p>
    <w:p>
      <w:pPr>
        <w:spacing w:before="120" w:line="360" w:lineRule="auto"/>
        <w:outlineLvl w:val="2"/>
        <w:rPr>
          <w:rFonts w:ascii="宋体" w:hAnsi="宋体" w:cs="宋体"/>
          <w:b/>
          <w:color w:val="auto"/>
          <w:sz w:val="24"/>
          <w:highlight w:val="none"/>
        </w:rPr>
      </w:pPr>
      <w:r>
        <w:rPr>
          <w:rFonts w:hint="eastAsia" w:ascii="宋体" w:hAnsi="宋体" w:cs="宋体"/>
          <w:color w:val="auto"/>
          <w:sz w:val="24"/>
          <w:highlight w:val="none"/>
        </w:rPr>
        <w:br w:type="page"/>
      </w:r>
      <w:bookmarkStart w:id="262" w:name="_Toc332808029"/>
      <w:bookmarkStart w:id="263" w:name="_Toc13356"/>
      <w:bookmarkStart w:id="264" w:name="_Toc12822"/>
      <w:r>
        <w:rPr>
          <w:rFonts w:hint="eastAsia" w:ascii="宋体" w:hAnsi="宋体" w:cs="宋体"/>
          <w:b/>
          <w:color w:val="auto"/>
          <w:sz w:val="24"/>
          <w:highlight w:val="none"/>
        </w:rPr>
        <w:t>附件6　　　             履约保证金保函（格式）</w:t>
      </w:r>
      <w:bookmarkEnd w:id="262"/>
      <w:bookmarkEnd w:id="263"/>
      <w:bookmarkEnd w:id="264"/>
    </w:p>
    <w:p>
      <w:pPr>
        <w:spacing w:before="120" w:line="360" w:lineRule="auto"/>
        <w:jc w:val="center"/>
        <w:rPr>
          <w:rFonts w:ascii="宋体" w:hAnsi="宋体" w:cs="宋体"/>
          <w:b/>
          <w:color w:val="auto"/>
          <w:sz w:val="24"/>
          <w:highlight w:val="none"/>
        </w:rPr>
      </w:pPr>
      <w:r>
        <w:rPr>
          <w:rFonts w:hint="eastAsia" w:ascii="宋体" w:hAnsi="宋体" w:cs="宋体"/>
          <w:b/>
          <w:color w:val="auto"/>
          <w:sz w:val="24"/>
          <w:highlight w:val="none"/>
        </w:rPr>
        <w:t>（中标后开具）</w:t>
      </w:r>
    </w:p>
    <w:p>
      <w:pPr>
        <w:pStyle w:val="11"/>
        <w:spacing w:line="520" w:lineRule="exact"/>
        <w:rPr>
          <w:rFonts w:hAnsi="宋体" w:cs="宋体"/>
          <w:color w:val="auto"/>
          <w:sz w:val="28"/>
          <w:highlight w:val="none"/>
        </w:rPr>
      </w:pPr>
    </w:p>
    <w:p>
      <w:pPr>
        <w:pStyle w:val="11"/>
        <w:spacing w:before="120" w:line="360" w:lineRule="auto"/>
        <w:jc w:val="center"/>
        <w:rPr>
          <w:rFonts w:hAnsi="宋体" w:cs="宋体"/>
          <w:color w:val="auto"/>
          <w:sz w:val="24"/>
          <w:szCs w:val="24"/>
          <w:highlight w:val="none"/>
          <w:u w:val="single"/>
        </w:rPr>
      </w:pPr>
      <w:r>
        <w:rPr>
          <w:rFonts w:hint="eastAsia" w:hAnsi="宋体" w:cs="宋体"/>
          <w:color w:val="auto"/>
          <w:sz w:val="24"/>
          <w:szCs w:val="24"/>
          <w:highlight w:val="none"/>
          <w:u w:val="single"/>
        </w:rPr>
        <w:tab/>
      </w:r>
      <w:r>
        <w:rPr>
          <w:rFonts w:hint="eastAsia" w:hAnsi="宋体" w:cs="宋体"/>
          <w:color w:val="auto"/>
          <w:sz w:val="24"/>
          <w:szCs w:val="24"/>
          <w:highlight w:val="none"/>
          <w:u w:val="single"/>
        </w:rPr>
        <w:t xml:space="preserve">             号合同履约保函</w:t>
      </w:r>
    </w:p>
    <w:p>
      <w:pPr>
        <w:pStyle w:val="11"/>
        <w:spacing w:line="520" w:lineRule="exact"/>
        <w:rPr>
          <w:rFonts w:hAnsi="宋体" w:cs="宋体"/>
          <w:color w:val="auto"/>
          <w:sz w:val="28"/>
          <w:highlight w:val="none"/>
        </w:rPr>
      </w:pPr>
    </w:p>
    <w:p>
      <w:pPr>
        <w:pStyle w:val="11"/>
        <w:spacing w:before="120" w:line="360" w:lineRule="auto"/>
        <w:rPr>
          <w:rFonts w:hAnsi="宋体" w:cs="宋体"/>
          <w:color w:val="auto"/>
          <w:sz w:val="24"/>
          <w:szCs w:val="24"/>
          <w:highlight w:val="none"/>
        </w:rPr>
      </w:pPr>
      <w:r>
        <w:rPr>
          <w:rFonts w:hint="eastAsia" w:hAnsi="宋体" w:cs="宋体"/>
          <w:color w:val="auto"/>
          <w:sz w:val="24"/>
          <w:szCs w:val="24"/>
          <w:highlight w:val="none"/>
        </w:rPr>
        <w:t>致: (采购人名称)</w:t>
      </w:r>
    </w:p>
    <w:p>
      <w:pPr>
        <w:pStyle w:val="11"/>
        <w:spacing w:before="120" w:line="360" w:lineRule="auto"/>
        <w:rPr>
          <w:rFonts w:hAnsi="宋体" w:cs="宋体"/>
          <w:color w:val="auto"/>
          <w:sz w:val="24"/>
          <w:szCs w:val="24"/>
          <w:highlight w:val="none"/>
        </w:rPr>
      </w:pPr>
    </w:p>
    <w:p>
      <w:pPr>
        <w:pStyle w:val="11"/>
        <w:spacing w:before="120" w:line="360" w:lineRule="auto"/>
        <w:ind w:firstLine="480" w:firstLineChars="200"/>
        <w:rPr>
          <w:rFonts w:hAnsi="宋体" w:cs="宋体"/>
          <w:color w:val="auto"/>
          <w:sz w:val="24"/>
          <w:szCs w:val="24"/>
          <w:highlight w:val="none"/>
          <w:u w:val="single"/>
        </w:rPr>
      </w:pPr>
      <w:r>
        <w:rPr>
          <w:rFonts w:hint="eastAsia" w:hAnsi="宋体" w:cs="宋体"/>
          <w:color w:val="auto"/>
          <w:sz w:val="24"/>
          <w:szCs w:val="24"/>
          <w:highlight w:val="none"/>
        </w:rPr>
        <w:t>本保函作为贵方与(中标供应商名称)(以下简称中标供应商)于 年月</w:t>
      </w:r>
    </w:p>
    <w:p>
      <w:pPr>
        <w:pStyle w:val="11"/>
        <w:spacing w:before="120" w:line="360" w:lineRule="auto"/>
        <w:rPr>
          <w:rFonts w:hAnsi="宋体" w:cs="宋体"/>
          <w:color w:val="auto"/>
          <w:sz w:val="24"/>
          <w:szCs w:val="24"/>
          <w:highlight w:val="none"/>
        </w:rPr>
      </w:pPr>
      <w:r>
        <w:rPr>
          <w:rFonts w:hint="eastAsia" w:hAnsi="宋体" w:cs="宋体"/>
          <w:color w:val="auto"/>
          <w:sz w:val="24"/>
          <w:szCs w:val="24"/>
          <w:highlight w:val="none"/>
        </w:rPr>
        <w:t>日就 项目(以下简称项目)项下提供(服务名称)(以下简称服务)签订的(合同号)号合同的履约保函。</w:t>
      </w:r>
    </w:p>
    <w:p>
      <w:pPr>
        <w:pStyle w:val="11"/>
        <w:spacing w:before="120" w:line="360" w:lineRule="auto"/>
        <w:rPr>
          <w:rFonts w:hAnsi="宋体" w:cs="宋体"/>
          <w:color w:val="auto"/>
          <w:sz w:val="24"/>
          <w:szCs w:val="24"/>
          <w:highlight w:val="none"/>
        </w:rPr>
      </w:pPr>
    </w:p>
    <w:p>
      <w:pPr>
        <w:pStyle w:val="11"/>
        <w:spacing w:before="120" w:line="360" w:lineRule="auto"/>
        <w:ind w:firstLine="480" w:firstLineChars="200"/>
        <w:rPr>
          <w:rFonts w:hAnsi="宋体" w:cs="宋体"/>
          <w:color w:val="auto"/>
          <w:sz w:val="24"/>
          <w:szCs w:val="24"/>
          <w:highlight w:val="none"/>
        </w:rPr>
      </w:pPr>
      <w:r>
        <w:rPr>
          <w:rFonts w:hint="eastAsia" w:hAnsi="宋体" w:cs="宋体"/>
          <w:color w:val="auto"/>
          <w:sz w:val="24"/>
          <w:szCs w:val="24"/>
          <w:highlight w:val="none"/>
        </w:rPr>
        <w:t>(出具保函的银行名称)(以下简称银行)无条件地、不可撤销地具结保证本行、其继承人和受让人无追索地向贵方以(货币名称)支付总额不超过(货币数量),即相当于合同价格的 %,并以此约定如下:</w:t>
      </w:r>
    </w:p>
    <w:p>
      <w:pPr>
        <w:pStyle w:val="11"/>
        <w:spacing w:before="120" w:line="360" w:lineRule="auto"/>
        <w:rPr>
          <w:rFonts w:hAnsi="宋体" w:cs="宋体"/>
          <w:color w:val="auto"/>
          <w:sz w:val="24"/>
          <w:szCs w:val="24"/>
          <w:highlight w:val="none"/>
        </w:rPr>
      </w:pPr>
    </w:p>
    <w:p>
      <w:pPr>
        <w:pStyle w:val="11"/>
        <w:spacing w:before="120" w:line="360" w:lineRule="auto"/>
        <w:ind w:firstLine="480" w:firstLineChars="200"/>
        <w:rPr>
          <w:rFonts w:hAnsi="宋体" w:cs="宋体"/>
          <w:color w:val="auto"/>
          <w:sz w:val="24"/>
          <w:szCs w:val="24"/>
          <w:highlight w:val="none"/>
        </w:rPr>
      </w:pPr>
      <w:r>
        <w:rPr>
          <w:rFonts w:hint="eastAsia" w:hAnsi="宋体" w:cs="宋体"/>
          <w:color w:val="auto"/>
          <w:sz w:val="24"/>
          <w:szCs w:val="24"/>
          <w:highlight w:val="none"/>
        </w:rPr>
        <w:t>1.只要贵方确定中标供应商未能忠实地履行所有合同文件的规定和双方此后一致同意的修改、补充和变动,包括更改和/或者修补贵方认为有缺陷的服务(以下简称违约),无论中标供应商有任何反对,本行将凭贵方关于中标供应商违约说明的书面通知,立即按贵方提出的累计总额不超过上述金额的款项和按贵方通知规定的方式付给贵方。</w:t>
      </w:r>
    </w:p>
    <w:p>
      <w:pPr>
        <w:pStyle w:val="11"/>
        <w:spacing w:before="120" w:line="360" w:lineRule="auto"/>
        <w:rPr>
          <w:rFonts w:hAnsi="宋体" w:cs="宋体"/>
          <w:color w:val="auto"/>
          <w:sz w:val="24"/>
          <w:szCs w:val="24"/>
          <w:highlight w:val="none"/>
        </w:rPr>
      </w:pPr>
    </w:p>
    <w:p>
      <w:pPr>
        <w:pStyle w:val="11"/>
        <w:spacing w:before="120" w:line="360" w:lineRule="auto"/>
        <w:ind w:firstLine="480" w:firstLineChars="200"/>
        <w:rPr>
          <w:rFonts w:hAnsi="宋体" w:cs="宋体"/>
          <w:color w:val="auto"/>
          <w:sz w:val="24"/>
          <w:szCs w:val="24"/>
          <w:highlight w:val="none"/>
        </w:rPr>
      </w:pPr>
      <w:r>
        <w:rPr>
          <w:rFonts w:hint="eastAsia" w:hAnsi="宋体" w:cs="宋体"/>
          <w:color w:val="auto"/>
          <w:sz w:val="24"/>
          <w:szCs w:val="24"/>
          <w:highlight w:val="none"/>
        </w:rPr>
        <w:t>2.本保函项下的任何支付应当为免税和净值。对于现有或者将来的税收、关税、收费、费用扣减或者预提税款，不论这些款项是何种性质和由谁征收，都不应当从本保函项下的支付中扣除。</w:t>
      </w:r>
    </w:p>
    <w:p>
      <w:pPr>
        <w:pStyle w:val="11"/>
        <w:spacing w:before="120" w:line="360" w:lineRule="auto"/>
        <w:ind w:firstLine="480" w:firstLineChars="200"/>
        <w:rPr>
          <w:rFonts w:hAnsi="宋体" w:cs="宋体"/>
          <w:color w:val="auto"/>
          <w:sz w:val="24"/>
          <w:szCs w:val="24"/>
          <w:highlight w:val="none"/>
        </w:rPr>
      </w:pPr>
      <w:r>
        <w:rPr>
          <w:rFonts w:hint="eastAsia" w:hAnsi="宋体" w:cs="宋体"/>
          <w:color w:val="auto"/>
          <w:sz w:val="24"/>
          <w:szCs w:val="24"/>
          <w:highlight w:val="none"/>
        </w:rPr>
        <w:t>3.本保函的条款构成本行无条件的、不可撤销的直接责任。对即将履行的合同条款的任何变更、贵方在时间上的宽限、或者由贵方采取的如果没有本款可能免除本行责任的任何其他行为，均不能解除或者免除本行在本保函项下的责任。</w:t>
      </w:r>
    </w:p>
    <w:p>
      <w:pPr>
        <w:pStyle w:val="11"/>
        <w:spacing w:before="120" w:line="360" w:lineRule="auto"/>
        <w:ind w:firstLine="480" w:firstLineChars="200"/>
        <w:rPr>
          <w:rFonts w:hAnsi="宋体" w:cs="宋体"/>
          <w:color w:val="auto"/>
          <w:sz w:val="24"/>
          <w:szCs w:val="24"/>
          <w:highlight w:val="none"/>
        </w:rPr>
      </w:pPr>
      <w:r>
        <w:rPr>
          <w:rFonts w:hint="eastAsia" w:hAnsi="宋体" w:cs="宋体"/>
          <w:color w:val="auto"/>
          <w:sz w:val="24"/>
          <w:szCs w:val="24"/>
          <w:highlight w:val="none"/>
        </w:rPr>
        <w:t>4.本保函在本合同规定的保证期期满前完全有效。</w:t>
      </w:r>
    </w:p>
    <w:p>
      <w:pPr>
        <w:pStyle w:val="11"/>
        <w:spacing w:before="120" w:line="360" w:lineRule="auto"/>
        <w:rPr>
          <w:rFonts w:hAnsi="宋体" w:cs="宋体"/>
          <w:color w:val="auto"/>
          <w:sz w:val="24"/>
          <w:szCs w:val="24"/>
          <w:highlight w:val="none"/>
        </w:rPr>
      </w:pPr>
    </w:p>
    <w:p>
      <w:pPr>
        <w:pStyle w:val="11"/>
        <w:spacing w:before="120" w:line="360" w:lineRule="auto"/>
        <w:ind w:firstLine="480" w:firstLineChars="200"/>
        <w:rPr>
          <w:rFonts w:hAnsi="宋体" w:cs="宋体"/>
          <w:color w:val="auto"/>
          <w:sz w:val="24"/>
          <w:szCs w:val="24"/>
          <w:highlight w:val="none"/>
        </w:rPr>
      </w:pPr>
      <w:r>
        <w:rPr>
          <w:rFonts w:hint="eastAsia" w:hAnsi="宋体" w:cs="宋体"/>
          <w:color w:val="auto"/>
          <w:sz w:val="24"/>
          <w:szCs w:val="24"/>
          <w:highlight w:val="none"/>
        </w:rPr>
        <w:t>谨启</w:t>
      </w:r>
    </w:p>
    <w:p>
      <w:pPr>
        <w:pStyle w:val="11"/>
        <w:spacing w:before="120" w:line="360" w:lineRule="auto"/>
        <w:rPr>
          <w:rFonts w:hAnsi="宋体" w:cs="宋体"/>
          <w:color w:val="auto"/>
          <w:sz w:val="24"/>
          <w:szCs w:val="24"/>
          <w:highlight w:val="none"/>
        </w:rPr>
      </w:pPr>
    </w:p>
    <w:p>
      <w:pPr>
        <w:pStyle w:val="11"/>
        <w:spacing w:before="120" w:line="360" w:lineRule="auto"/>
        <w:rPr>
          <w:rFonts w:hAnsi="宋体" w:cs="宋体"/>
          <w:color w:val="auto"/>
          <w:sz w:val="24"/>
          <w:szCs w:val="24"/>
          <w:highlight w:val="none"/>
        </w:rPr>
      </w:pPr>
    </w:p>
    <w:p>
      <w:pPr>
        <w:pStyle w:val="11"/>
        <w:spacing w:before="120" w:line="360" w:lineRule="auto"/>
        <w:ind w:firstLine="960" w:firstLineChars="400"/>
        <w:rPr>
          <w:rFonts w:hAnsi="宋体" w:cs="宋体"/>
          <w:color w:val="auto"/>
          <w:sz w:val="24"/>
          <w:szCs w:val="24"/>
          <w:highlight w:val="none"/>
        </w:rPr>
      </w:pPr>
      <w:r>
        <w:rPr>
          <w:rFonts w:hint="eastAsia" w:hAnsi="宋体" w:cs="宋体"/>
          <w:color w:val="auto"/>
          <w:sz w:val="24"/>
          <w:szCs w:val="24"/>
          <w:highlight w:val="none"/>
        </w:rPr>
        <w:t>出具保函银行名称：</w:t>
      </w:r>
      <w:r>
        <w:rPr>
          <w:rFonts w:hint="eastAsia" w:hAnsi="宋体" w:cs="宋体"/>
          <w:color w:val="auto"/>
          <w:sz w:val="24"/>
          <w:szCs w:val="24"/>
          <w:highlight w:val="none"/>
          <w:u w:val="single"/>
        </w:rPr>
        <w:tab/>
      </w:r>
      <w:r>
        <w:rPr>
          <w:rFonts w:hint="eastAsia" w:hAnsi="宋体" w:cs="宋体"/>
          <w:color w:val="auto"/>
          <w:sz w:val="24"/>
          <w:szCs w:val="24"/>
          <w:highlight w:val="none"/>
          <w:u w:val="single"/>
        </w:rPr>
        <w:tab/>
      </w:r>
    </w:p>
    <w:p>
      <w:pPr>
        <w:pStyle w:val="11"/>
        <w:spacing w:before="120" w:line="360" w:lineRule="auto"/>
        <w:ind w:firstLine="1080" w:firstLineChars="450"/>
        <w:rPr>
          <w:rFonts w:hAnsi="宋体" w:cs="宋体"/>
          <w:color w:val="auto"/>
          <w:sz w:val="24"/>
          <w:szCs w:val="24"/>
          <w:highlight w:val="none"/>
        </w:rPr>
      </w:pPr>
      <w:r>
        <w:rPr>
          <w:rFonts w:hint="eastAsia" w:hAnsi="宋体" w:cs="宋体"/>
          <w:color w:val="auto"/>
          <w:sz w:val="24"/>
          <w:szCs w:val="24"/>
          <w:highlight w:val="none"/>
        </w:rPr>
        <w:tab/>
      </w:r>
      <w:r>
        <w:rPr>
          <w:rFonts w:hint="eastAsia" w:hAnsi="宋体" w:cs="宋体"/>
          <w:color w:val="auto"/>
          <w:sz w:val="24"/>
          <w:szCs w:val="24"/>
          <w:highlight w:val="none"/>
        </w:rPr>
        <w:tab/>
      </w:r>
    </w:p>
    <w:p>
      <w:pPr>
        <w:pStyle w:val="11"/>
        <w:spacing w:before="120" w:line="360" w:lineRule="auto"/>
        <w:rPr>
          <w:rFonts w:hAnsi="宋体" w:cs="宋体"/>
          <w:color w:val="auto"/>
          <w:sz w:val="24"/>
          <w:szCs w:val="24"/>
          <w:highlight w:val="none"/>
        </w:rPr>
      </w:pPr>
    </w:p>
    <w:p>
      <w:pPr>
        <w:pStyle w:val="11"/>
        <w:spacing w:before="120" w:line="360" w:lineRule="auto"/>
        <w:ind w:firstLine="960" w:firstLineChars="400"/>
        <w:rPr>
          <w:rFonts w:hAnsi="宋体" w:cs="宋体"/>
          <w:color w:val="auto"/>
          <w:sz w:val="24"/>
          <w:szCs w:val="24"/>
          <w:highlight w:val="none"/>
        </w:rPr>
      </w:pPr>
      <w:r>
        <w:rPr>
          <w:rFonts w:hint="eastAsia" w:hAnsi="宋体" w:cs="宋体"/>
          <w:color w:val="auto"/>
          <w:sz w:val="24"/>
          <w:szCs w:val="24"/>
          <w:highlight w:val="none"/>
        </w:rPr>
        <w:t xml:space="preserve">签字人姓名和职务： </w:t>
      </w:r>
      <w:r>
        <w:rPr>
          <w:rFonts w:hint="eastAsia" w:hAnsi="宋体" w:cs="宋体"/>
          <w:color w:val="auto"/>
          <w:sz w:val="24"/>
          <w:szCs w:val="24"/>
          <w:highlight w:val="none"/>
          <w:u w:val="single"/>
        </w:rPr>
        <w:tab/>
      </w:r>
      <w:r>
        <w:rPr>
          <w:rFonts w:hint="eastAsia" w:hAnsi="宋体" w:cs="宋体"/>
          <w:color w:val="auto"/>
          <w:sz w:val="24"/>
          <w:szCs w:val="24"/>
          <w:highlight w:val="none"/>
          <w:u w:val="single"/>
        </w:rPr>
        <w:tab/>
      </w:r>
    </w:p>
    <w:p>
      <w:pPr>
        <w:pStyle w:val="11"/>
        <w:spacing w:before="120" w:line="360" w:lineRule="auto"/>
        <w:ind w:firstLine="960" w:firstLineChars="400"/>
        <w:rPr>
          <w:rFonts w:hAnsi="宋体" w:cs="宋体"/>
          <w:color w:val="auto"/>
          <w:sz w:val="24"/>
          <w:szCs w:val="24"/>
          <w:highlight w:val="none"/>
        </w:rPr>
      </w:pPr>
      <w:r>
        <w:rPr>
          <w:rFonts w:hint="eastAsia" w:hAnsi="宋体" w:cs="宋体"/>
          <w:color w:val="auto"/>
          <w:sz w:val="24"/>
          <w:szCs w:val="24"/>
          <w:highlight w:val="none"/>
        </w:rPr>
        <w:tab/>
      </w:r>
      <w:r>
        <w:rPr>
          <w:rFonts w:hint="eastAsia" w:hAnsi="宋体" w:cs="宋体"/>
          <w:color w:val="auto"/>
          <w:sz w:val="24"/>
          <w:szCs w:val="24"/>
          <w:highlight w:val="none"/>
        </w:rPr>
        <w:tab/>
      </w:r>
    </w:p>
    <w:p>
      <w:pPr>
        <w:pStyle w:val="11"/>
        <w:spacing w:before="120" w:line="360" w:lineRule="auto"/>
        <w:rPr>
          <w:rFonts w:hAnsi="宋体" w:cs="宋体"/>
          <w:color w:val="auto"/>
          <w:sz w:val="24"/>
          <w:szCs w:val="24"/>
          <w:highlight w:val="none"/>
        </w:rPr>
      </w:pPr>
    </w:p>
    <w:p>
      <w:pPr>
        <w:pStyle w:val="11"/>
        <w:spacing w:before="120" w:line="360" w:lineRule="auto"/>
        <w:ind w:firstLine="960" w:firstLineChars="400"/>
        <w:rPr>
          <w:rFonts w:hAnsi="宋体" w:cs="宋体"/>
          <w:color w:val="auto"/>
          <w:sz w:val="24"/>
          <w:szCs w:val="24"/>
          <w:highlight w:val="none"/>
        </w:rPr>
      </w:pPr>
      <w:r>
        <w:rPr>
          <w:rFonts w:hint="eastAsia" w:hAnsi="宋体" w:cs="宋体"/>
          <w:color w:val="auto"/>
          <w:sz w:val="24"/>
          <w:szCs w:val="24"/>
          <w:highlight w:val="none"/>
        </w:rPr>
        <w:t xml:space="preserve">签字人签名： </w:t>
      </w:r>
      <w:r>
        <w:rPr>
          <w:rFonts w:hint="eastAsia" w:hAnsi="宋体" w:cs="宋体"/>
          <w:color w:val="auto"/>
          <w:sz w:val="24"/>
          <w:szCs w:val="24"/>
          <w:highlight w:val="none"/>
          <w:u w:val="single"/>
        </w:rPr>
        <w:tab/>
      </w:r>
      <w:r>
        <w:rPr>
          <w:rFonts w:hint="eastAsia" w:hAnsi="宋体" w:cs="宋体"/>
          <w:color w:val="auto"/>
          <w:sz w:val="24"/>
          <w:szCs w:val="24"/>
          <w:highlight w:val="none"/>
          <w:u w:val="single"/>
        </w:rPr>
        <w:tab/>
      </w:r>
    </w:p>
    <w:p>
      <w:pPr>
        <w:pStyle w:val="11"/>
        <w:spacing w:before="120" w:line="360" w:lineRule="auto"/>
        <w:ind w:firstLine="960" w:firstLineChars="400"/>
        <w:rPr>
          <w:rFonts w:hAnsi="宋体" w:cs="宋体"/>
          <w:color w:val="auto"/>
          <w:sz w:val="24"/>
          <w:szCs w:val="24"/>
          <w:highlight w:val="none"/>
        </w:rPr>
      </w:pPr>
      <w:r>
        <w:rPr>
          <w:rFonts w:hint="eastAsia" w:hAnsi="宋体" w:cs="宋体"/>
          <w:color w:val="auto"/>
          <w:sz w:val="24"/>
          <w:szCs w:val="24"/>
          <w:highlight w:val="none"/>
        </w:rPr>
        <w:tab/>
      </w:r>
      <w:r>
        <w:rPr>
          <w:rFonts w:hint="eastAsia" w:hAnsi="宋体" w:cs="宋体"/>
          <w:color w:val="auto"/>
          <w:sz w:val="24"/>
          <w:szCs w:val="24"/>
          <w:highlight w:val="none"/>
        </w:rPr>
        <w:tab/>
      </w:r>
    </w:p>
    <w:p>
      <w:pPr>
        <w:pStyle w:val="11"/>
        <w:spacing w:before="120" w:line="360" w:lineRule="auto"/>
        <w:rPr>
          <w:rFonts w:hAnsi="宋体" w:cs="宋体"/>
          <w:color w:val="auto"/>
          <w:sz w:val="24"/>
          <w:szCs w:val="24"/>
          <w:highlight w:val="none"/>
        </w:rPr>
      </w:pPr>
    </w:p>
    <w:p>
      <w:pPr>
        <w:pStyle w:val="11"/>
        <w:spacing w:before="120" w:line="360" w:lineRule="auto"/>
        <w:ind w:firstLine="960" w:firstLineChars="400"/>
        <w:rPr>
          <w:rFonts w:hAnsi="宋体" w:cs="宋体"/>
          <w:color w:val="auto"/>
          <w:sz w:val="24"/>
          <w:szCs w:val="24"/>
          <w:highlight w:val="none"/>
          <w:u w:val="single"/>
        </w:rPr>
      </w:pPr>
      <w:r>
        <w:rPr>
          <w:rFonts w:hint="eastAsia" w:hAnsi="宋体" w:cs="宋体"/>
          <w:color w:val="auto"/>
          <w:sz w:val="24"/>
          <w:szCs w:val="24"/>
          <w:highlight w:val="none"/>
        </w:rPr>
        <w:t xml:space="preserve">公章： </w:t>
      </w:r>
      <w:r>
        <w:rPr>
          <w:rFonts w:hint="eastAsia" w:hAnsi="宋体" w:cs="宋体"/>
          <w:color w:val="auto"/>
          <w:sz w:val="24"/>
          <w:szCs w:val="24"/>
          <w:highlight w:val="none"/>
          <w:u w:val="single"/>
        </w:rPr>
        <w:tab/>
      </w:r>
      <w:r>
        <w:rPr>
          <w:rFonts w:hint="eastAsia" w:hAnsi="宋体" w:cs="宋体"/>
          <w:color w:val="auto"/>
          <w:sz w:val="24"/>
          <w:szCs w:val="24"/>
          <w:highlight w:val="none"/>
          <w:u w:val="single"/>
        </w:rPr>
        <w:tab/>
      </w:r>
    </w:p>
    <w:p>
      <w:pPr>
        <w:pStyle w:val="11"/>
        <w:tabs>
          <w:tab w:val="left" w:pos="5580"/>
        </w:tabs>
        <w:spacing w:before="120" w:line="360" w:lineRule="auto"/>
        <w:outlineLvl w:val="2"/>
        <w:rPr>
          <w:rFonts w:hAnsi="宋体" w:cs="宋体"/>
          <w:b/>
          <w:color w:val="auto"/>
          <w:sz w:val="32"/>
          <w:szCs w:val="32"/>
          <w:highlight w:val="none"/>
        </w:rPr>
      </w:pPr>
      <w:r>
        <w:rPr>
          <w:rFonts w:hint="eastAsia" w:hAnsi="宋体" w:cs="宋体"/>
          <w:color w:val="auto"/>
          <w:sz w:val="24"/>
          <w:szCs w:val="24"/>
          <w:highlight w:val="none"/>
          <w:u w:val="single"/>
        </w:rPr>
        <w:br w:type="page"/>
      </w:r>
      <w:bookmarkStart w:id="265" w:name="_Toc332808030"/>
      <w:bookmarkStart w:id="266" w:name="_Toc14548"/>
      <w:bookmarkStart w:id="267" w:name="_Toc2167"/>
      <w:r>
        <w:rPr>
          <w:rFonts w:hint="eastAsia" w:hAnsi="宋体" w:cs="宋体"/>
          <w:b/>
          <w:color w:val="auto"/>
          <w:sz w:val="24"/>
          <w:szCs w:val="24"/>
          <w:highlight w:val="none"/>
        </w:rPr>
        <w:t>附件7　　　　            资格证明文件（格式）</w:t>
      </w:r>
      <w:bookmarkEnd w:id="265"/>
      <w:r>
        <w:rPr>
          <w:rFonts w:hint="eastAsia" w:hAnsi="宋体" w:cs="宋体"/>
          <w:b/>
          <w:color w:val="auto"/>
          <w:sz w:val="24"/>
          <w:szCs w:val="24"/>
          <w:highlight w:val="none"/>
        </w:rPr>
        <w:cr/>
      </w:r>
      <w:bookmarkEnd w:id="266"/>
      <w:bookmarkEnd w:id="267"/>
    </w:p>
    <w:p>
      <w:pPr>
        <w:pStyle w:val="11"/>
        <w:tabs>
          <w:tab w:val="left" w:pos="5580"/>
        </w:tabs>
        <w:spacing w:before="120" w:line="360" w:lineRule="auto"/>
        <w:jc w:val="center"/>
        <w:rPr>
          <w:rFonts w:hAnsi="宋体" w:cs="宋体"/>
          <w:b/>
          <w:color w:val="auto"/>
          <w:sz w:val="24"/>
          <w:szCs w:val="24"/>
          <w:highlight w:val="none"/>
        </w:rPr>
      </w:pPr>
      <w:r>
        <w:rPr>
          <w:rFonts w:hint="eastAsia" w:hAnsi="宋体" w:cs="宋体"/>
          <w:b/>
          <w:color w:val="auto"/>
          <w:sz w:val="24"/>
          <w:szCs w:val="24"/>
          <w:highlight w:val="none"/>
        </w:rPr>
        <w:t>目     录</w:t>
      </w:r>
    </w:p>
    <w:p>
      <w:pPr>
        <w:pStyle w:val="11"/>
        <w:tabs>
          <w:tab w:val="left" w:pos="5580"/>
        </w:tabs>
        <w:spacing w:before="120" w:line="360" w:lineRule="auto"/>
        <w:jc w:val="center"/>
        <w:rPr>
          <w:rFonts w:hAnsi="宋体" w:cs="宋体"/>
          <w:b/>
          <w:color w:val="auto"/>
          <w:sz w:val="24"/>
          <w:szCs w:val="24"/>
          <w:highlight w:val="none"/>
        </w:rPr>
      </w:pP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7-1 法人营业执照副本</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7-2 法定代表人的授权委托书（格式）</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7-3 供应商基本情况表（格式）</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7-4 供应商财务状况证明文件</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7-5 社会保障资金缴纳记录证明文件</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7-6 依法缴纳税收记录证明文件</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7-7 参加本次政府采购活动前三年内，在经营活动中没有重大违法记录的书面声明</w:t>
      </w:r>
    </w:p>
    <w:p>
      <w:pPr>
        <w:tabs>
          <w:tab w:val="left" w:pos="5580"/>
        </w:tabs>
        <w:spacing w:before="120" w:line="360" w:lineRule="auto"/>
        <w:ind w:left="2139" w:leftChars="733" w:hanging="600" w:hangingChars="250"/>
        <w:rPr>
          <w:rFonts w:ascii="宋体" w:hAnsi="宋体" w:cs="宋体"/>
          <w:color w:val="auto"/>
          <w:sz w:val="24"/>
          <w:highlight w:val="none"/>
        </w:rPr>
      </w:pPr>
      <w:r>
        <w:rPr>
          <w:rFonts w:hint="eastAsia" w:ascii="宋体" w:hAnsi="宋体" w:cs="宋体"/>
          <w:color w:val="auto"/>
          <w:sz w:val="24"/>
          <w:highlight w:val="none"/>
        </w:rPr>
        <w:t>7-8 招标文件要求的其他资格证明文件（如有）</w:t>
      </w:r>
    </w:p>
    <w:p>
      <w:pPr>
        <w:tabs>
          <w:tab w:val="left" w:pos="5580"/>
        </w:tabs>
        <w:spacing w:before="120" w:line="360" w:lineRule="auto"/>
        <w:outlineLvl w:val="3"/>
        <w:rPr>
          <w:rFonts w:ascii="宋体" w:hAnsi="宋体" w:cs="宋体"/>
          <w:b/>
          <w:color w:val="auto"/>
          <w:sz w:val="24"/>
          <w:highlight w:val="none"/>
        </w:rPr>
      </w:pPr>
      <w:r>
        <w:rPr>
          <w:rFonts w:hint="eastAsia" w:ascii="宋体" w:hAnsi="宋体" w:cs="宋体"/>
          <w:b/>
          <w:color w:val="auto"/>
          <w:sz w:val="28"/>
          <w:highlight w:val="none"/>
        </w:rPr>
        <w:br w:type="page"/>
      </w:r>
      <w:bookmarkStart w:id="268" w:name="_Toc20895"/>
      <w:bookmarkStart w:id="269" w:name="_Toc332808031"/>
      <w:bookmarkStart w:id="270" w:name="_Toc3029"/>
      <w:r>
        <w:rPr>
          <w:rFonts w:hint="eastAsia" w:ascii="宋体" w:hAnsi="宋体" w:cs="宋体"/>
          <w:b/>
          <w:color w:val="auto"/>
          <w:sz w:val="24"/>
          <w:highlight w:val="none"/>
        </w:rPr>
        <w:t xml:space="preserve">附件7-1    </w:t>
      </w:r>
      <w:bookmarkStart w:id="271" w:name="_Hlt520274911"/>
      <w:bookmarkEnd w:id="271"/>
      <w:r>
        <w:rPr>
          <w:rFonts w:hint="eastAsia" w:ascii="宋体" w:hAnsi="宋体" w:cs="宋体"/>
          <w:b/>
          <w:color w:val="auto"/>
          <w:sz w:val="24"/>
          <w:highlight w:val="none"/>
        </w:rPr>
        <w:t xml:space="preserve">                营业执照</w:t>
      </w:r>
      <w:bookmarkEnd w:id="268"/>
      <w:bookmarkEnd w:id="269"/>
      <w:bookmarkEnd w:id="270"/>
    </w:p>
    <w:p>
      <w:pPr>
        <w:tabs>
          <w:tab w:val="left" w:pos="5580"/>
        </w:tabs>
        <w:spacing w:before="120" w:line="360" w:lineRule="auto"/>
        <w:rPr>
          <w:rFonts w:ascii="宋体" w:hAnsi="宋体" w:cs="宋体"/>
          <w:bCs/>
          <w:color w:val="auto"/>
          <w:sz w:val="24"/>
          <w:highlight w:val="none"/>
        </w:rPr>
      </w:pPr>
    </w:p>
    <w:p>
      <w:pPr>
        <w:tabs>
          <w:tab w:val="left" w:pos="5580"/>
        </w:tabs>
        <w:spacing w:before="120" w:line="360" w:lineRule="auto"/>
        <w:rPr>
          <w:rFonts w:ascii="宋体" w:hAnsi="宋体" w:cs="宋体"/>
          <w:bCs/>
          <w:color w:val="auto"/>
          <w:sz w:val="24"/>
          <w:highlight w:val="none"/>
        </w:rPr>
      </w:pPr>
    </w:p>
    <w:p>
      <w:pPr>
        <w:tabs>
          <w:tab w:val="left" w:pos="5580"/>
        </w:tabs>
        <w:spacing w:before="120" w:line="360" w:lineRule="auto"/>
        <w:ind w:firstLine="360" w:firstLineChars="150"/>
        <w:rPr>
          <w:rFonts w:ascii="宋体" w:hAnsi="宋体" w:cs="宋体"/>
          <w:bCs/>
          <w:color w:val="auto"/>
          <w:sz w:val="24"/>
          <w:highlight w:val="none"/>
        </w:rPr>
      </w:pPr>
      <w:r>
        <w:rPr>
          <w:rFonts w:hint="eastAsia" w:ascii="宋体" w:hAnsi="宋体" w:cs="宋体"/>
          <w:bCs/>
          <w:color w:val="auto"/>
          <w:sz w:val="24"/>
          <w:highlight w:val="none"/>
        </w:rPr>
        <w:t>说明：</w:t>
      </w:r>
    </w:p>
    <w:p>
      <w:pPr>
        <w:tabs>
          <w:tab w:val="left" w:pos="5580"/>
        </w:tabs>
        <w:spacing w:before="120" w:line="360" w:lineRule="auto"/>
        <w:ind w:left="353" w:leftChars="168"/>
        <w:rPr>
          <w:rFonts w:ascii="宋体" w:hAnsi="宋体" w:cs="宋体"/>
          <w:bCs/>
          <w:color w:val="auto"/>
          <w:sz w:val="24"/>
          <w:highlight w:val="none"/>
        </w:rPr>
      </w:pPr>
      <w:r>
        <w:rPr>
          <w:rFonts w:hint="eastAsia" w:ascii="宋体" w:hAnsi="宋体" w:cs="宋体"/>
          <w:bCs/>
          <w:color w:val="auto"/>
          <w:sz w:val="24"/>
          <w:highlight w:val="none"/>
        </w:rPr>
        <w:t xml:space="preserve">1、供应商必须能够独立承担民事责任。 </w:t>
      </w:r>
    </w:p>
    <w:p>
      <w:pPr>
        <w:pStyle w:val="11"/>
        <w:tabs>
          <w:tab w:val="left" w:pos="360"/>
          <w:tab w:val="left" w:pos="5580"/>
        </w:tabs>
        <w:spacing w:before="120" w:line="360" w:lineRule="auto"/>
        <w:ind w:firstLine="352" w:firstLineChars="147"/>
        <w:rPr>
          <w:rFonts w:hAnsi="宋体" w:cs="宋体"/>
          <w:bCs/>
          <w:color w:val="auto"/>
          <w:sz w:val="24"/>
          <w:szCs w:val="24"/>
          <w:highlight w:val="none"/>
        </w:rPr>
      </w:pPr>
      <w:r>
        <w:rPr>
          <w:rFonts w:hint="eastAsia" w:hAnsi="宋体" w:cs="宋体"/>
          <w:bCs/>
          <w:color w:val="auto"/>
          <w:sz w:val="24"/>
          <w:szCs w:val="24"/>
          <w:highlight w:val="none"/>
        </w:rPr>
        <w:t>2、供应商必须提供</w:t>
      </w:r>
      <w:r>
        <w:rPr>
          <w:rFonts w:hint="eastAsia" w:hAnsi="宋体" w:cs="宋体"/>
          <w:bCs/>
          <w:color w:val="auto"/>
          <w:sz w:val="24"/>
          <w:szCs w:val="24"/>
          <w:highlight w:val="none"/>
          <w:shd w:val="clear" w:color="auto" w:fill="FFFFFF"/>
        </w:rPr>
        <w:t>加载统一社会信用代码的营业执照</w:t>
      </w:r>
      <w:r>
        <w:rPr>
          <w:rFonts w:hint="eastAsia" w:hAnsi="宋体" w:cs="宋体"/>
          <w:bCs/>
          <w:color w:val="auto"/>
          <w:sz w:val="24"/>
          <w:szCs w:val="24"/>
          <w:highlight w:val="none"/>
        </w:rPr>
        <w:t>复印件，并加盖供应商单位公章予以证明。</w:t>
      </w:r>
    </w:p>
    <w:p>
      <w:pPr>
        <w:pStyle w:val="11"/>
        <w:tabs>
          <w:tab w:val="left" w:pos="-720"/>
          <w:tab w:val="left" w:pos="5580"/>
        </w:tabs>
        <w:spacing w:before="120" w:line="360" w:lineRule="auto"/>
        <w:ind w:left="10" w:leftChars="5" w:firstLine="338" w:firstLineChars="141"/>
        <w:rPr>
          <w:rFonts w:hAnsi="宋体" w:cs="宋体"/>
          <w:bCs/>
          <w:color w:val="auto"/>
          <w:sz w:val="24"/>
          <w:szCs w:val="24"/>
          <w:highlight w:val="none"/>
        </w:rPr>
      </w:pPr>
      <w:r>
        <w:rPr>
          <w:rFonts w:hint="eastAsia" w:hAnsi="宋体" w:cs="宋体"/>
          <w:bCs/>
          <w:color w:val="auto"/>
          <w:sz w:val="24"/>
          <w:szCs w:val="24"/>
          <w:highlight w:val="none"/>
        </w:rPr>
        <w:t>3、若为事业单位法人，需要提供有效的事业单位法人证书复印件，并加盖供应商单位公章予以证明。</w:t>
      </w:r>
    </w:p>
    <w:p>
      <w:pPr>
        <w:pStyle w:val="11"/>
        <w:tabs>
          <w:tab w:val="left" w:pos="5580"/>
        </w:tabs>
        <w:spacing w:before="120" w:line="360" w:lineRule="auto"/>
        <w:ind w:firstLine="360" w:firstLineChars="150"/>
        <w:rPr>
          <w:rFonts w:hAnsi="宋体" w:cs="宋体"/>
          <w:bCs/>
          <w:color w:val="auto"/>
          <w:sz w:val="24"/>
          <w:szCs w:val="24"/>
          <w:highlight w:val="none"/>
        </w:rPr>
      </w:pPr>
      <w:r>
        <w:rPr>
          <w:rFonts w:hint="eastAsia" w:hAnsi="宋体" w:cs="宋体"/>
          <w:bCs/>
          <w:color w:val="auto"/>
          <w:sz w:val="24"/>
          <w:szCs w:val="24"/>
          <w:highlight w:val="none"/>
        </w:rPr>
        <w:t>4、若为非法人企业，需要提供经有权机关有效查验的其他资格证明，并加盖供应商单位公章予以证明。</w:t>
      </w:r>
    </w:p>
    <w:p>
      <w:pPr>
        <w:rPr>
          <w:rFonts w:ascii="宋体" w:hAnsi="宋体" w:cs="宋体"/>
          <w:bCs/>
          <w:color w:val="auto"/>
          <w:kern w:val="0"/>
          <w:sz w:val="28"/>
          <w:highlight w:val="none"/>
        </w:rPr>
      </w:pPr>
    </w:p>
    <w:p>
      <w:pPr>
        <w:tabs>
          <w:tab w:val="left" w:pos="5580"/>
        </w:tabs>
        <w:spacing w:before="120" w:line="360" w:lineRule="auto"/>
        <w:outlineLvl w:val="3"/>
        <w:rPr>
          <w:rFonts w:ascii="宋体" w:hAnsi="宋体" w:cs="宋体"/>
          <w:b/>
          <w:bCs/>
          <w:color w:val="auto"/>
          <w:sz w:val="24"/>
          <w:highlight w:val="none"/>
        </w:rPr>
      </w:pPr>
      <w:bookmarkStart w:id="272" w:name="_Toc520356226"/>
      <w:r>
        <w:rPr>
          <w:rFonts w:hint="eastAsia" w:ascii="宋体" w:hAnsi="宋体" w:cs="宋体"/>
          <w:b/>
          <w:bCs/>
          <w:color w:val="auto"/>
          <w:sz w:val="28"/>
          <w:highlight w:val="none"/>
        </w:rPr>
        <w:br w:type="page"/>
      </w:r>
      <w:bookmarkStart w:id="273" w:name="_Toc332808032"/>
      <w:bookmarkStart w:id="274" w:name="_Toc20203"/>
      <w:bookmarkStart w:id="275" w:name="_Toc2217"/>
      <w:r>
        <w:rPr>
          <w:rFonts w:hint="eastAsia" w:ascii="宋体" w:hAnsi="宋体" w:cs="宋体"/>
          <w:b/>
          <w:bCs/>
          <w:color w:val="auto"/>
          <w:sz w:val="24"/>
          <w:highlight w:val="none"/>
        </w:rPr>
        <w:t xml:space="preserve">附件7-2   </w:t>
      </w:r>
      <w:bookmarkEnd w:id="272"/>
      <w:bookmarkEnd w:id="273"/>
      <w:bookmarkStart w:id="276" w:name="_Toc332808033"/>
      <w:r>
        <w:rPr>
          <w:rFonts w:hint="eastAsia" w:ascii="宋体" w:hAnsi="宋体" w:cs="宋体"/>
          <w:b/>
          <w:bCs/>
          <w:color w:val="auto"/>
          <w:sz w:val="24"/>
          <w:highlight w:val="none"/>
        </w:rPr>
        <w:t>法定代表人的授权委托书(格式)</w:t>
      </w:r>
      <w:bookmarkEnd w:id="274"/>
      <w:bookmarkEnd w:id="275"/>
      <w:bookmarkEnd w:id="276"/>
    </w:p>
    <w:p>
      <w:pPr>
        <w:tabs>
          <w:tab w:val="left" w:pos="5580"/>
        </w:tabs>
        <w:spacing w:before="120" w:line="360" w:lineRule="auto"/>
        <w:rPr>
          <w:rFonts w:ascii="宋体" w:hAnsi="宋体" w:cs="宋体"/>
          <w:bCs/>
          <w:color w:val="auto"/>
          <w:sz w:val="24"/>
          <w:highlight w:val="none"/>
        </w:rPr>
      </w:pPr>
    </w:p>
    <w:p>
      <w:pPr>
        <w:tabs>
          <w:tab w:val="left" w:pos="5580"/>
        </w:tabs>
        <w:spacing w:before="120" w:line="360" w:lineRule="auto"/>
        <w:rPr>
          <w:rFonts w:ascii="宋体" w:hAnsi="宋体" w:cs="宋体"/>
          <w:bCs/>
          <w:color w:val="auto"/>
          <w:sz w:val="24"/>
          <w:highlight w:val="none"/>
        </w:rPr>
      </w:pPr>
      <w:r>
        <w:rPr>
          <w:rFonts w:hint="eastAsia" w:ascii="宋体" w:hAnsi="宋体" w:cs="宋体"/>
          <w:bCs/>
          <w:color w:val="auto"/>
          <w:sz w:val="24"/>
          <w:highlight w:val="none"/>
        </w:rPr>
        <w:cr/>
      </w:r>
      <w:r>
        <w:rPr>
          <w:rFonts w:hint="eastAsia" w:ascii="宋体" w:hAnsi="宋体" w:cs="宋体"/>
          <w:bCs/>
          <w:color w:val="auto"/>
          <w:sz w:val="24"/>
          <w:highlight w:val="none"/>
        </w:rPr>
        <w:t xml:space="preserve">    本授权书声明：注册于（国家或者地区的名称）的（公司名称）的在下面签字的（法定代表人姓名、职务）代表本公司授权（单位名称）的在下面签字的（被授权人的姓名、职务）为本公司的合法代理人，在（项目名称）的采购项目中（含投标和转为其他方式），以本公司名义处理采购过程中除质疑以外的有关事务。</w:t>
      </w:r>
      <w:r>
        <w:rPr>
          <w:rFonts w:hint="eastAsia" w:ascii="宋体" w:hAnsi="宋体" w:cs="宋体"/>
          <w:bCs/>
          <w:color w:val="auto"/>
          <w:sz w:val="24"/>
          <w:highlight w:val="none"/>
        </w:rPr>
        <w:cr/>
      </w:r>
      <w:r>
        <w:rPr>
          <w:rFonts w:hint="eastAsia" w:ascii="宋体" w:hAnsi="宋体" w:cs="宋体"/>
          <w:bCs/>
          <w:color w:val="auto"/>
          <w:sz w:val="24"/>
          <w:highlight w:val="none"/>
        </w:rPr>
        <w:cr/>
      </w:r>
      <w:r>
        <w:rPr>
          <w:rFonts w:hint="eastAsia" w:ascii="宋体" w:hAnsi="宋体" w:cs="宋体"/>
          <w:bCs/>
          <w:color w:val="auto"/>
          <w:sz w:val="24"/>
          <w:highlight w:val="none"/>
        </w:rPr>
        <w:t>　　</w:t>
      </w:r>
    </w:p>
    <w:p>
      <w:pPr>
        <w:pStyle w:val="6"/>
        <w:spacing w:before="120" w:line="360" w:lineRule="auto"/>
        <w:ind w:firstLine="480" w:firstLineChars="200"/>
        <w:rPr>
          <w:rFonts w:ascii="宋体" w:hAnsi="宋体" w:cs="宋体"/>
          <w:color w:val="auto"/>
          <w:sz w:val="24"/>
          <w:highlight w:val="none"/>
        </w:rPr>
      </w:pPr>
      <w:r>
        <w:rPr>
          <w:rFonts w:hint="eastAsia" w:ascii="宋体" w:hAnsi="宋体" w:cs="宋体"/>
          <w:bCs/>
          <w:color w:val="auto"/>
          <w:sz w:val="24"/>
          <w:highlight w:val="none"/>
        </w:rPr>
        <w:t>本授权书于：</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bCs/>
          <w:color w:val="auto"/>
          <w:sz w:val="24"/>
          <w:highlight w:val="none"/>
        </w:rPr>
        <w:t>年</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bCs/>
          <w:color w:val="auto"/>
          <w:sz w:val="24"/>
          <w:highlight w:val="none"/>
        </w:rPr>
        <w:t>月</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bCs/>
          <w:color w:val="auto"/>
          <w:sz w:val="24"/>
          <w:highlight w:val="none"/>
        </w:rPr>
        <w:t>日签字生效,至领取投标保证金时失效，特此声明。</w:t>
      </w:r>
      <w:r>
        <w:rPr>
          <w:rFonts w:hint="eastAsia" w:ascii="宋体" w:hAnsi="宋体" w:cs="宋体"/>
          <w:bCs/>
          <w:color w:val="auto"/>
          <w:sz w:val="24"/>
          <w:highlight w:val="none"/>
        </w:rPr>
        <w:cr/>
      </w:r>
      <w:r>
        <w:rPr>
          <w:rFonts w:hint="eastAsia" w:ascii="宋体" w:hAnsi="宋体" w:cs="宋体"/>
          <w:bCs/>
          <w:color w:val="auto"/>
          <w:sz w:val="24"/>
          <w:highlight w:val="none"/>
        </w:rPr>
        <w:cr/>
      </w:r>
      <w:r>
        <w:rPr>
          <w:rFonts w:hint="eastAsia" w:ascii="宋体" w:hAnsi="宋体" w:cs="宋体"/>
          <w:bCs/>
          <w:color w:val="auto"/>
          <w:sz w:val="24"/>
          <w:highlight w:val="none"/>
          <w:lang w:val="en-US" w:eastAsia="zh-CN"/>
        </w:rPr>
        <w:t xml:space="preserve">   </w:t>
      </w:r>
      <w:r>
        <w:rPr>
          <w:rFonts w:hint="eastAsia" w:ascii="宋体" w:hAnsi="宋体" w:cs="宋体"/>
          <w:color w:val="auto"/>
          <w:sz w:val="24"/>
          <w:highlight w:val="none"/>
        </w:rPr>
        <w:t>法定代表人签字：</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lang w:val="en-US" w:eastAsia="zh-CN"/>
        </w:rPr>
        <w:t xml:space="preserve">               </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p>
    <w:p>
      <w:pPr>
        <w:pStyle w:val="11"/>
        <w:tabs>
          <w:tab w:val="left" w:pos="5580"/>
        </w:tabs>
        <w:spacing w:before="120" w:line="360" w:lineRule="auto"/>
        <w:ind w:left="360" w:hanging="360" w:hangingChars="150"/>
        <w:rPr>
          <w:rFonts w:hAnsi="宋体" w:cs="宋体"/>
          <w:color w:val="auto"/>
          <w:sz w:val="24"/>
          <w:szCs w:val="24"/>
          <w:highlight w:val="none"/>
        </w:rPr>
      </w:pPr>
      <w:r>
        <w:rPr>
          <w:rFonts w:hint="eastAsia" w:hAnsi="宋体" w:cs="宋体"/>
          <w:color w:val="auto"/>
          <w:sz w:val="24"/>
          <w:szCs w:val="24"/>
          <w:highlight w:val="none"/>
        </w:rPr>
        <w:cr/>
      </w:r>
      <w:r>
        <w:rPr>
          <w:rFonts w:hint="eastAsia" w:hAnsi="宋体" w:cs="宋体"/>
          <w:color w:val="auto"/>
          <w:sz w:val="24"/>
          <w:szCs w:val="24"/>
          <w:highlight w:val="none"/>
        </w:rPr>
        <w:t>被授权人签字：</w:t>
      </w:r>
      <w:r>
        <w:rPr>
          <w:rFonts w:hint="eastAsia" w:hAnsi="宋体" w:cs="宋体"/>
          <w:color w:val="auto"/>
          <w:sz w:val="24"/>
          <w:szCs w:val="24"/>
          <w:highlight w:val="none"/>
          <w:u w:val="single"/>
        </w:rPr>
        <w:tab/>
      </w:r>
    </w:p>
    <w:p>
      <w:pPr>
        <w:pStyle w:val="11"/>
        <w:tabs>
          <w:tab w:val="left" w:pos="5580"/>
        </w:tabs>
        <w:spacing w:before="120" w:line="360" w:lineRule="auto"/>
        <w:ind w:left="360" w:hanging="360" w:hangingChars="150"/>
        <w:rPr>
          <w:rFonts w:hAnsi="宋体" w:cs="宋体"/>
          <w:color w:val="auto"/>
          <w:sz w:val="24"/>
          <w:szCs w:val="24"/>
          <w:highlight w:val="none"/>
        </w:rPr>
      </w:pPr>
      <w:r>
        <w:rPr>
          <w:rFonts w:hint="eastAsia" w:hAnsi="宋体" w:cs="宋体"/>
          <w:color w:val="auto"/>
          <w:sz w:val="24"/>
          <w:szCs w:val="24"/>
          <w:highlight w:val="none"/>
        </w:rPr>
        <w:cr/>
      </w:r>
      <w:r>
        <w:rPr>
          <w:rFonts w:hint="eastAsia" w:hAnsi="宋体" w:cs="宋体"/>
          <w:color w:val="auto"/>
          <w:sz w:val="24"/>
          <w:szCs w:val="24"/>
          <w:highlight w:val="none"/>
        </w:rPr>
        <w:t>供应商单位公章：</w:t>
      </w:r>
      <w:r>
        <w:rPr>
          <w:rFonts w:hint="eastAsia" w:hAnsi="宋体" w:cs="宋体"/>
          <w:color w:val="auto"/>
          <w:sz w:val="24"/>
          <w:szCs w:val="24"/>
          <w:highlight w:val="none"/>
          <w:u w:val="single"/>
        </w:rPr>
        <w:tab/>
      </w:r>
    </w:p>
    <w:p>
      <w:pPr>
        <w:pStyle w:val="11"/>
        <w:tabs>
          <w:tab w:val="left" w:pos="5580"/>
        </w:tabs>
        <w:spacing w:before="120" w:line="360" w:lineRule="auto"/>
        <w:rPr>
          <w:rFonts w:hAnsi="宋体" w:cs="宋体"/>
          <w:color w:val="auto"/>
          <w:sz w:val="24"/>
          <w:szCs w:val="24"/>
          <w:highlight w:val="none"/>
        </w:rPr>
      </w:pPr>
    </w:p>
    <w:p>
      <w:pPr>
        <w:pStyle w:val="11"/>
        <w:tabs>
          <w:tab w:val="left" w:pos="5580"/>
        </w:tabs>
        <w:spacing w:before="120" w:line="360" w:lineRule="auto"/>
        <w:ind w:firstLine="360" w:firstLineChars="150"/>
        <w:rPr>
          <w:rFonts w:hAnsi="宋体" w:cs="宋体"/>
          <w:color w:val="auto"/>
          <w:sz w:val="24"/>
          <w:szCs w:val="24"/>
          <w:highlight w:val="none"/>
        </w:rPr>
      </w:pPr>
      <w:r>
        <w:rPr>
          <w:rFonts w:hint="eastAsia" w:hAnsi="宋体" w:cs="宋体"/>
          <w:color w:val="auto"/>
          <w:sz w:val="24"/>
          <w:szCs w:val="24"/>
          <w:highlight w:val="none"/>
        </w:rPr>
        <w:t>附：</w:t>
      </w:r>
    </w:p>
    <w:p>
      <w:pPr>
        <w:pStyle w:val="11"/>
        <w:tabs>
          <w:tab w:val="left" w:pos="5305"/>
        </w:tabs>
        <w:spacing w:before="120" w:line="360" w:lineRule="auto"/>
        <w:ind w:firstLine="360" w:firstLineChars="150"/>
        <w:rPr>
          <w:rFonts w:hAnsi="宋体" w:cs="宋体"/>
          <w:color w:val="auto"/>
          <w:sz w:val="24"/>
          <w:szCs w:val="24"/>
          <w:highlight w:val="none"/>
        </w:rPr>
      </w:pPr>
      <w:r>
        <w:rPr>
          <w:rFonts w:hint="eastAsia" w:hAnsi="宋体" w:cs="宋体"/>
          <w:color w:val="auto"/>
          <w:sz w:val="24"/>
          <w:szCs w:val="24"/>
          <w:highlight w:val="none"/>
        </w:rPr>
        <w:t>被授权人姓名：</w:t>
      </w:r>
      <w:r>
        <w:rPr>
          <w:rFonts w:hint="eastAsia" w:hAnsi="宋体" w:cs="宋体"/>
          <w:color w:val="auto"/>
          <w:sz w:val="24"/>
          <w:szCs w:val="24"/>
          <w:highlight w:val="none"/>
          <w:u w:val="single"/>
        </w:rPr>
        <w:tab/>
      </w:r>
    </w:p>
    <w:p>
      <w:pPr>
        <w:pStyle w:val="11"/>
        <w:tabs>
          <w:tab w:val="left" w:pos="5315"/>
        </w:tabs>
        <w:spacing w:before="120" w:line="360" w:lineRule="auto"/>
        <w:ind w:firstLine="360" w:firstLineChars="150"/>
        <w:rPr>
          <w:rFonts w:hAnsi="宋体" w:cs="宋体"/>
          <w:color w:val="auto"/>
          <w:sz w:val="24"/>
          <w:szCs w:val="24"/>
          <w:highlight w:val="none"/>
        </w:rPr>
      </w:pPr>
      <w:r>
        <w:rPr>
          <w:rFonts w:hint="eastAsia" w:hAnsi="宋体" w:cs="宋体"/>
          <w:color w:val="auto"/>
          <w:sz w:val="24"/>
          <w:szCs w:val="24"/>
          <w:highlight w:val="none"/>
        </w:rPr>
        <w:t>职务：</w:t>
      </w:r>
      <w:r>
        <w:rPr>
          <w:rFonts w:hint="eastAsia" w:hAnsi="宋体" w:cs="宋体"/>
          <w:color w:val="auto"/>
          <w:sz w:val="24"/>
          <w:szCs w:val="24"/>
          <w:highlight w:val="none"/>
          <w:u w:val="single"/>
        </w:rPr>
        <w:tab/>
      </w:r>
    </w:p>
    <w:p>
      <w:pPr>
        <w:pStyle w:val="11"/>
        <w:tabs>
          <w:tab w:val="left" w:pos="5305"/>
        </w:tabs>
        <w:spacing w:before="120" w:line="360" w:lineRule="auto"/>
        <w:ind w:firstLine="360" w:firstLineChars="150"/>
        <w:rPr>
          <w:rFonts w:hAnsi="宋体" w:cs="宋体"/>
          <w:color w:val="auto"/>
          <w:sz w:val="24"/>
          <w:szCs w:val="24"/>
          <w:highlight w:val="none"/>
        </w:rPr>
      </w:pPr>
      <w:r>
        <w:rPr>
          <w:rFonts w:hint="eastAsia" w:hAnsi="宋体" w:cs="宋体"/>
          <w:color w:val="auto"/>
          <w:sz w:val="24"/>
          <w:szCs w:val="24"/>
          <w:highlight w:val="none"/>
        </w:rPr>
        <w:t>详细通讯地址：</w:t>
      </w:r>
      <w:r>
        <w:rPr>
          <w:rFonts w:hint="eastAsia" w:hAnsi="宋体" w:cs="宋体"/>
          <w:color w:val="auto"/>
          <w:sz w:val="24"/>
          <w:szCs w:val="24"/>
          <w:highlight w:val="none"/>
          <w:u w:val="single"/>
        </w:rPr>
        <w:tab/>
      </w:r>
    </w:p>
    <w:p>
      <w:pPr>
        <w:pStyle w:val="11"/>
        <w:tabs>
          <w:tab w:val="left" w:pos="5305"/>
        </w:tabs>
        <w:spacing w:before="120" w:line="360" w:lineRule="auto"/>
        <w:ind w:firstLine="360" w:firstLineChars="150"/>
        <w:rPr>
          <w:rFonts w:hAnsi="宋体" w:cs="宋体"/>
          <w:color w:val="auto"/>
          <w:sz w:val="24"/>
          <w:szCs w:val="24"/>
          <w:highlight w:val="none"/>
        </w:rPr>
      </w:pPr>
      <w:r>
        <w:rPr>
          <w:rFonts w:hint="eastAsia" w:hAnsi="宋体" w:cs="宋体"/>
          <w:color w:val="auto"/>
          <w:sz w:val="24"/>
          <w:szCs w:val="24"/>
          <w:highlight w:val="none"/>
        </w:rPr>
        <w:t>邮政编码：</w:t>
      </w:r>
      <w:r>
        <w:rPr>
          <w:rFonts w:hint="eastAsia" w:hAnsi="宋体" w:cs="宋体"/>
          <w:color w:val="auto"/>
          <w:sz w:val="24"/>
          <w:szCs w:val="24"/>
          <w:highlight w:val="none"/>
          <w:u w:val="single"/>
        </w:rPr>
        <w:tab/>
      </w:r>
    </w:p>
    <w:p>
      <w:pPr>
        <w:pStyle w:val="11"/>
        <w:tabs>
          <w:tab w:val="left" w:pos="5305"/>
        </w:tabs>
        <w:spacing w:before="120" w:line="360" w:lineRule="auto"/>
        <w:ind w:firstLine="360" w:firstLineChars="150"/>
        <w:rPr>
          <w:rFonts w:hAnsi="宋体" w:cs="宋体"/>
          <w:color w:val="auto"/>
          <w:sz w:val="24"/>
          <w:szCs w:val="24"/>
          <w:highlight w:val="none"/>
        </w:rPr>
      </w:pPr>
      <w:r>
        <w:rPr>
          <w:rFonts w:hint="eastAsia" w:hAnsi="宋体" w:cs="宋体"/>
          <w:color w:val="auto"/>
          <w:sz w:val="24"/>
          <w:szCs w:val="24"/>
          <w:highlight w:val="none"/>
        </w:rPr>
        <w:t>传真：</w:t>
      </w:r>
      <w:r>
        <w:rPr>
          <w:rFonts w:hint="eastAsia" w:hAnsi="宋体" w:cs="宋体"/>
          <w:color w:val="auto"/>
          <w:sz w:val="24"/>
          <w:szCs w:val="24"/>
          <w:highlight w:val="none"/>
          <w:u w:val="single"/>
        </w:rPr>
        <w:tab/>
      </w:r>
    </w:p>
    <w:p>
      <w:pPr>
        <w:tabs>
          <w:tab w:val="left" w:pos="5340"/>
        </w:tabs>
        <w:spacing w:before="120" w:line="360" w:lineRule="auto"/>
        <w:ind w:firstLine="360" w:firstLineChars="150"/>
        <w:rPr>
          <w:rFonts w:ascii="宋体" w:hAnsi="宋体" w:cs="宋体"/>
          <w:color w:val="auto"/>
          <w:sz w:val="28"/>
          <w:highlight w:val="none"/>
        </w:rPr>
      </w:pPr>
      <w:r>
        <w:rPr>
          <w:rFonts w:hint="eastAsia" w:ascii="宋体" w:hAnsi="宋体" w:cs="宋体"/>
          <w:color w:val="auto"/>
          <w:sz w:val="24"/>
          <w:highlight w:val="none"/>
        </w:rPr>
        <w:t>电话：</w:t>
      </w:r>
      <w:r>
        <w:rPr>
          <w:rFonts w:hint="eastAsia" w:ascii="宋体" w:hAnsi="宋体" w:cs="宋体"/>
          <w:color w:val="auto"/>
          <w:sz w:val="24"/>
          <w:highlight w:val="none"/>
          <w:u w:val="single"/>
        </w:rPr>
        <w:tab/>
      </w:r>
    </w:p>
    <w:p>
      <w:pPr>
        <w:tabs>
          <w:tab w:val="left" w:pos="5580"/>
        </w:tabs>
        <w:spacing w:before="120" w:line="360" w:lineRule="auto"/>
        <w:outlineLvl w:val="3"/>
        <w:rPr>
          <w:rFonts w:ascii="宋体" w:hAnsi="宋体" w:cs="宋体"/>
          <w:b/>
          <w:bCs/>
          <w:color w:val="auto"/>
          <w:sz w:val="24"/>
          <w:highlight w:val="none"/>
        </w:rPr>
      </w:pPr>
      <w:r>
        <w:rPr>
          <w:rFonts w:hint="eastAsia" w:ascii="宋体" w:hAnsi="宋体" w:cs="宋体"/>
          <w:b/>
          <w:bCs/>
          <w:color w:val="auto"/>
          <w:sz w:val="28"/>
          <w:highlight w:val="none"/>
        </w:rPr>
        <w:br w:type="page"/>
      </w:r>
      <w:bookmarkStart w:id="277" w:name="_Toc15373"/>
      <w:bookmarkStart w:id="278" w:name="_Toc15930"/>
      <w:bookmarkStart w:id="279" w:name="_Toc332808034"/>
      <w:r>
        <w:rPr>
          <w:rFonts w:hint="eastAsia" w:ascii="宋体" w:hAnsi="宋体" w:cs="宋体"/>
          <w:b/>
          <w:bCs/>
          <w:color w:val="auto"/>
          <w:sz w:val="24"/>
          <w:highlight w:val="none"/>
        </w:rPr>
        <w:t>附件7-3                 供应商基本情况表　(格式)</w:t>
      </w:r>
      <w:bookmarkEnd w:id="277"/>
      <w:bookmarkEnd w:id="278"/>
      <w:bookmarkEnd w:id="279"/>
    </w:p>
    <w:p>
      <w:pPr>
        <w:tabs>
          <w:tab w:val="left" w:pos="5580"/>
        </w:tabs>
        <w:spacing w:before="120" w:line="360" w:lineRule="auto"/>
        <w:jc w:val="center"/>
        <w:rPr>
          <w:rFonts w:ascii="宋体" w:hAnsi="宋体" w:cs="宋体"/>
          <w:b/>
          <w:color w:val="auto"/>
          <w:sz w:val="24"/>
          <w:highlight w:val="none"/>
        </w:rPr>
      </w:pPr>
    </w:p>
    <w:tbl>
      <w:tblPr>
        <w:tblStyle w:val="28"/>
        <w:tblW w:w="9332"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1416"/>
        <w:gridCol w:w="847"/>
        <w:gridCol w:w="360"/>
        <w:gridCol w:w="1630"/>
        <w:gridCol w:w="1000"/>
        <w:gridCol w:w="419"/>
        <w:gridCol w:w="919"/>
        <w:gridCol w:w="461"/>
        <w:gridCol w:w="228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510" w:hRule="atLeast"/>
          <w:jc w:val="center"/>
        </w:trPr>
        <w:tc>
          <w:tcPr>
            <w:tcW w:w="1416" w:type="dxa"/>
            <w:tcBorders>
              <w:top w:val="single" w:color="auto" w:sz="4" w:space="0"/>
              <w:left w:val="single" w:color="auto" w:sz="8" w:space="0"/>
              <w:bottom w:val="single" w:color="auto" w:sz="4" w:space="0"/>
              <w:right w:val="single" w:color="auto" w:sz="4" w:space="0"/>
            </w:tcBorders>
            <w:vAlign w:val="center"/>
          </w:tcPr>
          <w:p>
            <w:pPr>
              <w:pStyle w:val="18"/>
              <w:spacing w:line="360" w:lineRule="auto"/>
              <w:ind w:left="0" w:firstLine="0"/>
              <w:jc w:val="center"/>
              <w:rPr>
                <w:rFonts w:asciiTheme="minorEastAsia" w:hAnsiTheme="minorEastAsia" w:eastAsiaTheme="minorEastAsia" w:cstheme="minorEastAsia"/>
                <w:color w:val="auto"/>
                <w:sz w:val="24"/>
                <w:szCs w:val="24"/>
                <w:highlight w:val="none"/>
              </w:rPr>
            </w:pPr>
            <w:r>
              <w:rPr>
                <w:rFonts w:hint="eastAsia" w:ascii="宋体" w:hAnsi="宋体" w:cs="宋体"/>
                <w:color w:val="auto"/>
                <w:sz w:val="24"/>
                <w:highlight w:val="none"/>
              </w:rPr>
              <w:t>供应商</w:t>
            </w:r>
            <w:r>
              <w:rPr>
                <w:rFonts w:hint="eastAsia" w:asciiTheme="minorEastAsia" w:hAnsiTheme="minorEastAsia" w:eastAsiaTheme="minorEastAsia" w:cstheme="minorEastAsia"/>
                <w:color w:val="auto"/>
                <w:sz w:val="24"/>
                <w:szCs w:val="24"/>
                <w:highlight w:val="none"/>
              </w:rPr>
              <w:t>名称</w:t>
            </w:r>
          </w:p>
        </w:tc>
        <w:tc>
          <w:tcPr>
            <w:tcW w:w="3837" w:type="dxa"/>
            <w:gridSpan w:val="4"/>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1338" w:type="dxa"/>
            <w:gridSpan w:val="2"/>
            <w:vMerge w:val="restart"/>
            <w:tcBorders>
              <w:top w:val="single" w:color="auto" w:sz="4" w:space="0"/>
              <w:left w:val="single" w:color="auto" w:sz="4" w:space="0"/>
              <w:right w:val="single" w:color="auto" w:sz="4" w:space="0"/>
            </w:tcBorders>
            <w:vAlign w:val="center"/>
          </w:tcPr>
          <w:p>
            <w:pPr>
              <w:pStyle w:val="18"/>
              <w:spacing w:line="360" w:lineRule="auto"/>
              <w:jc w:val="center"/>
              <w:rPr>
                <w:rFonts w:ascii="宋体" w:hAnsi="宋体" w:cs="宋体"/>
                <w:b/>
                <w:bCs/>
                <w:color w:val="auto"/>
                <w:sz w:val="24"/>
                <w:szCs w:val="24"/>
                <w:highlight w:val="none"/>
                <w:shd w:val="clear" w:color="auto" w:fill="FFFFFF"/>
              </w:rPr>
            </w:pPr>
            <w:r>
              <w:rPr>
                <w:rFonts w:hint="eastAsia" w:ascii="宋体" w:hAnsi="宋体" w:cs="宋体"/>
                <w:b/>
                <w:bCs/>
                <w:color w:val="auto"/>
                <w:sz w:val="24"/>
                <w:szCs w:val="24"/>
                <w:highlight w:val="none"/>
                <w:shd w:val="clear" w:color="auto" w:fill="FFFFFF"/>
              </w:rPr>
              <w:t>统一社会</w:t>
            </w:r>
          </w:p>
          <w:p>
            <w:pPr>
              <w:pStyle w:val="18"/>
              <w:spacing w:line="360" w:lineRule="auto"/>
              <w:jc w:val="center"/>
              <w:rPr>
                <w:rFonts w:asciiTheme="minorEastAsia" w:hAnsiTheme="minorEastAsia" w:eastAsiaTheme="minorEastAsia" w:cstheme="minorEastAsia"/>
                <w:color w:val="auto"/>
                <w:sz w:val="24"/>
                <w:szCs w:val="24"/>
                <w:highlight w:val="none"/>
              </w:rPr>
            </w:pPr>
            <w:r>
              <w:rPr>
                <w:rFonts w:hint="eastAsia" w:ascii="宋体" w:hAnsi="宋体" w:cs="宋体"/>
                <w:b/>
                <w:bCs/>
                <w:color w:val="auto"/>
                <w:sz w:val="24"/>
                <w:szCs w:val="24"/>
                <w:highlight w:val="none"/>
                <w:shd w:val="clear" w:color="auto" w:fill="FFFFFF"/>
              </w:rPr>
              <w:t>信用代码</w:t>
            </w:r>
          </w:p>
        </w:tc>
        <w:tc>
          <w:tcPr>
            <w:tcW w:w="2741" w:type="dxa"/>
            <w:gridSpan w:val="2"/>
            <w:vMerge w:val="restart"/>
            <w:tcBorders>
              <w:top w:val="single" w:color="auto" w:sz="4" w:space="0"/>
              <w:left w:val="single" w:color="auto" w:sz="4" w:space="0"/>
              <w:right w:val="single" w:color="auto" w:sz="8"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510" w:hRule="atLeast"/>
          <w:jc w:val="center"/>
        </w:trPr>
        <w:tc>
          <w:tcPr>
            <w:tcW w:w="1416" w:type="dxa"/>
            <w:tcBorders>
              <w:top w:val="single" w:color="auto" w:sz="4" w:space="0"/>
              <w:left w:val="single" w:color="auto" w:sz="8"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注册地址</w:t>
            </w:r>
          </w:p>
        </w:tc>
        <w:tc>
          <w:tcPr>
            <w:tcW w:w="3837" w:type="dxa"/>
            <w:gridSpan w:val="4"/>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1338" w:type="dxa"/>
            <w:gridSpan w:val="2"/>
            <w:vMerge w:val="continue"/>
            <w:tcBorders>
              <w:left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2741" w:type="dxa"/>
            <w:gridSpan w:val="2"/>
            <w:vMerge w:val="continue"/>
            <w:tcBorders>
              <w:left w:val="single" w:color="auto" w:sz="4" w:space="0"/>
              <w:right w:val="single" w:color="auto" w:sz="8"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510" w:hRule="atLeast"/>
          <w:jc w:val="center"/>
        </w:trPr>
        <w:tc>
          <w:tcPr>
            <w:tcW w:w="1416" w:type="dxa"/>
            <w:tcBorders>
              <w:top w:val="single" w:color="auto" w:sz="4" w:space="0"/>
              <w:left w:val="single" w:color="auto" w:sz="8"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经营地址</w:t>
            </w:r>
          </w:p>
        </w:tc>
        <w:tc>
          <w:tcPr>
            <w:tcW w:w="3837" w:type="dxa"/>
            <w:gridSpan w:val="4"/>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1338" w:type="dxa"/>
            <w:gridSpan w:val="2"/>
            <w:vMerge w:val="continue"/>
            <w:tcBorders>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2741" w:type="dxa"/>
            <w:gridSpan w:val="2"/>
            <w:vMerge w:val="continue"/>
            <w:tcBorders>
              <w:left w:val="single" w:color="auto" w:sz="4" w:space="0"/>
              <w:bottom w:val="single" w:color="auto" w:sz="4" w:space="0"/>
              <w:right w:val="single" w:color="auto" w:sz="8" w:space="0"/>
            </w:tcBorders>
            <w:vAlign w:val="center"/>
          </w:tcPr>
          <w:p>
            <w:pPr>
              <w:pStyle w:val="18"/>
              <w:spacing w:line="360" w:lineRule="auto"/>
              <w:jc w:val="center"/>
              <w:rPr>
                <w:rFonts w:asciiTheme="minorEastAsia" w:hAnsiTheme="minorEastAsia" w:eastAsiaTheme="minorEastAsia" w:cstheme="minorEastAsia"/>
                <w:color w:val="auto"/>
                <w:sz w:val="24"/>
                <w:szCs w:val="24"/>
                <w:highlight w:val="none"/>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510" w:hRule="atLeast"/>
          <w:jc w:val="center"/>
        </w:trPr>
        <w:tc>
          <w:tcPr>
            <w:tcW w:w="1416" w:type="dxa"/>
            <w:tcBorders>
              <w:top w:val="single" w:color="auto" w:sz="4" w:space="0"/>
              <w:left w:val="single" w:color="auto" w:sz="8"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单位性质</w:t>
            </w:r>
          </w:p>
        </w:tc>
        <w:tc>
          <w:tcPr>
            <w:tcW w:w="3837" w:type="dxa"/>
            <w:gridSpan w:val="4"/>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1338" w:type="dxa"/>
            <w:gridSpan w:val="2"/>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注册资本</w:t>
            </w:r>
          </w:p>
        </w:tc>
        <w:tc>
          <w:tcPr>
            <w:tcW w:w="2741" w:type="dxa"/>
            <w:gridSpan w:val="2"/>
            <w:tcBorders>
              <w:top w:val="single" w:color="auto" w:sz="4" w:space="0"/>
              <w:left w:val="single" w:color="auto" w:sz="4" w:space="0"/>
              <w:bottom w:val="single" w:color="auto" w:sz="4" w:space="0"/>
              <w:right w:val="single" w:color="auto" w:sz="8"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510" w:hRule="atLeast"/>
          <w:jc w:val="center"/>
        </w:trPr>
        <w:tc>
          <w:tcPr>
            <w:tcW w:w="1416" w:type="dxa"/>
            <w:tcBorders>
              <w:top w:val="single" w:color="auto" w:sz="4" w:space="0"/>
              <w:left w:val="single" w:color="auto" w:sz="8"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经营范围</w:t>
            </w:r>
          </w:p>
        </w:tc>
        <w:tc>
          <w:tcPr>
            <w:tcW w:w="3837" w:type="dxa"/>
            <w:gridSpan w:val="4"/>
            <w:tcBorders>
              <w:top w:val="single" w:color="auto" w:sz="4" w:space="0"/>
              <w:left w:val="single" w:color="auto" w:sz="4" w:space="0"/>
              <w:bottom w:val="single" w:color="auto" w:sz="4" w:space="0"/>
              <w:right w:val="nil"/>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1338" w:type="dxa"/>
            <w:gridSpan w:val="2"/>
            <w:tcBorders>
              <w:top w:val="single" w:color="auto" w:sz="4" w:space="0"/>
              <w:left w:val="single" w:color="auto" w:sz="4" w:space="0"/>
              <w:bottom w:val="single" w:color="auto" w:sz="4" w:space="0"/>
              <w:right w:val="nil"/>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成立日期</w:t>
            </w:r>
          </w:p>
        </w:tc>
        <w:tc>
          <w:tcPr>
            <w:tcW w:w="2741" w:type="dxa"/>
            <w:gridSpan w:val="2"/>
            <w:tcBorders>
              <w:top w:val="single" w:color="auto" w:sz="4" w:space="0"/>
              <w:left w:val="single" w:color="auto" w:sz="4" w:space="0"/>
              <w:bottom w:val="single" w:color="auto" w:sz="4" w:space="0"/>
              <w:right w:val="single" w:color="auto" w:sz="8"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510" w:hRule="atLeast"/>
          <w:jc w:val="center"/>
        </w:trPr>
        <w:tc>
          <w:tcPr>
            <w:tcW w:w="2263" w:type="dxa"/>
            <w:gridSpan w:val="2"/>
            <w:tcBorders>
              <w:top w:val="single" w:color="auto" w:sz="4" w:space="0"/>
              <w:left w:val="single" w:color="auto" w:sz="8"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联系电话</w:t>
            </w:r>
          </w:p>
        </w:tc>
        <w:tc>
          <w:tcPr>
            <w:tcW w:w="1990" w:type="dxa"/>
            <w:gridSpan w:val="2"/>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1419" w:type="dxa"/>
            <w:gridSpan w:val="2"/>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传真</w:t>
            </w:r>
          </w:p>
        </w:tc>
        <w:tc>
          <w:tcPr>
            <w:tcW w:w="3660" w:type="dxa"/>
            <w:gridSpan w:val="3"/>
            <w:tcBorders>
              <w:top w:val="single" w:color="auto" w:sz="4" w:space="0"/>
              <w:left w:val="single" w:color="auto" w:sz="4" w:space="0"/>
              <w:bottom w:val="single" w:color="auto" w:sz="4" w:space="0"/>
              <w:right w:val="single" w:color="auto" w:sz="8"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510" w:hRule="atLeast"/>
          <w:jc w:val="center"/>
        </w:trPr>
        <w:tc>
          <w:tcPr>
            <w:tcW w:w="9332" w:type="dxa"/>
            <w:gridSpan w:val="9"/>
            <w:tcBorders>
              <w:top w:val="single" w:color="auto" w:sz="4" w:space="0"/>
              <w:left w:val="single" w:color="auto" w:sz="8" w:space="0"/>
              <w:bottom w:val="single" w:color="auto" w:sz="4" w:space="0"/>
              <w:right w:val="single" w:color="auto" w:sz="8"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开户银行的名称和地址：</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750" w:hRule="atLeast"/>
          <w:jc w:val="center"/>
        </w:trPr>
        <w:tc>
          <w:tcPr>
            <w:tcW w:w="2263" w:type="dxa"/>
            <w:gridSpan w:val="2"/>
            <w:tcBorders>
              <w:top w:val="single" w:color="auto" w:sz="4" w:space="0"/>
              <w:left w:val="single" w:color="auto" w:sz="8" w:space="0"/>
              <w:bottom w:val="single" w:color="auto" w:sz="8"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供应商基本情况</w:t>
            </w:r>
          </w:p>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介绍</w:t>
            </w:r>
          </w:p>
        </w:tc>
        <w:tc>
          <w:tcPr>
            <w:tcW w:w="7069" w:type="dxa"/>
            <w:gridSpan w:val="7"/>
            <w:tcBorders>
              <w:top w:val="single" w:color="auto" w:sz="4" w:space="0"/>
              <w:left w:val="single" w:color="auto" w:sz="4" w:space="0"/>
              <w:bottom w:val="single" w:color="auto" w:sz="8" w:space="0"/>
              <w:right w:val="single" w:color="auto" w:sz="8" w:space="0"/>
            </w:tcBorders>
            <w:vAlign w:val="center"/>
          </w:tcPr>
          <w:p>
            <w:pPr>
              <w:pStyle w:val="18"/>
              <w:spacing w:line="360" w:lineRule="auto"/>
              <w:ind w:left="0" w:firstLine="0"/>
              <w:rPr>
                <w:rFonts w:asciiTheme="minorEastAsia" w:hAnsiTheme="minorEastAsia" w:eastAsiaTheme="minorEastAsia" w:cstheme="minorEastAsia"/>
                <w:color w:val="auto"/>
                <w:sz w:val="24"/>
                <w:szCs w:val="24"/>
                <w:highlight w:val="none"/>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025" w:hRule="atLeast"/>
          <w:jc w:val="center"/>
        </w:trPr>
        <w:tc>
          <w:tcPr>
            <w:tcW w:w="9332" w:type="dxa"/>
            <w:gridSpan w:val="9"/>
            <w:tcBorders>
              <w:top w:val="single" w:color="auto" w:sz="8" w:space="0"/>
              <w:left w:val="single" w:color="auto" w:sz="8" w:space="0"/>
              <w:bottom w:val="single" w:color="auto" w:sz="4" w:space="0"/>
              <w:right w:val="single" w:color="auto" w:sz="8"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法定代表人基本情况</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590" w:hRule="atLeast"/>
          <w:jc w:val="center"/>
        </w:trPr>
        <w:tc>
          <w:tcPr>
            <w:tcW w:w="1416" w:type="dxa"/>
            <w:tcBorders>
              <w:top w:val="single" w:color="auto" w:sz="4" w:space="0"/>
              <w:left w:val="single" w:color="auto" w:sz="8"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姓  名</w:t>
            </w:r>
          </w:p>
        </w:tc>
        <w:tc>
          <w:tcPr>
            <w:tcW w:w="1207" w:type="dxa"/>
            <w:gridSpan w:val="2"/>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1630" w:type="dxa"/>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身份证号码</w:t>
            </w:r>
          </w:p>
        </w:tc>
        <w:tc>
          <w:tcPr>
            <w:tcW w:w="5079" w:type="dxa"/>
            <w:gridSpan w:val="5"/>
            <w:tcBorders>
              <w:top w:val="single" w:color="auto" w:sz="4" w:space="0"/>
              <w:left w:val="single" w:color="auto" w:sz="4" w:space="0"/>
              <w:bottom w:val="single" w:color="auto" w:sz="4" w:space="0"/>
              <w:right w:val="single" w:color="auto" w:sz="8" w:space="0"/>
            </w:tcBorders>
            <w:vAlign w:val="center"/>
          </w:tcPr>
          <w:p>
            <w:pPr>
              <w:pStyle w:val="18"/>
              <w:spacing w:line="360" w:lineRule="auto"/>
              <w:ind w:firstLine="241" w:firstLineChars="100"/>
              <w:rPr>
                <w:rFonts w:asciiTheme="minorEastAsia" w:hAnsiTheme="minorEastAsia" w:eastAsiaTheme="minorEastAsia" w:cstheme="minorEastAsia"/>
                <w:b/>
                <w:color w:val="auto"/>
                <w:sz w:val="24"/>
                <w:szCs w:val="24"/>
                <w:highlight w:val="none"/>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338" w:hRule="atLeast"/>
          <w:jc w:val="center"/>
        </w:trPr>
        <w:tc>
          <w:tcPr>
            <w:tcW w:w="1416" w:type="dxa"/>
            <w:tcBorders>
              <w:top w:val="single" w:color="auto" w:sz="4" w:space="0"/>
              <w:left w:val="single" w:color="auto" w:sz="8"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职  务</w:t>
            </w:r>
          </w:p>
        </w:tc>
        <w:tc>
          <w:tcPr>
            <w:tcW w:w="1207" w:type="dxa"/>
            <w:gridSpan w:val="2"/>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1630" w:type="dxa"/>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职   称</w:t>
            </w:r>
          </w:p>
        </w:tc>
        <w:tc>
          <w:tcPr>
            <w:tcW w:w="1419" w:type="dxa"/>
            <w:gridSpan w:val="2"/>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学    历</w:t>
            </w:r>
          </w:p>
        </w:tc>
        <w:tc>
          <w:tcPr>
            <w:tcW w:w="2280" w:type="dxa"/>
            <w:tcBorders>
              <w:top w:val="single" w:color="auto" w:sz="4" w:space="0"/>
              <w:left w:val="single" w:color="auto" w:sz="4" w:space="0"/>
              <w:bottom w:val="single" w:color="auto" w:sz="4" w:space="0"/>
              <w:right w:val="single" w:color="auto" w:sz="8"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 xml:space="preserve"> </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cantSplit/>
          <w:trHeight w:val="2204" w:hRule="atLeast"/>
          <w:jc w:val="center"/>
        </w:trPr>
        <w:tc>
          <w:tcPr>
            <w:tcW w:w="1416" w:type="dxa"/>
            <w:tcBorders>
              <w:top w:val="single" w:color="auto" w:sz="4" w:space="0"/>
              <w:left w:val="single" w:color="auto" w:sz="8"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p>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备注</w:t>
            </w:r>
          </w:p>
          <w:p>
            <w:pPr>
              <w:pStyle w:val="18"/>
              <w:spacing w:line="360" w:lineRule="auto"/>
              <w:rPr>
                <w:rFonts w:asciiTheme="minorEastAsia" w:hAnsiTheme="minorEastAsia" w:eastAsiaTheme="minorEastAsia" w:cstheme="minorEastAsia"/>
                <w:color w:val="auto"/>
                <w:sz w:val="24"/>
                <w:szCs w:val="24"/>
                <w:highlight w:val="none"/>
              </w:rPr>
            </w:pPr>
          </w:p>
        </w:tc>
        <w:tc>
          <w:tcPr>
            <w:tcW w:w="7916" w:type="dxa"/>
            <w:gridSpan w:val="8"/>
            <w:tcBorders>
              <w:top w:val="single" w:color="auto" w:sz="4" w:space="0"/>
              <w:left w:val="single" w:color="auto" w:sz="4" w:space="0"/>
              <w:bottom w:val="single" w:color="auto" w:sz="4" w:space="0"/>
              <w:right w:val="single" w:color="auto" w:sz="4" w:space="0"/>
            </w:tcBorders>
            <w:vAlign w:val="center"/>
          </w:tcPr>
          <w:p>
            <w:pPr>
              <w:pStyle w:val="18"/>
              <w:spacing w:line="360" w:lineRule="auto"/>
              <w:rPr>
                <w:rFonts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 xml:space="preserve">    （ 供应商认为需要声明的其他情况）</w:t>
            </w:r>
          </w:p>
        </w:tc>
      </w:tr>
    </w:tbl>
    <w:p>
      <w:pPr>
        <w:pStyle w:val="11"/>
        <w:tabs>
          <w:tab w:val="left" w:pos="5580"/>
        </w:tabs>
        <w:spacing w:before="120" w:line="360" w:lineRule="auto"/>
        <w:ind w:left="360" w:hanging="360" w:hangingChars="150"/>
        <w:rPr>
          <w:rFonts w:hAnsi="宋体" w:cs="宋体"/>
          <w:color w:val="auto"/>
          <w:sz w:val="24"/>
          <w:szCs w:val="24"/>
          <w:highlight w:val="none"/>
        </w:rPr>
      </w:pPr>
    </w:p>
    <w:p>
      <w:pPr>
        <w:pStyle w:val="11"/>
        <w:tabs>
          <w:tab w:val="left" w:pos="5580"/>
        </w:tabs>
        <w:spacing w:before="120" w:line="360" w:lineRule="auto"/>
        <w:ind w:left="360" w:hanging="360" w:hangingChars="150"/>
        <w:rPr>
          <w:rFonts w:hAnsi="宋体" w:cs="宋体"/>
          <w:color w:val="auto"/>
          <w:sz w:val="24"/>
          <w:szCs w:val="24"/>
          <w:highlight w:val="none"/>
        </w:rPr>
      </w:pPr>
      <w:r>
        <w:rPr>
          <w:rFonts w:hint="eastAsia" w:hAnsi="宋体" w:cs="宋体"/>
          <w:color w:val="auto"/>
          <w:sz w:val="24"/>
          <w:szCs w:val="24"/>
          <w:highlight w:val="none"/>
        </w:rPr>
        <w:t>被授权人签字：</w:t>
      </w:r>
      <w:r>
        <w:rPr>
          <w:rFonts w:hint="eastAsia" w:hAnsi="宋体" w:cs="宋体"/>
          <w:color w:val="auto"/>
          <w:sz w:val="24"/>
          <w:szCs w:val="24"/>
          <w:highlight w:val="none"/>
          <w:u w:val="single"/>
        </w:rPr>
        <w:t xml:space="preserve"> </w:t>
      </w:r>
      <w:r>
        <w:rPr>
          <w:rFonts w:hint="eastAsia" w:hAnsi="宋体" w:cs="宋体"/>
          <w:color w:val="auto"/>
          <w:sz w:val="24"/>
          <w:szCs w:val="24"/>
          <w:highlight w:val="none"/>
          <w:u w:val="single"/>
        </w:rPr>
        <w:tab/>
      </w:r>
    </w:p>
    <w:p>
      <w:pPr>
        <w:pStyle w:val="11"/>
        <w:tabs>
          <w:tab w:val="left" w:pos="5580"/>
        </w:tabs>
        <w:spacing w:before="120" w:line="360" w:lineRule="auto"/>
        <w:ind w:left="360" w:hanging="360" w:hangingChars="150"/>
        <w:rPr>
          <w:rFonts w:hAnsi="宋体" w:cs="宋体"/>
          <w:color w:val="auto"/>
          <w:sz w:val="24"/>
          <w:szCs w:val="24"/>
          <w:highlight w:val="none"/>
        </w:rPr>
      </w:pPr>
      <w:r>
        <w:rPr>
          <w:rFonts w:hint="eastAsia" w:hAnsi="宋体" w:cs="宋体"/>
          <w:color w:val="auto"/>
          <w:sz w:val="24"/>
          <w:szCs w:val="24"/>
          <w:highlight w:val="none"/>
        </w:rPr>
        <w:t>供应商单位公章：</w:t>
      </w:r>
      <w:r>
        <w:rPr>
          <w:rFonts w:hint="eastAsia" w:hAnsi="宋体" w:cs="宋体"/>
          <w:color w:val="auto"/>
          <w:sz w:val="24"/>
          <w:szCs w:val="24"/>
          <w:highlight w:val="none"/>
          <w:u w:val="single"/>
        </w:rPr>
        <w:t xml:space="preserve"> </w:t>
      </w:r>
      <w:r>
        <w:rPr>
          <w:rFonts w:hint="eastAsia" w:hAnsi="宋体" w:cs="宋体"/>
          <w:color w:val="auto"/>
          <w:sz w:val="24"/>
          <w:szCs w:val="24"/>
          <w:highlight w:val="none"/>
          <w:u w:val="single"/>
        </w:rPr>
        <w:tab/>
      </w:r>
    </w:p>
    <w:p>
      <w:pPr>
        <w:tabs>
          <w:tab w:val="left" w:pos="5580"/>
        </w:tabs>
        <w:spacing w:before="120" w:line="360" w:lineRule="auto"/>
        <w:jc w:val="center"/>
        <w:rPr>
          <w:rFonts w:ascii="宋体" w:hAnsi="宋体" w:cs="宋体"/>
          <w:b/>
          <w:color w:val="auto"/>
          <w:sz w:val="24"/>
          <w:highlight w:val="none"/>
        </w:rPr>
      </w:pPr>
    </w:p>
    <w:p>
      <w:pPr>
        <w:rPr>
          <w:rFonts w:ascii="宋体" w:hAnsi="宋体" w:cs="宋体"/>
          <w:color w:val="auto"/>
          <w:kern w:val="0"/>
          <w:sz w:val="28"/>
          <w:highlight w:val="none"/>
        </w:rPr>
      </w:pPr>
    </w:p>
    <w:p>
      <w:pPr>
        <w:tabs>
          <w:tab w:val="left" w:pos="5580"/>
        </w:tabs>
        <w:spacing w:before="120" w:line="360" w:lineRule="auto"/>
        <w:outlineLvl w:val="3"/>
        <w:rPr>
          <w:rFonts w:ascii="宋体" w:hAnsi="宋体" w:cs="宋体"/>
          <w:b/>
          <w:color w:val="auto"/>
          <w:sz w:val="24"/>
          <w:highlight w:val="none"/>
        </w:rPr>
      </w:pPr>
      <w:r>
        <w:rPr>
          <w:rFonts w:hint="eastAsia" w:ascii="宋体" w:hAnsi="宋体" w:cs="宋体"/>
          <w:b/>
          <w:color w:val="auto"/>
          <w:sz w:val="28"/>
          <w:highlight w:val="none"/>
        </w:rPr>
        <w:br w:type="page"/>
      </w:r>
      <w:bookmarkStart w:id="280" w:name="_Toc332808035"/>
      <w:bookmarkStart w:id="281" w:name="_Toc14250"/>
      <w:bookmarkStart w:id="282" w:name="_Toc12457"/>
      <w:r>
        <w:rPr>
          <w:rFonts w:hint="eastAsia" w:ascii="宋体" w:hAnsi="宋体" w:cs="宋体"/>
          <w:b/>
          <w:color w:val="auto"/>
          <w:sz w:val="24"/>
          <w:highlight w:val="none"/>
        </w:rPr>
        <w:t>附件7-4　　　           供应商财务状况证明文件</w:t>
      </w:r>
      <w:bookmarkEnd w:id="280"/>
      <w:bookmarkEnd w:id="281"/>
      <w:bookmarkEnd w:id="282"/>
    </w:p>
    <w:p>
      <w:pPr>
        <w:tabs>
          <w:tab w:val="left" w:pos="5580"/>
        </w:tabs>
        <w:spacing w:before="120" w:line="360" w:lineRule="auto"/>
        <w:rPr>
          <w:rFonts w:ascii="宋体" w:hAnsi="宋体" w:cs="宋体"/>
          <w:color w:val="auto"/>
          <w:sz w:val="24"/>
          <w:highlight w:val="none"/>
        </w:rPr>
      </w:pPr>
    </w:p>
    <w:p>
      <w:pPr>
        <w:tabs>
          <w:tab w:val="left" w:pos="5580"/>
        </w:tabs>
        <w:spacing w:before="120" w:line="360" w:lineRule="auto"/>
        <w:rPr>
          <w:rFonts w:ascii="宋体" w:hAnsi="宋体" w:cs="宋体"/>
          <w:color w:val="auto"/>
          <w:sz w:val="24"/>
          <w:highlight w:val="none"/>
        </w:rPr>
      </w:pPr>
    </w:p>
    <w:p>
      <w:pPr>
        <w:tabs>
          <w:tab w:val="left" w:pos="5580"/>
        </w:tabs>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说明：</w:t>
      </w:r>
    </w:p>
    <w:p>
      <w:pPr>
        <w:tabs>
          <w:tab w:val="left" w:pos="5580"/>
        </w:tabs>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1、供应商在投标文件中，必须提供《供应商须知资料表》中规定的由会计师事务所出具的审计报告复印件并加盖供应商单位公章；如果供应商为新成立单位，无法提供审计报告的，则需提供新企业验资报告复印件并加盖供应商单位公章。</w:t>
      </w:r>
    </w:p>
    <w:p>
      <w:pPr>
        <w:tabs>
          <w:tab w:val="left" w:pos="5580"/>
        </w:tabs>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2、如供应商无法提供《供应商须知资料表》中规定的审计报告，则需提供开户银行出具的针对本采购项目的资信证明文件原件。银行资信证明文件应当能说明供应商与银行之间业务往来正常、企业信誉良好等情况。</w:t>
      </w:r>
    </w:p>
    <w:p>
      <w:pPr>
        <w:tabs>
          <w:tab w:val="left" w:pos="5580"/>
        </w:tabs>
        <w:spacing w:before="120" w:line="360" w:lineRule="auto"/>
        <w:ind w:firstLine="480" w:firstLineChars="200"/>
        <w:rPr>
          <w:rFonts w:ascii="宋体" w:hAnsi="宋体" w:cs="宋体"/>
          <w:b/>
          <w:color w:val="auto"/>
          <w:sz w:val="24"/>
          <w:highlight w:val="none"/>
        </w:rPr>
      </w:pPr>
      <w:r>
        <w:rPr>
          <w:rFonts w:hint="eastAsia" w:ascii="宋体" w:hAnsi="宋体" w:cs="宋体"/>
          <w:color w:val="auto"/>
          <w:sz w:val="24"/>
          <w:highlight w:val="none"/>
        </w:rPr>
        <w:t>3、银行出具的存款证明文件不能替代银行资信证明文件。</w:t>
      </w:r>
    </w:p>
    <w:p>
      <w:pPr>
        <w:rPr>
          <w:rFonts w:ascii="宋体" w:hAnsi="宋体" w:cs="宋体"/>
          <w:b/>
          <w:color w:val="auto"/>
          <w:sz w:val="28"/>
          <w:highlight w:val="none"/>
        </w:rPr>
      </w:pPr>
    </w:p>
    <w:p>
      <w:pPr>
        <w:tabs>
          <w:tab w:val="left" w:pos="5580"/>
        </w:tabs>
        <w:spacing w:before="120" w:line="360" w:lineRule="auto"/>
        <w:outlineLvl w:val="3"/>
        <w:rPr>
          <w:rFonts w:ascii="宋体" w:hAnsi="宋体" w:cs="宋体"/>
          <w:b/>
          <w:color w:val="auto"/>
          <w:sz w:val="24"/>
          <w:highlight w:val="none"/>
        </w:rPr>
      </w:pPr>
      <w:r>
        <w:rPr>
          <w:rFonts w:hint="eastAsia" w:ascii="宋体" w:hAnsi="宋体" w:cs="宋体"/>
          <w:b/>
          <w:color w:val="auto"/>
          <w:sz w:val="28"/>
          <w:highlight w:val="none"/>
        </w:rPr>
        <w:br w:type="page"/>
      </w:r>
      <w:bookmarkStart w:id="283" w:name="_Toc332808036"/>
      <w:bookmarkStart w:id="284" w:name="_Toc2356"/>
      <w:bookmarkStart w:id="285" w:name="_Toc30308"/>
      <w:r>
        <w:rPr>
          <w:rFonts w:hint="eastAsia" w:ascii="宋体" w:hAnsi="宋体" w:cs="宋体"/>
          <w:b/>
          <w:color w:val="auto"/>
          <w:sz w:val="24"/>
          <w:highlight w:val="none"/>
        </w:rPr>
        <w:t>附件7-5              社会保障资金缴纳记录证明文件</w:t>
      </w:r>
      <w:bookmarkEnd w:id="283"/>
      <w:bookmarkEnd w:id="284"/>
      <w:bookmarkEnd w:id="285"/>
    </w:p>
    <w:p>
      <w:pPr>
        <w:tabs>
          <w:tab w:val="left" w:pos="5580"/>
        </w:tabs>
        <w:spacing w:before="120" w:line="360" w:lineRule="auto"/>
        <w:rPr>
          <w:rFonts w:ascii="宋体" w:hAnsi="宋体" w:cs="宋体"/>
          <w:b/>
          <w:color w:val="auto"/>
          <w:sz w:val="24"/>
          <w:highlight w:val="none"/>
        </w:rPr>
      </w:pPr>
    </w:p>
    <w:p>
      <w:pPr>
        <w:tabs>
          <w:tab w:val="left" w:pos="5580"/>
        </w:tabs>
        <w:spacing w:before="120" w:line="360" w:lineRule="auto"/>
        <w:rPr>
          <w:rFonts w:ascii="宋体" w:hAnsi="宋体" w:cs="宋体"/>
          <w:b/>
          <w:color w:val="auto"/>
          <w:sz w:val="24"/>
          <w:highlight w:val="none"/>
        </w:rPr>
      </w:pPr>
    </w:p>
    <w:p>
      <w:pPr>
        <w:tabs>
          <w:tab w:val="left" w:pos="5580"/>
        </w:tabs>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说明：</w:t>
      </w:r>
    </w:p>
    <w:p>
      <w:pPr>
        <w:tabs>
          <w:tab w:val="left" w:pos="5580"/>
        </w:tabs>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1、供应商必须是依法缴纳社会保障资金的企业。</w:t>
      </w:r>
    </w:p>
    <w:p>
      <w:pPr>
        <w:tabs>
          <w:tab w:val="left" w:pos="5580"/>
        </w:tabs>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2、供应商必须依法缴纳社会保障资金，必须提供《供应商须知资料表》中规定的社会保障资金缴纳记录复印件并加盖供应商单位公章，自行编写无效。</w:t>
      </w:r>
    </w:p>
    <w:p>
      <w:pPr>
        <w:tabs>
          <w:tab w:val="left" w:pos="5580"/>
        </w:tabs>
        <w:spacing w:before="120" w:line="360" w:lineRule="auto"/>
        <w:ind w:firstLine="480" w:firstLineChars="200"/>
        <w:rPr>
          <w:rFonts w:ascii="宋体" w:hAnsi="宋体" w:cs="宋体"/>
          <w:b/>
          <w:color w:val="auto"/>
          <w:sz w:val="24"/>
          <w:highlight w:val="none"/>
        </w:rPr>
      </w:pPr>
      <w:r>
        <w:rPr>
          <w:rFonts w:hint="eastAsia" w:ascii="宋体" w:hAnsi="宋体" w:cs="宋体"/>
          <w:color w:val="auto"/>
          <w:sz w:val="24"/>
          <w:highlight w:val="none"/>
        </w:rPr>
        <w:t>3、国家、地方工商管理部门或者其他相关管理部门对社保资金缴纳（如免缴）有特别政策的，必须提供相关政策文件复印件以及供应商满足相关政策文件的证明文件。</w:t>
      </w:r>
    </w:p>
    <w:p>
      <w:pPr>
        <w:spacing w:line="520" w:lineRule="exact"/>
        <w:rPr>
          <w:rFonts w:ascii="宋体" w:hAnsi="宋体" w:cs="宋体"/>
          <w:b/>
          <w:color w:val="auto"/>
          <w:sz w:val="28"/>
          <w:highlight w:val="none"/>
        </w:rPr>
      </w:pPr>
    </w:p>
    <w:p>
      <w:pPr>
        <w:tabs>
          <w:tab w:val="left" w:pos="5580"/>
        </w:tabs>
        <w:spacing w:before="120" w:line="360" w:lineRule="auto"/>
        <w:outlineLvl w:val="3"/>
        <w:rPr>
          <w:rFonts w:ascii="宋体" w:hAnsi="宋体" w:cs="宋体"/>
          <w:b/>
          <w:color w:val="auto"/>
          <w:sz w:val="24"/>
          <w:highlight w:val="none"/>
        </w:rPr>
      </w:pPr>
      <w:r>
        <w:rPr>
          <w:rFonts w:hint="eastAsia" w:ascii="宋体" w:hAnsi="宋体" w:cs="宋体"/>
          <w:b/>
          <w:color w:val="auto"/>
          <w:sz w:val="28"/>
          <w:highlight w:val="none"/>
        </w:rPr>
        <w:br w:type="page"/>
      </w:r>
      <w:bookmarkStart w:id="286" w:name="_Toc2765"/>
      <w:bookmarkStart w:id="287" w:name="_Toc24352"/>
      <w:bookmarkStart w:id="288" w:name="_Toc332808037"/>
      <w:r>
        <w:rPr>
          <w:rFonts w:hint="eastAsia" w:ascii="宋体" w:hAnsi="宋体" w:cs="宋体"/>
          <w:b/>
          <w:color w:val="auto"/>
          <w:sz w:val="24"/>
          <w:highlight w:val="none"/>
        </w:rPr>
        <w:t>附件7-6               依法缴纳税收记录证明文件</w:t>
      </w:r>
      <w:bookmarkEnd w:id="286"/>
      <w:bookmarkEnd w:id="287"/>
      <w:bookmarkEnd w:id="288"/>
    </w:p>
    <w:p>
      <w:pPr>
        <w:spacing w:before="120" w:line="360" w:lineRule="auto"/>
        <w:rPr>
          <w:rFonts w:ascii="宋体" w:hAnsi="宋体" w:cs="宋体"/>
          <w:color w:val="auto"/>
          <w:sz w:val="24"/>
          <w:highlight w:val="none"/>
        </w:rPr>
      </w:pPr>
    </w:p>
    <w:p>
      <w:pPr>
        <w:spacing w:before="120" w:line="360" w:lineRule="auto"/>
        <w:rPr>
          <w:rFonts w:ascii="宋体" w:hAnsi="宋体" w:cs="宋体"/>
          <w:color w:val="auto"/>
          <w:sz w:val="24"/>
          <w:highlight w:val="none"/>
        </w:rPr>
      </w:pPr>
    </w:p>
    <w:p>
      <w:pPr>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说明：</w:t>
      </w:r>
    </w:p>
    <w:p>
      <w:pPr>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1、供应商必须是依法纳税的企业。</w:t>
      </w:r>
    </w:p>
    <w:p>
      <w:pPr>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2、供应商必须提供《供应商须知资料表》中规定的依法缴纳税收记录复印件并加盖供应商单位公章，自行编写无效。</w:t>
      </w:r>
    </w:p>
    <w:p>
      <w:pPr>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3、国家、地方工商管理部门或者其他相关管理部门对企业纳税有特别规定的，必须提供相关政策性文件复印件和供应商满足政策文件规定的证明文件。</w:t>
      </w:r>
    </w:p>
    <w:p>
      <w:pPr>
        <w:spacing w:line="520" w:lineRule="exact"/>
        <w:rPr>
          <w:rFonts w:ascii="宋体" w:hAnsi="宋体" w:cs="宋体"/>
          <w:b/>
          <w:color w:val="auto"/>
          <w:sz w:val="28"/>
          <w:highlight w:val="none"/>
        </w:rPr>
      </w:pPr>
    </w:p>
    <w:p>
      <w:pPr>
        <w:tabs>
          <w:tab w:val="left" w:pos="5580"/>
        </w:tabs>
        <w:spacing w:before="120" w:line="360" w:lineRule="auto"/>
        <w:ind w:right="-313" w:rightChars="-149"/>
        <w:outlineLvl w:val="3"/>
        <w:rPr>
          <w:rFonts w:ascii="宋体" w:hAnsi="宋体" w:cs="宋体"/>
          <w:b/>
          <w:color w:val="auto"/>
          <w:sz w:val="24"/>
          <w:highlight w:val="none"/>
        </w:rPr>
      </w:pPr>
      <w:r>
        <w:rPr>
          <w:rFonts w:hint="eastAsia" w:ascii="宋体" w:hAnsi="宋体" w:cs="宋体"/>
          <w:b/>
          <w:color w:val="auto"/>
          <w:sz w:val="28"/>
          <w:highlight w:val="none"/>
        </w:rPr>
        <w:br w:type="page"/>
      </w:r>
      <w:bookmarkStart w:id="289" w:name="_Toc332808038"/>
      <w:bookmarkStart w:id="290" w:name="_Toc30383"/>
      <w:bookmarkStart w:id="291" w:name="_Toc9908"/>
      <w:r>
        <w:rPr>
          <w:rFonts w:hint="eastAsia" w:ascii="宋体" w:hAnsi="宋体" w:cs="宋体"/>
          <w:b/>
          <w:color w:val="auto"/>
          <w:sz w:val="24"/>
          <w:highlight w:val="none"/>
        </w:rPr>
        <w:t>附件7-</w:t>
      </w:r>
      <w:bookmarkEnd w:id="289"/>
      <w:r>
        <w:rPr>
          <w:rFonts w:hint="eastAsia" w:ascii="宋体" w:hAnsi="宋体" w:cs="宋体"/>
          <w:b/>
          <w:color w:val="auto"/>
          <w:sz w:val="24"/>
          <w:highlight w:val="none"/>
        </w:rPr>
        <w:t>7</w:t>
      </w:r>
      <w:bookmarkEnd w:id="290"/>
      <w:bookmarkEnd w:id="291"/>
      <w:r>
        <w:rPr>
          <w:rFonts w:hint="eastAsia" w:ascii="宋体" w:hAnsi="宋体" w:cs="宋体"/>
          <w:b/>
          <w:color w:val="auto"/>
          <w:sz w:val="24"/>
          <w:highlight w:val="none"/>
        </w:rPr>
        <w:t xml:space="preserve">   参加本次政府采购活动前三年内，在经营活动中没有重大违法记录的</w:t>
      </w:r>
    </w:p>
    <w:p>
      <w:pPr>
        <w:spacing w:before="120" w:line="360" w:lineRule="auto"/>
        <w:jc w:val="center"/>
        <w:outlineLvl w:val="3"/>
        <w:rPr>
          <w:rFonts w:ascii="宋体" w:hAnsi="宋体" w:cs="宋体"/>
          <w:b/>
          <w:color w:val="auto"/>
          <w:sz w:val="24"/>
          <w:highlight w:val="none"/>
        </w:rPr>
      </w:pPr>
      <w:r>
        <w:rPr>
          <w:rFonts w:hint="eastAsia" w:ascii="宋体" w:hAnsi="宋体" w:cs="宋体"/>
          <w:b/>
          <w:color w:val="auto"/>
          <w:sz w:val="24"/>
          <w:highlight w:val="none"/>
        </w:rPr>
        <w:t>书面声明</w:t>
      </w:r>
    </w:p>
    <w:p>
      <w:pPr>
        <w:spacing w:before="120" w:line="360" w:lineRule="auto"/>
        <w:jc w:val="center"/>
        <w:rPr>
          <w:rFonts w:ascii="宋体" w:hAnsi="宋体" w:cs="宋体"/>
          <w:b/>
          <w:color w:val="auto"/>
          <w:sz w:val="24"/>
          <w:highlight w:val="none"/>
        </w:rPr>
      </w:pPr>
    </w:p>
    <w:p>
      <w:pPr>
        <w:spacing w:before="120" w:line="360" w:lineRule="auto"/>
        <w:jc w:val="center"/>
        <w:rPr>
          <w:rFonts w:ascii="宋体" w:hAnsi="宋体" w:cs="宋体"/>
          <w:b/>
          <w:iCs/>
          <w:color w:val="auto"/>
          <w:sz w:val="28"/>
          <w:highlight w:val="none"/>
        </w:rPr>
      </w:pPr>
      <w:r>
        <w:rPr>
          <w:rFonts w:hint="eastAsia" w:ascii="宋体" w:hAnsi="宋体" w:cs="宋体"/>
          <w:b/>
          <w:color w:val="auto"/>
          <w:sz w:val="24"/>
          <w:highlight w:val="none"/>
        </w:rPr>
        <w:t>（内容及格式自拟，加盖供应商公章）</w:t>
      </w:r>
    </w:p>
    <w:p>
      <w:pPr>
        <w:ind w:firstLine="1940" w:firstLineChars="690"/>
        <w:rPr>
          <w:rFonts w:ascii="宋体" w:hAnsi="宋体" w:cs="宋体"/>
          <w:b/>
          <w:iCs/>
          <w:color w:val="auto"/>
          <w:sz w:val="28"/>
          <w:highlight w:val="none"/>
        </w:rPr>
      </w:pPr>
    </w:p>
    <w:p>
      <w:pPr>
        <w:spacing w:before="120" w:line="360" w:lineRule="auto"/>
        <w:rPr>
          <w:rFonts w:ascii="宋体" w:hAnsi="宋体" w:cs="宋体"/>
          <w:b/>
          <w:color w:val="auto"/>
          <w:sz w:val="24"/>
          <w:highlight w:val="none"/>
        </w:rPr>
      </w:pPr>
      <w:r>
        <w:rPr>
          <w:rFonts w:hint="eastAsia" w:ascii="宋体" w:hAnsi="宋体" w:cs="宋体"/>
          <w:b/>
          <w:color w:val="auto"/>
          <w:sz w:val="28"/>
          <w:highlight w:val="none"/>
        </w:rPr>
        <w:br w:type="page"/>
      </w:r>
      <w:bookmarkStart w:id="292" w:name="_Toc14648"/>
      <w:bookmarkStart w:id="293" w:name="_Toc332808039"/>
      <w:bookmarkStart w:id="294" w:name="_Toc27080"/>
      <w:r>
        <w:rPr>
          <w:rFonts w:hint="eastAsia" w:ascii="宋体" w:hAnsi="宋体" w:cs="宋体"/>
          <w:b/>
          <w:color w:val="auto"/>
          <w:sz w:val="24"/>
          <w:highlight w:val="none"/>
        </w:rPr>
        <w:t xml:space="preserve">附件7-8            </w:t>
      </w:r>
      <w:bookmarkEnd w:id="292"/>
      <w:bookmarkEnd w:id="293"/>
      <w:bookmarkEnd w:id="294"/>
      <w:r>
        <w:rPr>
          <w:rFonts w:hint="eastAsia" w:ascii="宋体" w:hAnsi="宋体" w:cs="宋体"/>
          <w:b/>
          <w:color w:val="auto"/>
          <w:sz w:val="24"/>
          <w:highlight w:val="none"/>
        </w:rPr>
        <w:t>招标文件要求的其他资格证明文件（如有）</w:t>
      </w:r>
    </w:p>
    <w:p>
      <w:pPr>
        <w:spacing w:before="120" w:line="360" w:lineRule="auto"/>
        <w:jc w:val="center"/>
        <w:rPr>
          <w:rFonts w:ascii="宋体" w:hAnsi="宋体" w:cs="宋体"/>
          <w:b/>
          <w:color w:val="auto"/>
          <w:sz w:val="24"/>
          <w:highlight w:val="none"/>
        </w:rPr>
      </w:pPr>
    </w:p>
    <w:p>
      <w:pPr>
        <w:spacing w:line="520" w:lineRule="exact"/>
        <w:rPr>
          <w:rFonts w:ascii="宋体" w:hAnsi="宋体" w:cs="宋体"/>
          <w:b/>
          <w:color w:val="auto"/>
          <w:sz w:val="28"/>
          <w:highlight w:val="none"/>
        </w:rPr>
      </w:pPr>
    </w:p>
    <w:p>
      <w:pPr>
        <w:tabs>
          <w:tab w:val="left" w:pos="5580"/>
        </w:tabs>
        <w:spacing w:before="120" w:line="360" w:lineRule="auto"/>
        <w:outlineLvl w:val="2"/>
        <w:rPr>
          <w:rFonts w:ascii="宋体" w:hAnsi="宋体" w:cs="宋体"/>
          <w:b/>
          <w:color w:val="auto"/>
          <w:sz w:val="24"/>
          <w:highlight w:val="none"/>
        </w:rPr>
      </w:pPr>
      <w:r>
        <w:rPr>
          <w:rFonts w:hint="eastAsia" w:ascii="宋体" w:hAnsi="宋体" w:cs="宋体"/>
          <w:b/>
          <w:color w:val="auto"/>
          <w:sz w:val="28"/>
          <w:highlight w:val="none"/>
        </w:rPr>
        <w:br w:type="page"/>
      </w:r>
      <w:bookmarkStart w:id="295" w:name="_Toc332808040"/>
      <w:bookmarkStart w:id="296" w:name="_Toc5741"/>
      <w:bookmarkStart w:id="297" w:name="_Toc13733"/>
      <w:r>
        <w:rPr>
          <w:rFonts w:hint="eastAsia" w:ascii="宋体" w:hAnsi="宋体" w:cs="宋体"/>
          <w:b/>
          <w:color w:val="auto"/>
          <w:sz w:val="24"/>
          <w:highlight w:val="none"/>
        </w:rPr>
        <w:t>附件8                         服务明细表</w:t>
      </w:r>
      <w:bookmarkEnd w:id="295"/>
      <w:bookmarkEnd w:id="296"/>
      <w:bookmarkEnd w:id="297"/>
    </w:p>
    <w:p>
      <w:pPr>
        <w:spacing w:before="120" w:line="360" w:lineRule="auto"/>
        <w:rPr>
          <w:rFonts w:ascii="宋体" w:hAnsi="宋体" w:cs="宋体"/>
          <w:color w:val="auto"/>
          <w:sz w:val="24"/>
          <w:highlight w:val="none"/>
        </w:rPr>
      </w:pPr>
    </w:p>
    <w:p>
      <w:pPr>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包括但不限于：</w:t>
      </w:r>
    </w:p>
    <w:p>
      <w:pPr>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A、供应商指定的，中标后本项目总负责人的姓名、职务和详尽的联系方法。每一供应商必须设立总负责人一名，全权负责有关的咨询查询、签订执行合同、无条件履行售后服务承诺等事务；可后附项目总负责人执行的以往业绩、资质证书等情况。</w:t>
      </w:r>
    </w:p>
    <w:p>
      <w:pPr>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B、拟派项目团队人员情况。</w:t>
      </w:r>
    </w:p>
    <w:p>
      <w:pPr>
        <w:spacing w:before="120" w:line="360" w:lineRule="auto"/>
        <w:outlineLvl w:val="2"/>
        <w:rPr>
          <w:rFonts w:ascii="宋体" w:hAnsi="宋体" w:cs="宋体"/>
          <w:b/>
          <w:color w:val="auto"/>
          <w:sz w:val="24"/>
          <w:highlight w:val="none"/>
        </w:rPr>
      </w:pPr>
      <w:r>
        <w:rPr>
          <w:rFonts w:hint="eastAsia" w:ascii="宋体" w:hAnsi="宋体" w:cs="宋体"/>
          <w:b/>
          <w:color w:val="auto"/>
          <w:sz w:val="28"/>
          <w:highlight w:val="none"/>
        </w:rPr>
        <w:br w:type="page"/>
      </w:r>
      <w:bookmarkStart w:id="298" w:name="_Toc3856"/>
      <w:bookmarkStart w:id="299" w:name="_Toc332808041"/>
      <w:bookmarkStart w:id="300" w:name="_Toc18036"/>
      <w:r>
        <w:rPr>
          <w:rFonts w:hint="eastAsia" w:ascii="宋体" w:hAnsi="宋体" w:cs="宋体"/>
          <w:b/>
          <w:color w:val="auto"/>
          <w:sz w:val="24"/>
          <w:highlight w:val="none"/>
        </w:rPr>
        <w:t>附件9                     招标代理费承诺书</w:t>
      </w:r>
      <w:bookmarkEnd w:id="298"/>
      <w:bookmarkEnd w:id="299"/>
      <w:bookmarkEnd w:id="300"/>
    </w:p>
    <w:p>
      <w:pPr>
        <w:spacing w:before="120" w:line="360" w:lineRule="auto"/>
        <w:rPr>
          <w:rFonts w:ascii="宋体" w:hAnsi="宋体" w:cs="宋体"/>
          <w:color w:val="auto"/>
          <w:sz w:val="24"/>
          <w:highlight w:val="none"/>
        </w:rPr>
      </w:pPr>
    </w:p>
    <w:p>
      <w:pPr>
        <w:spacing w:before="120" w:line="360" w:lineRule="auto"/>
        <w:rPr>
          <w:rFonts w:ascii="宋体" w:hAnsi="宋体" w:cs="宋体"/>
          <w:color w:val="auto"/>
          <w:sz w:val="24"/>
          <w:highlight w:val="none"/>
        </w:rPr>
      </w:pPr>
      <w:r>
        <w:rPr>
          <w:rFonts w:hint="eastAsia" w:ascii="宋体" w:hAnsi="宋体" w:cs="宋体"/>
          <w:color w:val="auto"/>
          <w:sz w:val="24"/>
          <w:highlight w:val="none"/>
        </w:rPr>
        <w:t>致:</w:t>
      </w:r>
      <w:r>
        <w:rPr>
          <w:rFonts w:hint="eastAsia" w:ascii="宋体" w:hAnsi="宋体" w:cs="宋体"/>
          <w:color w:val="auto"/>
          <w:sz w:val="24"/>
          <w:highlight w:val="none"/>
          <w:u w:val="single"/>
        </w:rPr>
        <w:t>北京国际贸易公司</w:t>
      </w:r>
    </w:p>
    <w:p>
      <w:pPr>
        <w:spacing w:before="120" w:line="360" w:lineRule="auto"/>
        <w:rPr>
          <w:rFonts w:ascii="宋体" w:hAnsi="宋体" w:cs="宋体"/>
          <w:color w:val="auto"/>
          <w:sz w:val="24"/>
          <w:highlight w:val="none"/>
        </w:rPr>
      </w:pPr>
    </w:p>
    <w:p>
      <w:pPr>
        <w:spacing w:before="120" w:line="360" w:lineRule="auto"/>
        <w:rPr>
          <w:rFonts w:ascii="宋体" w:hAnsi="宋体" w:cs="宋体"/>
          <w:color w:val="auto"/>
          <w:sz w:val="24"/>
          <w:highlight w:val="none"/>
        </w:rPr>
      </w:pPr>
      <w:r>
        <w:rPr>
          <w:rFonts w:hint="eastAsia" w:ascii="宋体" w:hAnsi="宋体" w:cs="宋体"/>
          <w:color w:val="auto"/>
          <w:sz w:val="24"/>
          <w:highlight w:val="none"/>
        </w:rPr>
        <w:tab/>
      </w:r>
      <w:r>
        <w:rPr>
          <w:rFonts w:hint="eastAsia" w:ascii="宋体" w:hAnsi="宋体" w:cs="宋体"/>
          <w:color w:val="auto"/>
          <w:sz w:val="24"/>
          <w:highlight w:val="none"/>
        </w:rPr>
        <w:t xml:space="preserve"> 我们在贵公司组织的</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rPr>
        <w:t>项目（招标编号：</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rPr>
        <w:t>）采购中若中标，我们保证在领取中标通知书的同时按招标文件的规定，向贵公司一次性支付应当交纳的招标代理费用。</w:t>
      </w:r>
    </w:p>
    <w:p>
      <w:pPr>
        <w:spacing w:before="120" w:line="360" w:lineRule="auto"/>
        <w:ind w:firstLine="480" w:firstLineChars="200"/>
        <w:rPr>
          <w:rFonts w:ascii="宋体" w:hAnsi="宋体" w:cs="宋体"/>
          <w:color w:val="auto"/>
          <w:sz w:val="24"/>
          <w:highlight w:val="none"/>
        </w:rPr>
      </w:pPr>
      <w:r>
        <w:rPr>
          <w:rFonts w:hint="eastAsia" w:ascii="宋体" w:hAnsi="宋体" w:cs="宋体"/>
          <w:color w:val="auto"/>
          <w:sz w:val="24"/>
          <w:highlight w:val="none"/>
        </w:rPr>
        <w:t>收费标准参照国家计委印发的计价格[2002]1980号关于《招标代理机构服务费管理暂行办法》的通知、发改办价格[2003]857号令及发改价格[2011]534号令。</w:t>
      </w:r>
    </w:p>
    <w:p>
      <w:pPr>
        <w:spacing w:before="120" w:line="360" w:lineRule="auto"/>
        <w:rPr>
          <w:rFonts w:ascii="宋体" w:hAnsi="宋体" w:cs="宋体"/>
          <w:color w:val="auto"/>
          <w:sz w:val="24"/>
          <w:highlight w:val="none"/>
        </w:rPr>
      </w:pPr>
    </w:p>
    <w:p>
      <w:pPr>
        <w:spacing w:before="120" w:line="360" w:lineRule="auto"/>
        <w:rPr>
          <w:rFonts w:ascii="宋体" w:hAnsi="宋体" w:cs="宋体"/>
          <w:color w:val="auto"/>
          <w:sz w:val="24"/>
          <w:highlight w:val="none"/>
        </w:rPr>
      </w:pPr>
      <w:r>
        <w:rPr>
          <w:rFonts w:hint="eastAsia" w:ascii="宋体" w:hAnsi="宋体" w:cs="宋体"/>
          <w:color w:val="auto"/>
          <w:sz w:val="24"/>
          <w:highlight w:val="none"/>
        </w:rPr>
        <w:tab/>
      </w:r>
      <w:r>
        <w:rPr>
          <w:rFonts w:hint="eastAsia" w:ascii="宋体" w:hAnsi="宋体" w:cs="宋体"/>
          <w:color w:val="auto"/>
          <w:sz w:val="24"/>
          <w:highlight w:val="none"/>
        </w:rPr>
        <w:tab/>
      </w:r>
      <w:r>
        <w:rPr>
          <w:rFonts w:hint="eastAsia" w:ascii="宋体" w:hAnsi="宋体" w:cs="宋体"/>
          <w:color w:val="auto"/>
          <w:sz w:val="24"/>
          <w:highlight w:val="none"/>
        </w:rPr>
        <w:t>特此承诺！</w:t>
      </w:r>
    </w:p>
    <w:p>
      <w:pPr>
        <w:spacing w:before="120" w:line="360" w:lineRule="auto"/>
        <w:rPr>
          <w:rFonts w:ascii="宋体" w:hAnsi="宋体" w:cs="宋体"/>
          <w:color w:val="auto"/>
          <w:sz w:val="24"/>
          <w:highlight w:val="none"/>
        </w:rPr>
      </w:pPr>
    </w:p>
    <w:p>
      <w:pPr>
        <w:spacing w:before="120" w:line="360" w:lineRule="auto"/>
        <w:rPr>
          <w:rFonts w:ascii="宋体" w:hAnsi="宋体" w:cs="宋体"/>
          <w:color w:val="auto"/>
          <w:sz w:val="24"/>
          <w:highlight w:val="none"/>
        </w:rPr>
      </w:pPr>
    </w:p>
    <w:p>
      <w:pPr>
        <w:spacing w:before="120" w:line="360" w:lineRule="auto"/>
        <w:ind w:firstLine="600" w:firstLineChars="250"/>
        <w:rPr>
          <w:rFonts w:ascii="宋体" w:hAnsi="宋体" w:cs="宋体"/>
          <w:color w:val="auto"/>
          <w:sz w:val="24"/>
          <w:highlight w:val="none"/>
        </w:rPr>
      </w:pPr>
      <w:r>
        <w:rPr>
          <w:rFonts w:hint="eastAsia" w:ascii="宋体" w:hAnsi="宋体" w:cs="宋体"/>
          <w:color w:val="auto"/>
          <w:sz w:val="24"/>
          <w:highlight w:val="none"/>
        </w:rPr>
        <w:t>承诺方名称：</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p>
    <w:p>
      <w:pPr>
        <w:spacing w:before="120" w:line="360" w:lineRule="auto"/>
        <w:rPr>
          <w:rFonts w:ascii="宋体" w:hAnsi="宋体" w:cs="宋体"/>
          <w:color w:val="auto"/>
          <w:sz w:val="24"/>
          <w:highlight w:val="none"/>
        </w:rPr>
      </w:pPr>
      <w:r>
        <w:rPr>
          <w:rFonts w:hint="eastAsia" w:ascii="宋体" w:hAnsi="宋体" w:cs="宋体"/>
          <w:color w:val="auto"/>
          <w:sz w:val="24"/>
          <w:highlight w:val="none"/>
        </w:rPr>
        <w:tab/>
      </w:r>
    </w:p>
    <w:p>
      <w:pPr>
        <w:spacing w:before="120" w:line="360" w:lineRule="auto"/>
        <w:ind w:firstLine="600" w:firstLineChars="250"/>
        <w:rPr>
          <w:rFonts w:ascii="宋体" w:hAnsi="宋体" w:cs="宋体"/>
          <w:color w:val="auto"/>
          <w:sz w:val="24"/>
          <w:highlight w:val="none"/>
        </w:rPr>
      </w:pPr>
      <w:r>
        <w:rPr>
          <w:rFonts w:hint="eastAsia" w:ascii="宋体" w:hAnsi="宋体" w:cs="宋体"/>
          <w:color w:val="auto"/>
          <w:sz w:val="24"/>
          <w:highlight w:val="none"/>
        </w:rPr>
        <w:t>承诺方公章：</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p>
    <w:p>
      <w:pPr>
        <w:spacing w:before="120" w:line="360" w:lineRule="auto"/>
        <w:ind w:firstLine="600" w:firstLineChars="250"/>
        <w:rPr>
          <w:rFonts w:ascii="宋体" w:hAnsi="宋体" w:cs="宋体"/>
          <w:color w:val="auto"/>
          <w:sz w:val="24"/>
          <w:highlight w:val="none"/>
        </w:rPr>
      </w:pPr>
    </w:p>
    <w:p>
      <w:pPr>
        <w:spacing w:before="120" w:line="360" w:lineRule="auto"/>
        <w:ind w:firstLine="600" w:firstLineChars="250"/>
        <w:rPr>
          <w:rFonts w:ascii="宋体" w:hAnsi="宋体" w:cs="宋体"/>
          <w:color w:val="auto"/>
          <w:sz w:val="24"/>
          <w:highlight w:val="none"/>
        </w:rPr>
      </w:pPr>
      <w:r>
        <w:rPr>
          <w:rFonts w:hint="eastAsia" w:ascii="宋体" w:hAnsi="宋体" w:cs="宋体"/>
          <w:color w:val="auto"/>
          <w:sz w:val="24"/>
          <w:highlight w:val="none"/>
        </w:rPr>
        <w:t>承诺方授权代表签字：</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p>
    <w:p>
      <w:pPr>
        <w:spacing w:before="120" w:line="360" w:lineRule="auto"/>
        <w:ind w:firstLine="600" w:firstLineChars="250"/>
        <w:rPr>
          <w:rFonts w:ascii="宋体" w:hAnsi="宋体" w:cs="宋体"/>
          <w:color w:val="auto"/>
          <w:sz w:val="24"/>
          <w:highlight w:val="none"/>
        </w:rPr>
      </w:pPr>
    </w:p>
    <w:p>
      <w:pPr>
        <w:spacing w:before="120" w:line="360" w:lineRule="auto"/>
        <w:ind w:firstLine="600" w:firstLineChars="250"/>
        <w:rPr>
          <w:rFonts w:ascii="宋体" w:hAnsi="宋体" w:cs="宋体"/>
          <w:color w:val="auto"/>
          <w:sz w:val="24"/>
          <w:highlight w:val="none"/>
        </w:rPr>
      </w:pPr>
      <w:r>
        <w:rPr>
          <w:rFonts w:hint="eastAsia" w:ascii="宋体" w:hAnsi="宋体" w:cs="宋体"/>
          <w:color w:val="auto"/>
          <w:sz w:val="24"/>
          <w:highlight w:val="none"/>
        </w:rPr>
        <w:t>地址：</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p>
    <w:p>
      <w:pPr>
        <w:spacing w:before="120" w:line="360" w:lineRule="auto"/>
        <w:ind w:firstLine="600" w:firstLineChars="250"/>
        <w:rPr>
          <w:rFonts w:ascii="宋体" w:hAnsi="宋体" w:cs="宋体"/>
          <w:color w:val="auto"/>
          <w:sz w:val="24"/>
          <w:highlight w:val="none"/>
        </w:rPr>
      </w:pPr>
      <w:r>
        <w:rPr>
          <w:rFonts w:hint="eastAsia" w:ascii="宋体" w:hAnsi="宋体" w:cs="宋体"/>
          <w:color w:val="auto"/>
          <w:sz w:val="24"/>
          <w:highlight w:val="none"/>
        </w:rPr>
        <w:t>电话：</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rPr>
        <w:tab/>
      </w:r>
      <w:r>
        <w:rPr>
          <w:rFonts w:hint="eastAsia" w:ascii="宋体" w:hAnsi="宋体" w:cs="宋体"/>
          <w:color w:val="auto"/>
          <w:sz w:val="24"/>
          <w:highlight w:val="none"/>
        </w:rPr>
        <w:tab/>
      </w:r>
      <w:r>
        <w:rPr>
          <w:rFonts w:hint="eastAsia" w:ascii="宋体" w:hAnsi="宋体" w:cs="宋体"/>
          <w:color w:val="auto"/>
          <w:sz w:val="24"/>
          <w:highlight w:val="none"/>
        </w:rPr>
        <w:t>传真：</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p>
    <w:p>
      <w:pPr>
        <w:spacing w:before="120" w:line="360" w:lineRule="auto"/>
        <w:ind w:firstLine="600" w:firstLineChars="250"/>
        <w:rPr>
          <w:rFonts w:ascii="宋体" w:hAnsi="宋体" w:cs="宋体"/>
          <w:color w:val="auto"/>
          <w:sz w:val="24"/>
          <w:highlight w:val="none"/>
        </w:rPr>
      </w:pPr>
      <w:r>
        <w:rPr>
          <w:rFonts w:hint="eastAsia" w:ascii="宋体" w:hAnsi="宋体" w:cs="宋体"/>
          <w:color w:val="auto"/>
          <w:sz w:val="24"/>
          <w:highlight w:val="none"/>
        </w:rPr>
        <w:t>电传：</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rPr>
        <w:tab/>
      </w:r>
      <w:r>
        <w:rPr>
          <w:rFonts w:hint="eastAsia" w:ascii="宋体" w:hAnsi="宋体" w:cs="宋体"/>
          <w:color w:val="auto"/>
          <w:sz w:val="24"/>
          <w:highlight w:val="none"/>
        </w:rPr>
        <w:tab/>
      </w:r>
      <w:r>
        <w:rPr>
          <w:rFonts w:hint="eastAsia" w:ascii="宋体" w:hAnsi="宋体" w:cs="宋体"/>
          <w:color w:val="auto"/>
          <w:sz w:val="24"/>
          <w:highlight w:val="none"/>
        </w:rPr>
        <w:t>邮编：</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p>
    <w:p>
      <w:pPr>
        <w:spacing w:before="120" w:line="360" w:lineRule="auto"/>
        <w:ind w:firstLine="600" w:firstLineChars="250"/>
        <w:rPr>
          <w:rFonts w:ascii="宋体" w:hAnsi="宋体" w:cs="宋体"/>
          <w:color w:val="auto"/>
          <w:sz w:val="24"/>
          <w:highlight w:val="none"/>
          <w:u w:val="single"/>
        </w:rPr>
      </w:pPr>
      <w:r>
        <w:rPr>
          <w:rFonts w:hint="eastAsia" w:ascii="宋体" w:hAnsi="宋体" w:cs="宋体"/>
          <w:color w:val="auto"/>
          <w:sz w:val="24"/>
          <w:highlight w:val="none"/>
        </w:rPr>
        <w:t>日期：</w:t>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r>
        <w:rPr>
          <w:rFonts w:hint="eastAsia" w:ascii="宋体" w:hAnsi="宋体" w:cs="宋体"/>
          <w:color w:val="auto"/>
          <w:sz w:val="24"/>
          <w:highlight w:val="none"/>
          <w:u w:val="single"/>
        </w:rPr>
        <w:tab/>
      </w:r>
    </w:p>
    <w:p>
      <w:pPr>
        <w:rPr>
          <w:rFonts w:ascii="宋体" w:hAnsi="宋体" w:cs="宋体"/>
          <w:b/>
          <w:color w:val="auto"/>
          <w:szCs w:val="21"/>
          <w:highlight w:val="none"/>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miter/>
                      </a:ln>
                    </wps:spPr>
                    <wps:txbx>
                      <w:txbxContent>
                        <w:p>
                          <w:pPr>
                            <w:pStyle w:val="14"/>
                            <w:rPr>
                              <w:rStyle w:val="25"/>
                            </w:rPr>
                          </w:pPr>
                          <w:r>
                            <w:fldChar w:fldCharType="begin"/>
                          </w:r>
                          <w:r>
                            <w:rPr>
                              <w:rStyle w:val="25"/>
                            </w:rPr>
                            <w:instrText xml:space="preserve">PAGE  </w:instrText>
                          </w:r>
                          <w:r>
                            <w:fldChar w:fldCharType="separate"/>
                          </w:r>
                          <w:r>
                            <w:rPr>
                              <w:rStyle w:val="25"/>
                            </w:rPr>
                            <w:t>2</w:t>
                          </w:r>
                          <w:r>
                            <w:fldChar w:fldCharType="end"/>
                          </w:r>
                        </w:p>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s0lY&#10;7tAAAAAFAQAADwAAAAAAAAABACAAAAAiAAAAZHJzL2Rvd25yZXYueG1sUEsBAhQAFAAAAAgAh07i&#10;QOEZ8H24AQAAXgMAAA4AAAAAAAAAAQAgAAAAHwEAAGRycy9lMm9Eb2MueG1sUEsFBgAAAAAGAAYA&#10;WQEAAEkFAAAAAA==&#10;">
              <v:fill on="f" focussize="0,0"/>
              <v:stroke on="f" weight="0.5pt" joinstyle="miter"/>
              <v:imagedata o:title=""/>
              <o:lock v:ext="edit" aspectratio="f"/>
              <v:textbox inset="0mm,0mm,0mm,0mm" style="mso-fit-shape-to-text:t;">
                <w:txbxContent>
                  <w:p>
                    <w:pPr>
                      <w:pStyle w:val="14"/>
                      <w:rPr>
                        <w:rStyle w:val="25"/>
                      </w:rPr>
                    </w:pPr>
                    <w:r>
                      <w:fldChar w:fldCharType="begin"/>
                    </w:r>
                    <w:r>
                      <w:rPr>
                        <w:rStyle w:val="25"/>
                      </w:rPr>
                      <w:instrText xml:space="preserve">PAGE  </w:instrText>
                    </w:r>
                    <w:r>
                      <w:fldChar w:fldCharType="separate"/>
                    </w:r>
                    <w:r>
                      <w:rPr>
                        <w:rStyle w:val="25"/>
                      </w:rPr>
                      <w:t>2</w:t>
                    </w:r>
                    <w:r>
                      <w:fldChar w:fldCharType="end"/>
                    </w:r>
                  </w:p>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5"/>
      </w:rPr>
    </w:pPr>
    <w:r>
      <w:fldChar w:fldCharType="begin"/>
    </w:r>
    <w:r>
      <w:rPr>
        <w:rStyle w:val="25"/>
      </w:rPr>
      <w:instrText xml:space="preserve">PAGE  </w:instrText>
    </w:r>
    <w:r>
      <w:fldChar w:fldCharType="end"/>
    </w:r>
  </w:p>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miter/>
                      </a:ln>
                    </wps:spPr>
                    <wps:txbx>
                      <w:txbxContent>
                        <w:p>
                          <w:pPr>
                            <w:pStyle w:val="14"/>
                            <w:jc w:val="center"/>
                          </w:pPr>
                          <w:r>
                            <w:fldChar w:fldCharType="begin"/>
                          </w:r>
                          <w:r>
                            <w:instrText xml:space="preserve">PAGE   \* MERGEFORMAT</w:instrText>
                          </w:r>
                          <w:r>
                            <w:fldChar w:fldCharType="separate"/>
                          </w:r>
                          <w:r>
                            <w:rPr>
                              <w:lang w:val="zh-CN"/>
                            </w:rPr>
                            <w:t>1</w:t>
                          </w:r>
                          <w:r>
                            <w:rPr>
                              <w:lang w:val="zh-CN"/>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z&#10;SVju0AAAAAUBAAAPAAAAAAAAAAEAIAAAACIAAABkcnMvZG93bnJldi54bWxQSwECFAAUAAAACACH&#10;TuJAo+svSroBAABeAwAADgAAAAAAAAABACAAAAAfAQAAZHJzL2Uyb0RvYy54bWxQSwUGAAAAAAYA&#10;BgBZAQAASwUAAAAA&#10;">
              <v:fill on="f" focussize="0,0"/>
              <v:stroke on="f" weight="0.5pt" joinstyle="miter"/>
              <v:imagedata o:title=""/>
              <o:lock v:ext="edit" aspectratio="f"/>
              <v:textbox inset="0mm,0mm,0mm,0mm" style="mso-fit-shape-to-text:t;">
                <w:txbxContent>
                  <w:p>
                    <w:pPr>
                      <w:pStyle w:val="14"/>
                      <w:jc w:val="center"/>
                    </w:pPr>
                    <w:r>
                      <w:fldChar w:fldCharType="begin"/>
                    </w:r>
                    <w:r>
                      <w:instrText xml:space="preserve">PAGE   \* MERGEFORMAT</w:instrText>
                    </w:r>
                    <w:r>
                      <w:fldChar w:fldCharType="separate"/>
                    </w:r>
                    <w:r>
                      <w:rPr>
                        <w:lang w:val="zh-CN"/>
                      </w:rPr>
                      <w:t>1</w:t>
                    </w:r>
                    <w:r>
                      <w:rPr>
                        <w:lang w:val="zh-CN"/>
                      </w:rPr>
                      <w:fldChar w:fldCharType="end"/>
                    </w:r>
                  </w:p>
                </w:txbxContent>
              </v:textbox>
            </v:shape>
          </w:pict>
        </mc:Fallback>
      </mc:AlternateContent>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FF3"/>
    <w:multiLevelType w:val="multilevel"/>
    <w:tmpl w:val="01024FF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0A7431A9"/>
    <w:multiLevelType w:val="multilevel"/>
    <w:tmpl w:val="0A7431A9"/>
    <w:lvl w:ilvl="0" w:tentative="0">
      <w:start w:val="4"/>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153505F"/>
    <w:multiLevelType w:val="multilevel"/>
    <w:tmpl w:val="1153505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395B0AA0"/>
    <w:multiLevelType w:val="multilevel"/>
    <w:tmpl w:val="395B0AA0"/>
    <w:lvl w:ilvl="0" w:tentative="0">
      <w:start w:val="1"/>
      <w:numFmt w:val="decimal"/>
      <w:lvlText w:val="（%1）"/>
      <w:lvlJc w:val="left"/>
      <w:pPr>
        <w:ind w:left="1319" w:hanging="720"/>
      </w:pPr>
      <w:rPr>
        <w:rFonts w:hint="default"/>
      </w:rPr>
    </w:lvl>
    <w:lvl w:ilvl="1" w:tentative="0">
      <w:start w:val="1"/>
      <w:numFmt w:val="lowerLetter"/>
      <w:lvlText w:val="%2)"/>
      <w:lvlJc w:val="left"/>
      <w:pPr>
        <w:ind w:left="1439" w:hanging="420"/>
      </w:pPr>
    </w:lvl>
    <w:lvl w:ilvl="2" w:tentative="0">
      <w:start w:val="1"/>
      <w:numFmt w:val="lowerRoman"/>
      <w:lvlText w:val="%3."/>
      <w:lvlJc w:val="right"/>
      <w:pPr>
        <w:ind w:left="1859" w:hanging="420"/>
      </w:pPr>
    </w:lvl>
    <w:lvl w:ilvl="3" w:tentative="0">
      <w:start w:val="1"/>
      <w:numFmt w:val="decimal"/>
      <w:lvlText w:val="%4."/>
      <w:lvlJc w:val="left"/>
      <w:pPr>
        <w:ind w:left="2279" w:hanging="420"/>
      </w:pPr>
    </w:lvl>
    <w:lvl w:ilvl="4" w:tentative="0">
      <w:start w:val="1"/>
      <w:numFmt w:val="lowerLetter"/>
      <w:lvlText w:val="%5)"/>
      <w:lvlJc w:val="left"/>
      <w:pPr>
        <w:ind w:left="2699" w:hanging="420"/>
      </w:pPr>
    </w:lvl>
    <w:lvl w:ilvl="5" w:tentative="0">
      <w:start w:val="1"/>
      <w:numFmt w:val="lowerRoman"/>
      <w:lvlText w:val="%6."/>
      <w:lvlJc w:val="right"/>
      <w:pPr>
        <w:ind w:left="3119" w:hanging="420"/>
      </w:pPr>
    </w:lvl>
    <w:lvl w:ilvl="6" w:tentative="0">
      <w:start w:val="1"/>
      <w:numFmt w:val="decimal"/>
      <w:lvlText w:val="%7."/>
      <w:lvlJc w:val="left"/>
      <w:pPr>
        <w:ind w:left="3539" w:hanging="420"/>
      </w:pPr>
    </w:lvl>
    <w:lvl w:ilvl="7" w:tentative="0">
      <w:start w:val="1"/>
      <w:numFmt w:val="lowerLetter"/>
      <w:lvlText w:val="%8)"/>
      <w:lvlJc w:val="left"/>
      <w:pPr>
        <w:ind w:left="3959" w:hanging="420"/>
      </w:pPr>
    </w:lvl>
    <w:lvl w:ilvl="8" w:tentative="0">
      <w:start w:val="1"/>
      <w:numFmt w:val="lowerRoman"/>
      <w:lvlText w:val="%9."/>
      <w:lvlJc w:val="right"/>
      <w:pPr>
        <w:ind w:left="4379" w:hanging="420"/>
      </w:pPr>
    </w:lvl>
  </w:abstractNum>
  <w:abstractNum w:abstractNumId="4">
    <w:nsid w:val="40826F7E"/>
    <w:multiLevelType w:val="multilevel"/>
    <w:tmpl w:val="40826F7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C4C5710"/>
    <w:multiLevelType w:val="multilevel"/>
    <w:tmpl w:val="4C4C5710"/>
    <w:lvl w:ilvl="0" w:tentative="0">
      <w:start w:val="1"/>
      <w:numFmt w:val="decimal"/>
      <w:lvlText w:val="（%1）"/>
      <w:lvlJc w:val="left"/>
      <w:pPr>
        <w:ind w:left="90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26B1583"/>
    <w:multiLevelType w:val="multilevel"/>
    <w:tmpl w:val="526B1583"/>
    <w:lvl w:ilvl="0" w:tentative="0">
      <w:start w:val="1"/>
      <w:numFmt w:val="decimal"/>
      <w:lvlText w:val="%1."/>
      <w:lvlJc w:val="left"/>
      <w:pPr>
        <w:ind w:left="980" w:hanging="420"/>
      </w:pPr>
      <w:rPr>
        <w:rFonts w:hint="default"/>
        <w:b w:val="0"/>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7">
    <w:nsid w:val="5687351C"/>
    <w:multiLevelType w:val="multilevel"/>
    <w:tmpl w:val="5687351C"/>
    <w:lvl w:ilvl="0" w:tentative="0">
      <w:start w:val="1"/>
      <w:numFmt w:val="decimal"/>
      <w:pStyle w:val="2"/>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2710"/>
        </w:tabs>
        <w:ind w:left="2710"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8">
    <w:nsid w:val="5D2107EF"/>
    <w:multiLevelType w:val="multilevel"/>
    <w:tmpl w:val="5D2107E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6565332B"/>
    <w:multiLevelType w:val="multilevel"/>
    <w:tmpl w:val="6565332B"/>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6C2878E5"/>
    <w:multiLevelType w:val="multilevel"/>
    <w:tmpl w:val="6C2878E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1">
    <w:nsid w:val="7CC556F6"/>
    <w:multiLevelType w:val="multilevel"/>
    <w:tmpl w:val="7CC556F6"/>
    <w:lvl w:ilvl="0" w:tentative="0">
      <w:start w:val="3"/>
      <w:numFmt w:val="japaneseCounting"/>
      <w:lvlText w:val="%1."/>
      <w:lvlJc w:val="left"/>
      <w:pPr>
        <w:ind w:left="465" w:hanging="4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6"/>
  </w:num>
  <w:num w:numId="3">
    <w:abstractNumId w:val="10"/>
  </w:num>
  <w:num w:numId="4">
    <w:abstractNumId w:val="5"/>
  </w:num>
  <w:num w:numId="5">
    <w:abstractNumId w:val="1"/>
  </w:num>
  <w:num w:numId="6">
    <w:abstractNumId w:val="11"/>
  </w:num>
  <w:num w:numId="7">
    <w:abstractNumId w:val="0"/>
  </w:num>
  <w:num w:numId="8">
    <w:abstractNumId w:val="8"/>
  </w:num>
  <w:num w:numId="9">
    <w:abstractNumId w:val="2"/>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D32BE"/>
    <w:rsid w:val="0001088C"/>
    <w:rsid w:val="00060F05"/>
    <w:rsid w:val="00076D1A"/>
    <w:rsid w:val="00082F39"/>
    <w:rsid w:val="000A315E"/>
    <w:rsid w:val="000B4DF2"/>
    <w:rsid w:val="000C3B4E"/>
    <w:rsid w:val="000C56DF"/>
    <w:rsid w:val="000D1D74"/>
    <w:rsid w:val="00132126"/>
    <w:rsid w:val="00181E45"/>
    <w:rsid w:val="001832E4"/>
    <w:rsid w:val="00192000"/>
    <w:rsid w:val="0019744B"/>
    <w:rsid w:val="001A06AE"/>
    <w:rsid w:val="001B302E"/>
    <w:rsid w:val="001D5ED5"/>
    <w:rsid w:val="001E67FE"/>
    <w:rsid w:val="001F528C"/>
    <w:rsid w:val="0020408E"/>
    <w:rsid w:val="0024661B"/>
    <w:rsid w:val="00255669"/>
    <w:rsid w:val="00265FA1"/>
    <w:rsid w:val="00281EF0"/>
    <w:rsid w:val="00296D2B"/>
    <w:rsid w:val="002C4249"/>
    <w:rsid w:val="002D7724"/>
    <w:rsid w:val="002E42BE"/>
    <w:rsid w:val="00340259"/>
    <w:rsid w:val="00352680"/>
    <w:rsid w:val="00371443"/>
    <w:rsid w:val="003746CF"/>
    <w:rsid w:val="00382328"/>
    <w:rsid w:val="00393B72"/>
    <w:rsid w:val="0039429B"/>
    <w:rsid w:val="0041166A"/>
    <w:rsid w:val="00430DB8"/>
    <w:rsid w:val="00485933"/>
    <w:rsid w:val="00491519"/>
    <w:rsid w:val="004E3D8F"/>
    <w:rsid w:val="004F2377"/>
    <w:rsid w:val="00503AFA"/>
    <w:rsid w:val="0050651E"/>
    <w:rsid w:val="00526112"/>
    <w:rsid w:val="00542DD7"/>
    <w:rsid w:val="00561A48"/>
    <w:rsid w:val="00563751"/>
    <w:rsid w:val="005648D9"/>
    <w:rsid w:val="00582E3B"/>
    <w:rsid w:val="005D3EF1"/>
    <w:rsid w:val="005D7B00"/>
    <w:rsid w:val="005E5832"/>
    <w:rsid w:val="0061627C"/>
    <w:rsid w:val="00625BC8"/>
    <w:rsid w:val="00633547"/>
    <w:rsid w:val="00634651"/>
    <w:rsid w:val="0064508A"/>
    <w:rsid w:val="006509FA"/>
    <w:rsid w:val="00656E8E"/>
    <w:rsid w:val="00670718"/>
    <w:rsid w:val="006778D4"/>
    <w:rsid w:val="00685963"/>
    <w:rsid w:val="006A3F14"/>
    <w:rsid w:val="006F2EC2"/>
    <w:rsid w:val="00712C6F"/>
    <w:rsid w:val="007733A9"/>
    <w:rsid w:val="00797553"/>
    <w:rsid w:val="007C3829"/>
    <w:rsid w:val="007C502D"/>
    <w:rsid w:val="007D17F5"/>
    <w:rsid w:val="007D1BB5"/>
    <w:rsid w:val="007E6F19"/>
    <w:rsid w:val="00803370"/>
    <w:rsid w:val="008340C5"/>
    <w:rsid w:val="00834AF2"/>
    <w:rsid w:val="00856837"/>
    <w:rsid w:val="0088685C"/>
    <w:rsid w:val="008B24C1"/>
    <w:rsid w:val="008C65B2"/>
    <w:rsid w:val="00904B5E"/>
    <w:rsid w:val="00930499"/>
    <w:rsid w:val="009368F9"/>
    <w:rsid w:val="00950BC1"/>
    <w:rsid w:val="00977357"/>
    <w:rsid w:val="009910C0"/>
    <w:rsid w:val="009950B5"/>
    <w:rsid w:val="009A2A31"/>
    <w:rsid w:val="009C0799"/>
    <w:rsid w:val="00A310E9"/>
    <w:rsid w:val="00A615A4"/>
    <w:rsid w:val="00A66003"/>
    <w:rsid w:val="00A97BFA"/>
    <w:rsid w:val="00AB41C9"/>
    <w:rsid w:val="00AC390C"/>
    <w:rsid w:val="00AC58E7"/>
    <w:rsid w:val="00AF0D53"/>
    <w:rsid w:val="00AF4AFD"/>
    <w:rsid w:val="00B041E8"/>
    <w:rsid w:val="00B36C7F"/>
    <w:rsid w:val="00B808AF"/>
    <w:rsid w:val="00BA0A51"/>
    <w:rsid w:val="00BE651A"/>
    <w:rsid w:val="00BF4209"/>
    <w:rsid w:val="00C11523"/>
    <w:rsid w:val="00C150C9"/>
    <w:rsid w:val="00C51D42"/>
    <w:rsid w:val="00C5315A"/>
    <w:rsid w:val="00C649D3"/>
    <w:rsid w:val="00C745AF"/>
    <w:rsid w:val="00C80959"/>
    <w:rsid w:val="00C84293"/>
    <w:rsid w:val="00CA3574"/>
    <w:rsid w:val="00CA3E30"/>
    <w:rsid w:val="00CC0D8C"/>
    <w:rsid w:val="00CC3A44"/>
    <w:rsid w:val="00D103B7"/>
    <w:rsid w:val="00D348EB"/>
    <w:rsid w:val="00D73001"/>
    <w:rsid w:val="00D87B28"/>
    <w:rsid w:val="00DC12DE"/>
    <w:rsid w:val="00DC488A"/>
    <w:rsid w:val="00DD3579"/>
    <w:rsid w:val="00DD4916"/>
    <w:rsid w:val="00DE1302"/>
    <w:rsid w:val="00DF204E"/>
    <w:rsid w:val="00E160CC"/>
    <w:rsid w:val="00E24444"/>
    <w:rsid w:val="00E30750"/>
    <w:rsid w:val="00E42E65"/>
    <w:rsid w:val="00E56801"/>
    <w:rsid w:val="00E91826"/>
    <w:rsid w:val="00EA7CEA"/>
    <w:rsid w:val="00EC0FDC"/>
    <w:rsid w:val="00EF5EDA"/>
    <w:rsid w:val="00F14D22"/>
    <w:rsid w:val="00F14D6A"/>
    <w:rsid w:val="00FA3886"/>
    <w:rsid w:val="00FB208C"/>
    <w:rsid w:val="00FC1980"/>
    <w:rsid w:val="00FF21B4"/>
    <w:rsid w:val="010F06A4"/>
    <w:rsid w:val="03F77B07"/>
    <w:rsid w:val="0A9C57C8"/>
    <w:rsid w:val="0B7C1208"/>
    <w:rsid w:val="0BC11240"/>
    <w:rsid w:val="14247998"/>
    <w:rsid w:val="1CE62BDD"/>
    <w:rsid w:val="20396C5A"/>
    <w:rsid w:val="208366E3"/>
    <w:rsid w:val="22BD49F4"/>
    <w:rsid w:val="2A0E75F7"/>
    <w:rsid w:val="2A7C0543"/>
    <w:rsid w:val="2A932366"/>
    <w:rsid w:val="2B971F94"/>
    <w:rsid w:val="2BE5357A"/>
    <w:rsid w:val="2DC16B00"/>
    <w:rsid w:val="2EF1058C"/>
    <w:rsid w:val="336717C7"/>
    <w:rsid w:val="3B506C1E"/>
    <w:rsid w:val="40472403"/>
    <w:rsid w:val="45456FB2"/>
    <w:rsid w:val="45EC0A45"/>
    <w:rsid w:val="47E01053"/>
    <w:rsid w:val="4D8D32BE"/>
    <w:rsid w:val="52C05DAD"/>
    <w:rsid w:val="56B740D8"/>
    <w:rsid w:val="58AF413D"/>
    <w:rsid w:val="5B1D0508"/>
    <w:rsid w:val="5B322D1F"/>
    <w:rsid w:val="5B351167"/>
    <w:rsid w:val="60EB4673"/>
    <w:rsid w:val="659C2B94"/>
    <w:rsid w:val="662B19A4"/>
    <w:rsid w:val="67C8332F"/>
    <w:rsid w:val="6AD227CD"/>
    <w:rsid w:val="6B387F73"/>
    <w:rsid w:val="76FC5F4F"/>
    <w:rsid w:val="77831323"/>
    <w:rsid w:val="79DE1CCF"/>
    <w:rsid w:val="7F6C0B49"/>
    <w:rsid w:val="7FFE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adjustRightInd w:val="0"/>
      <w:spacing w:before="240" w:after="120" w:line="300" w:lineRule="auto"/>
      <w:jc w:val="center"/>
      <w:outlineLvl w:val="0"/>
    </w:pPr>
    <w:rPr>
      <w:rFonts w:ascii="宋体"/>
      <w:b/>
      <w:kern w:val="44"/>
      <w:sz w:val="32"/>
    </w:rPr>
  </w:style>
  <w:style w:type="paragraph" w:styleId="3">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3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3">
    <w:name w:val="Default Paragraph Font"/>
    <w:semiHidden/>
    <w:unhideWhenUsed/>
    <w:qFormat/>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6"/>
    <w:qFormat/>
    <w:uiPriority w:val="0"/>
    <w:rPr>
      <w:b/>
      <w:bCs/>
    </w:rPr>
  </w:style>
  <w:style w:type="paragraph" w:styleId="6">
    <w:name w:val="annotation text"/>
    <w:basedOn w:val="1"/>
    <w:link w:val="35"/>
    <w:qFormat/>
    <w:uiPriority w:val="0"/>
    <w:pPr>
      <w:jc w:val="left"/>
    </w:pPr>
  </w:style>
  <w:style w:type="paragraph" w:styleId="7">
    <w:name w:val="Normal Indent"/>
    <w:basedOn w:val="1"/>
    <w:qFormat/>
    <w:uiPriority w:val="0"/>
    <w:pPr>
      <w:adjustRightInd w:val="0"/>
      <w:spacing w:line="360" w:lineRule="atLeast"/>
      <w:ind w:firstLine="420" w:firstLineChars="200"/>
      <w:jc w:val="left"/>
      <w:textAlignment w:val="baseline"/>
    </w:pPr>
    <w:rPr>
      <w:kern w:val="0"/>
      <w:sz w:val="24"/>
      <w:szCs w:val="20"/>
    </w:rPr>
  </w:style>
  <w:style w:type="paragraph" w:styleId="8">
    <w:name w:val="Body Text"/>
    <w:basedOn w:val="1"/>
    <w:qFormat/>
    <w:uiPriority w:val="0"/>
    <w:pPr>
      <w:spacing w:after="120"/>
    </w:pPr>
  </w:style>
  <w:style w:type="paragraph" w:styleId="9">
    <w:name w:val="Body Text Indent"/>
    <w:basedOn w:val="1"/>
    <w:qFormat/>
    <w:uiPriority w:val="0"/>
    <w:pPr>
      <w:tabs>
        <w:tab w:val="left" w:pos="4240"/>
      </w:tabs>
      <w:spacing w:line="600" w:lineRule="exact"/>
      <w:ind w:firstLine="580"/>
      <w:jc w:val="left"/>
    </w:pPr>
    <w:rPr>
      <w:sz w:val="28"/>
    </w:rPr>
  </w:style>
  <w:style w:type="paragraph" w:styleId="10">
    <w:name w:val="toc 3"/>
    <w:basedOn w:val="1"/>
    <w:next w:val="1"/>
    <w:qFormat/>
    <w:uiPriority w:val="0"/>
    <w:pPr>
      <w:tabs>
        <w:tab w:val="right" w:leader="dot" w:pos="8296"/>
      </w:tabs>
      <w:spacing w:line="360" w:lineRule="auto"/>
      <w:ind w:left="630" w:leftChars="300"/>
      <w:jc w:val="left"/>
    </w:pPr>
    <w:rPr>
      <w:i/>
      <w:iCs/>
      <w:sz w:val="20"/>
      <w:szCs w:val="20"/>
    </w:rPr>
  </w:style>
  <w:style w:type="paragraph" w:styleId="11">
    <w:name w:val="Plain Text"/>
    <w:basedOn w:val="1"/>
    <w:link w:val="34"/>
    <w:qFormat/>
    <w:uiPriority w:val="0"/>
    <w:rPr>
      <w:rFonts w:ascii="宋体" w:hAnsi="Courier New"/>
      <w:kern w:val="0"/>
      <w:sz w:val="20"/>
      <w:szCs w:val="20"/>
    </w:rPr>
  </w:style>
  <w:style w:type="paragraph" w:styleId="12">
    <w:name w:val="Body Text Indent 2"/>
    <w:basedOn w:val="1"/>
    <w:qFormat/>
    <w:uiPriority w:val="0"/>
    <w:pPr>
      <w:spacing w:after="120" w:line="480" w:lineRule="auto"/>
      <w:ind w:left="420" w:leftChars="200"/>
    </w:pPr>
  </w:style>
  <w:style w:type="paragraph" w:styleId="13">
    <w:name w:val="Balloon Text"/>
    <w:basedOn w:val="1"/>
    <w:link w:val="30"/>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pPr>
      <w:spacing w:before="120" w:after="120"/>
      <w:jc w:val="left"/>
    </w:pPr>
    <w:rPr>
      <w:b/>
      <w:bCs/>
      <w:caps/>
      <w:sz w:val="20"/>
      <w:szCs w:val="20"/>
    </w:rPr>
  </w:style>
  <w:style w:type="paragraph" w:styleId="17">
    <w:name w:val="toc 4"/>
    <w:basedOn w:val="1"/>
    <w:next w:val="1"/>
    <w:qFormat/>
    <w:uiPriority w:val="0"/>
    <w:pPr>
      <w:tabs>
        <w:tab w:val="right" w:leader="dot" w:pos="8296"/>
      </w:tabs>
      <w:spacing w:line="360" w:lineRule="auto"/>
      <w:ind w:left="1050" w:leftChars="500"/>
      <w:jc w:val="left"/>
    </w:pPr>
    <w:rPr>
      <w:sz w:val="18"/>
      <w:szCs w:val="18"/>
    </w:rPr>
  </w:style>
  <w:style w:type="paragraph" w:styleId="18">
    <w:name w:val="List"/>
    <w:basedOn w:val="1"/>
    <w:qFormat/>
    <w:uiPriority w:val="0"/>
    <w:pPr>
      <w:ind w:left="420" w:hanging="420"/>
    </w:pPr>
    <w:rPr>
      <w:szCs w:val="20"/>
    </w:rPr>
  </w:style>
  <w:style w:type="paragraph" w:styleId="19">
    <w:name w:val="Body Text Indent 3"/>
    <w:basedOn w:val="1"/>
    <w:link w:val="33"/>
    <w:qFormat/>
    <w:uiPriority w:val="0"/>
    <w:pPr>
      <w:spacing w:after="120"/>
      <w:ind w:left="420" w:leftChars="200"/>
    </w:pPr>
    <w:rPr>
      <w:sz w:val="16"/>
      <w:szCs w:val="16"/>
    </w:rPr>
  </w:style>
  <w:style w:type="paragraph" w:styleId="20">
    <w:name w:val="toc 2"/>
    <w:basedOn w:val="1"/>
    <w:next w:val="1"/>
    <w:qFormat/>
    <w:uiPriority w:val="0"/>
    <w:pPr>
      <w:tabs>
        <w:tab w:val="right" w:leader="dot" w:pos="8296"/>
      </w:tabs>
      <w:spacing w:line="360" w:lineRule="auto"/>
      <w:ind w:left="420" w:leftChars="200"/>
      <w:jc w:val="left"/>
    </w:pPr>
    <w:rPr>
      <w:smallCaps/>
      <w:sz w:val="20"/>
      <w:szCs w:val="20"/>
    </w:rPr>
  </w:style>
  <w:style w:type="paragraph" w:styleId="21">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2">
    <w:name w:val="index 1"/>
    <w:basedOn w:val="1"/>
    <w:next w:val="1"/>
    <w:qFormat/>
    <w:uiPriority w:val="0"/>
    <w:rPr>
      <w:szCs w:val="20"/>
    </w:rPr>
  </w:style>
  <w:style w:type="character" w:styleId="24">
    <w:name w:val="Strong"/>
    <w:basedOn w:val="23"/>
    <w:qFormat/>
    <w:uiPriority w:val="22"/>
    <w:rPr>
      <w:b/>
      <w:bCs/>
    </w:rPr>
  </w:style>
  <w:style w:type="character" w:styleId="25">
    <w:name w:val="page number"/>
    <w:basedOn w:val="23"/>
    <w:qFormat/>
    <w:uiPriority w:val="0"/>
  </w:style>
  <w:style w:type="character" w:styleId="26">
    <w:name w:val="Hyperlink"/>
    <w:qFormat/>
    <w:uiPriority w:val="0"/>
    <w:rPr>
      <w:color w:val="0000FF"/>
      <w:u w:val="single"/>
    </w:rPr>
  </w:style>
  <w:style w:type="character" w:styleId="27">
    <w:name w:val="annotation reference"/>
    <w:basedOn w:val="23"/>
    <w:uiPriority w:val="0"/>
    <w:rPr>
      <w:sz w:val="21"/>
      <w:szCs w:val="21"/>
    </w:rPr>
  </w:style>
  <w:style w:type="paragraph" w:customStyle="1" w:styleId="29">
    <w:name w:val="列出段落1"/>
    <w:basedOn w:val="1"/>
    <w:qFormat/>
    <w:uiPriority w:val="0"/>
    <w:pPr>
      <w:widowControl/>
      <w:spacing w:after="200" w:line="276" w:lineRule="auto"/>
      <w:ind w:left="720"/>
      <w:contextualSpacing/>
      <w:jc w:val="left"/>
    </w:pPr>
    <w:rPr>
      <w:rFonts w:ascii="Calibri" w:hAnsi="Calibri"/>
      <w:kern w:val="0"/>
      <w:sz w:val="22"/>
      <w:szCs w:val="22"/>
    </w:rPr>
  </w:style>
  <w:style w:type="character" w:customStyle="1" w:styleId="30">
    <w:name w:val="批注框文本 Char"/>
    <w:basedOn w:val="23"/>
    <w:link w:val="13"/>
    <w:qFormat/>
    <w:uiPriority w:val="0"/>
    <w:rPr>
      <w:rFonts w:ascii="Times New Roman" w:hAnsi="Times New Roman"/>
      <w:kern w:val="2"/>
      <w:sz w:val="18"/>
      <w:szCs w:val="18"/>
    </w:rPr>
  </w:style>
  <w:style w:type="character" w:customStyle="1" w:styleId="31">
    <w:name w:val="标题 3 Char"/>
    <w:basedOn w:val="23"/>
    <w:link w:val="3"/>
    <w:semiHidden/>
    <w:uiPriority w:val="0"/>
    <w:rPr>
      <w:rFonts w:ascii="Times New Roman" w:hAnsi="Times New Roman"/>
      <w:b/>
      <w:bCs/>
      <w:kern w:val="2"/>
      <w:sz w:val="32"/>
      <w:szCs w:val="32"/>
    </w:rPr>
  </w:style>
  <w:style w:type="character" w:customStyle="1" w:styleId="32">
    <w:name w:val="标题 4 Char"/>
    <w:basedOn w:val="23"/>
    <w:link w:val="4"/>
    <w:semiHidden/>
    <w:qFormat/>
    <w:uiPriority w:val="0"/>
    <w:rPr>
      <w:rFonts w:asciiTheme="majorHAnsi" w:hAnsiTheme="majorHAnsi" w:eastAsiaTheme="majorEastAsia" w:cstheme="majorBidi"/>
      <w:b/>
      <w:bCs/>
      <w:kern w:val="2"/>
      <w:sz w:val="28"/>
      <w:szCs w:val="28"/>
    </w:rPr>
  </w:style>
  <w:style w:type="character" w:customStyle="1" w:styleId="33">
    <w:name w:val="正文文本缩进 3 Char"/>
    <w:basedOn w:val="23"/>
    <w:link w:val="19"/>
    <w:qFormat/>
    <w:uiPriority w:val="0"/>
    <w:rPr>
      <w:rFonts w:ascii="Times New Roman" w:hAnsi="Times New Roman"/>
      <w:kern w:val="2"/>
      <w:sz w:val="16"/>
      <w:szCs w:val="16"/>
    </w:rPr>
  </w:style>
  <w:style w:type="character" w:customStyle="1" w:styleId="34">
    <w:name w:val="纯文本 Char"/>
    <w:link w:val="11"/>
    <w:qFormat/>
    <w:uiPriority w:val="0"/>
    <w:rPr>
      <w:rFonts w:ascii="宋体" w:hAnsi="Courier New"/>
    </w:rPr>
  </w:style>
  <w:style w:type="character" w:customStyle="1" w:styleId="35">
    <w:name w:val="批注文字 Char"/>
    <w:basedOn w:val="23"/>
    <w:link w:val="6"/>
    <w:qFormat/>
    <w:uiPriority w:val="0"/>
    <w:rPr>
      <w:rFonts w:ascii="Times New Roman" w:hAnsi="Times New Roman"/>
      <w:kern w:val="2"/>
      <w:sz w:val="21"/>
      <w:szCs w:val="24"/>
    </w:rPr>
  </w:style>
  <w:style w:type="character" w:customStyle="1" w:styleId="36">
    <w:name w:val="批注主题 Char"/>
    <w:basedOn w:val="35"/>
    <w:link w:val="5"/>
    <w:qFormat/>
    <w:uiPriority w:val="0"/>
    <w:rPr>
      <w:rFonts w:ascii="Times New Roman" w:hAnsi="Times New Roman"/>
      <w:kern w:val="2"/>
      <w:sz w:val="21"/>
      <w:szCs w:val="24"/>
    </w:rPr>
  </w:style>
  <w:style w:type="paragraph" w:customStyle="1" w:styleId="37">
    <w:name w:val="修订1"/>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62</Pages>
  <Words>4883</Words>
  <Characters>27837</Characters>
  <Lines>231</Lines>
  <Paragraphs>65</Paragraphs>
  <TotalTime>3</TotalTime>
  <ScaleCrop>false</ScaleCrop>
  <LinksUpToDate>false</LinksUpToDate>
  <CharactersWithSpaces>32655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2018-07-06T06:15:00Z</dcterms:created>
  <dc:creator>cbwtc</dc:creator>
  <cp:lastModifiedBy>bwtc</cp:lastModifiedBy>
  <cp:lastPrinted>2018-04-28T02:48:00Z</cp:lastPrinted>
  <dcterms:modified xsi:type="dcterms:W3CDTF">2018-08-14T00:20:55Z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