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EFC72" w14:textId="0AEA728D" w:rsidR="008A2EEF" w:rsidRPr="00104CC0" w:rsidRDefault="000F4DB2" w:rsidP="00C8504A">
      <w:pPr>
        <w:spacing w:line="480" w:lineRule="auto"/>
        <w:jc w:val="center"/>
        <w:rPr>
          <w:rFonts w:ascii="Times New Roman" w:hAnsi="Times New Roman" w:cs="Times New Roman"/>
          <w:color w:val="000000" w:themeColor="text1"/>
        </w:rPr>
      </w:pPr>
      <w:r w:rsidRPr="00104CC0">
        <w:rPr>
          <w:rFonts w:ascii="Times New Roman" w:hAnsi="Times New Roman" w:cs="Times New Roman"/>
          <w:color w:val="000000" w:themeColor="text1"/>
        </w:rPr>
        <w:t>QBIO490 Mid-Semester Report</w:t>
      </w:r>
      <w:r w:rsidR="00F759B5">
        <w:rPr>
          <w:rFonts w:ascii="Times New Roman" w:hAnsi="Times New Roman" w:cs="Times New Roman"/>
          <w:color w:val="000000" w:themeColor="text1"/>
        </w:rPr>
        <w:t xml:space="preserve"> (Colin Yeo)</w:t>
      </w:r>
    </w:p>
    <w:p w14:paraId="0C822726" w14:textId="77777777" w:rsidR="00237694" w:rsidRPr="00104CC0" w:rsidRDefault="000F4DB2" w:rsidP="00C8504A">
      <w:pPr>
        <w:spacing w:line="480" w:lineRule="auto"/>
        <w:rPr>
          <w:rFonts w:ascii="Times New Roman" w:hAnsi="Times New Roman" w:cs="Times New Roman"/>
          <w:color w:val="000000" w:themeColor="text1"/>
        </w:rPr>
      </w:pPr>
      <w:r w:rsidRPr="00104CC0">
        <w:rPr>
          <w:rFonts w:ascii="Times New Roman" w:hAnsi="Times New Roman" w:cs="Times New Roman"/>
          <w:b/>
          <w:bCs/>
          <w:color w:val="000000" w:themeColor="text1"/>
          <w:u w:val="single"/>
        </w:rPr>
        <w:t>Introduction</w:t>
      </w:r>
      <w:r w:rsidRPr="00104CC0">
        <w:rPr>
          <w:rFonts w:ascii="Times New Roman" w:hAnsi="Times New Roman" w:cs="Times New Roman"/>
          <w:color w:val="000000" w:themeColor="text1"/>
        </w:rPr>
        <w:t>: Multi-</w:t>
      </w:r>
      <w:proofErr w:type="spellStart"/>
      <w:r w:rsidRPr="00104CC0">
        <w:rPr>
          <w:rFonts w:ascii="Times New Roman" w:hAnsi="Times New Roman" w:cs="Times New Roman"/>
          <w:color w:val="000000" w:themeColor="text1"/>
        </w:rPr>
        <w:t>omic</w:t>
      </w:r>
      <w:proofErr w:type="spellEnd"/>
      <w:r w:rsidRPr="00104CC0">
        <w:rPr>
          <w:rFonts w:ascii="Times New Roman" w:hAnsi="Times New Roman" w:cs="Times New Roman"/>
          <w:color w:val="000000" w:themeColor="text1"/>
        </w:rPr>
        <w:t xml:space="preserve"> data analysis is growing to become one of the most powerful tools in bioinformatics, particularly from a clinical perspective. In broad terms, multi-</w:t>
      </w:r>
      <w:proofErr w:type="spellStart"/>
      <w:r w:rsidRPr="00104CC0">
        <w:rPr>
          <w:rFonts w:ascii="Times New Roman" w:hAnsi="Times New Roman" w:cs="Times New Roman"/>
          <w:color w:val="000000" w:themeColor="text1"/>
        </w:rPr>
        <w:t>omic</w:t>
      </w:r>
      <w:proofErr w:type="spellEnd"/>
      <w:r w:rsidRPr="00104CC0">
        <w:rPr>
          <w:rFonts w:ascii="Times New Roman" w:hAnsi="Times New Roman" w:cs="Times New Roman"/>
          <w:color w:val="000000" w:themeColor="text1"/>
        </w:rPr>
        <w:t xml:space="preserve"> analysis considers data from areas like the genome (DNA), proteome (protein makeup), and transcriptome</w:t>
      </w:r>
      <w:r w:rsidR="008D1E54" w:rsidRPr="00104CC0">
        <w:rPr>
          <w:rFonts w:ascii="Times New Roman" w:hAnsi="Times New Roman" w:cs="Times New Roman"/>
          <w:color w:val="000000" w:themeColor="text1"/>
        </w:rPr>
        <w:t xml:space="preserve"> – specifically, it examines</w:t>
      </w:r>
      <w:r w:rsidRPr="00104CC0">
        <w:rPr>
          <w:rFonts w:ascii="Times New Roman" w:hAnsi="Times New Roman" w:cs="Times New Roman"/>
          <w:color w:val="000000" w:themeColor="text1"/>
        </w:rPr>
        <w:t xml:space="preserve"> </w:t>
      </w:r>
      <w:r w:rsidR="008D1E54" w:rsidRPr="00104CC0">
        <w:rPr>
          <w:rFonts w:ascii="Times New Roman" w:hAnsi="Times New Roman" w:cs="Times New Roman"/>
          <w:color w:val="000000" w:themeColor="text1"/>
        </w:rPr>
        <w:t xml:space="preserve">these areas within </w:t>
      </w:r>
      <w:r w:rsidRPr="00104CC0">
        <w:rPr>
          <w:rFonts w:ascii="Times New Roman" w:hAnsi="Times New Roman" w:cs="Times New Roman"/>
          <w:color w:val="000000" w:themeColor="text1"/>
        </w:rPr>
        <w:t xml:space="preserve">groups of individuals to recognize patterns in disease and genetic mutation. </w:t>
      </w:r>
      <w:r w:rsidR="00C8504A" w:rsidRPr="00104CC0">
        <w:rPr>
          <w:rFonts w:ascii="Times New Roman" w:hAnsi="Times New Roman" w:cs="Times New Roman"/>
          <w:color w:val="000000" w:themeColor="text1"/>
        </w:rPr>
        <w:t>One of the most applicable areas of multi-</w:t>
      </w:r>
      <w:proofErr w:type="spellStart"/>
      <w:r w:rsidR="00C8504A" w:rsidRPr="00104CC0">
        <w:rPr>
          <w:rFonts w:ascii="Times New Roman" w:hAnsi="Times New Roman" w:cs="Times New Roman"/>
          <w:color w:val="000000" w:themeColor="text1"/>
        </w:rPr>
        <w:t>omic</w:t>
      </w:r>
      <w:proofErr w:type="spellEnd"/>
      <w:r w:rsidR="00C8504A" w:rsidRPr="00104CC0">
        <w:rPr>
          <w:rFonts w:ascii="Times New Roman" w:hAnsi="Times New Roman" w:cs="Times New Roman"/>
          <w:color w:val="000000" w:themeColor="text1"/>
        </w:rPr>
        <w:t xml:space="preserve"> data analysis, clinically-speaking, is breast cancer research. By examining the current literature on this disease, some risk factors for breast cancer become apparent: living in developed countries, being a part of certain racial and ethnic groups, and hereditary factors are all potential contributors to breast cancer incidence (</w:t>
      </w:r>
      <w:proofErr w:type="spellStart"/>
      <w:r w:rsidR="00C8504A" w:rsidRPr="00104CC0">
        <w:rPr>
          <w:rFonts w:ascii="Times New Roman" w:hAnsi="Times New Roman" w:cs="Times New Roman"/>
          <w:color w:val="000000" w:themeColor="text1"/>
        </w:rPr>
        <w:t>Momenimovahed</w:t>
      </w:r>
      <w:proofErr w:type="spellEnd"/>
      <w:r w:rsidR="00C8504A" w:rsidRPr="00104CC0">
        <w:rPr>
          <w:rFonts w:ascii="Times New Roman" w:hAnsi="Times New Roman" w:cs="Times New Roman"/>
          <w:color w:val="000000" w:themeColor="text1"/>
        </w:rPr>
        <w:t xml:space="preserve"> et al., 2019). </w:t>
      </w:r>
    </w:p>
    <w:p w14:paraId="2D05143C" w14:textId="77777777" w:rsidR="00237694" w:rsidRPr="00104CC0" w:rsidRDefault="00237694" w:rsidP="00C8504A">
      <w:pPr>
        <w:spacing w:line="480" w:lineRule="auto"/>
        <w:rPr>
          <w:rFonts w:ascii="Times New Roman" w:hAnsi="Times New Roman" w:cs="Times New Roman"/>
          <w:color w:val="000000" w:themeColor="text1"/>
        </w:rPr>
      </w:pPr>
    </w:p>
    <w:p w14:paraId="3496CFB3" w14:textId="77777777" w:rsidR="00237694" w:rsidRPr="00104CC0" w:rsidRDefault="00E50771" w:rsidP="00C8504A">
      <w:pPr>
        <w:spacing w:line="480" w:lineRule="auto"/>
        <w:rPr>
          <w:rFonts w:ascii="Times New Roman" w:hAnsi="Times New Roman" w:cs="Times New Roman"/>
          <w:color w:val="000000" w:themeColor="text1"/>
        </w:rPr>
      </w:pPr>
      <w:r w:rsidRPr="00104CC0">
        <w:rPr>
          <w:rFonts w:ascii="Times New Roman" w:hAnsi="Times New Roman" w:cs="Times New Roman"/>
          <w:color w:val="000000" w:themeColor="text1"/>
        </w:rPr>
        <w:t xml:space="preserve">Notably, this cancer is a significant cause of premature mortality among women, accounting for the most cancer deaths other than lung cancer in this demographic (Coughlin, 2019). </w:t>
      </w:r>
      <w:r w:rsidR="00D85F0B" w:rsidRPr="00104CC0">
        <w:rPr>
          <w:rFonts w:ascii="Times New Roman" w:hAnsi="Times New Roman" w:cs="Times New Roman"/>
          <w:color w:val="000000" w:themeColor="text1"/>
        </w:rPr>
        <w:t>Given the advancement of multi-</w:t>
      </w:r>
      <w:proofErr w:type="spellStart"/>
      <w:r w:rsidR="00D85F0B" w:rsidRPr="00104CC0">
        <w:rPr>
          <w:rFonts w:ascii="Times New Roman" w:hAnsi="Times New Roman" w:cs="Times New Roman"/>
          <w:color w:val="000000" w:themeColor="text1"/>
        </w:rPr>
        <w:t>omic</w:t>
      </w:r>
      <w:proofErr w:type="spellEnd"/>
      <w:r w:rsidR="00D85F0B" w:rsidRPr="00104CC0">
        <w:rPr>
          <w:rFonts w:ascii="Times New Roman" w:hAnsi="Times New Roman" w:cs="Times New Roman"/>
          <w:color w:val="000000" w:themeColor="text1"/>
        </w:rPr>
        <w:t xml:space="preserve"> data analysis, though, some researchers are advocating for </w:t>
      </w:r>
      <w:r w:rsidR="008D1E54" w:rsidRPr="00104CC0">
        <w:rPr>
          <w:rFonts w:ascii="Times New Roman" w:hAnsi="Times New Roman" w:cs="Times New Roman"/>
          <w:color w:val="000000" w:themeColor="text1"/>
        </w:rPr>
        <w:t xml:space="preserve">increased individualized breast cancer patient care, as this type of analysis allows clinicians to begin tailoring treatments for patients based on considerations like their genome. </w:t>
      </w:r>
    </w:p>
    <w:p w14:paraId="6B6FBAF1" w14:textId="77777777" w:rsidR="00237694" w:rsidRPr="00104CC0" w:rsidRDefault="00237694" w:rsidP="00C8504A">
      <w:pPr>
        <w:spacing w:line="480" w:lineRule="auto"/>
        <w:rPr>
          <w:rFonts w:ascii="Times New Roman" w:hAnsi="Times New Roman" w:cs="Times New Roman"/>
          <w:color w:val="000000" w:themeColor="text1"/>
        </w:rPr>
      </w:pPr>
    </w:p>
    <w:p w14:paraId="00E4AD10" w14:textId="3863AC9B" w:rsidR="000F4DB2" w:rsidRPr="00104CC0" w:rsidRDefault="008D1E54" w:rsidP="00C8504A">
      <w:pPr>
        <w:spacing w:line="480" w:lineRule="auto"/>
        <w:rPr>
          <w:rFonts w:ascii="Times New Roman" w:hAnsi="Times New Roman" w:cs="Times New Roman"/>
          <w:color w:val="000000" w:themeColor="text1"/>
        </w:rPr>
      </w:pPr>
      <w:r w:rsidRPr="00104CC0">
        <w:rPr>
          <w:rFonts w:ascii="Times New Roman" w:hAnsi="Times New Roman" w:cs="Times New Roman"/>
          <w:color w:val="000000" w:themeColor="text1"/>
        </w:rPr>
        <w:t xml:space="preserve">In this study, trends between certain breast cancer mutation types, different cancer manifestations, </w:t>
      </w:r>
      <w:r w:rsidR="00F046FB" w:rsidRPr="00104CC0">
        <w:rPr>
          <w:rFonts w:ascii="Times New Roman" w:hAnsi="Times New Roman" w:cs="Times New Roman"/>
          <w:color w:val="000000" w:themeColor="text1"/>
        </w:rPr>
        <w:t xml:space="preserve">procedure/treatment types, </w:t>
      </w:r>
      <w:r w:rsidRPr="00104CC0">
        <w:rPr>
          <w:rFonts w:ascii="Times New Roman" w:hAnsi="Times New Roman" w:cs="Times New Roman"/>
          <w:color w:val="000000" w:themeColor="text1"/>
        </w:rPr>
        <w:t>and survival times were observed, in hopes of elucidating patterns between these variables. The public dataset TCGA, a cancer genomics program consisting of real-life, clinical data, was utilized in this study’s analyses</w:t>
      </w:r>
      <w:r w:rsidR="00706661" w:rsidRPr="00104CC0">
        <w:rPr>
          <w:rFonts w:ascii="Times New Roman" w:hAnsi="Times New Roman" w:cs="Times New Roman"/>
          <w:color w:val="000000" w:themeColor="text1"/>
        </w:rPr>
        <w:t xml:space="preserve"> to answer the question: are mutation type, </w:t>
      </w:r>
      <w:r w:rsidR="00F046FB" w:rsidRPr="00104CC0">
        <w:rPr>
          <w:rFonts w:ascii="Times New Roman" w:hAnsi="Times New Roman" w:cs="Times New Roman"/>
          <w:color w:val="000000" w:themeColor="text1"/>
        </w:rPr>
        <w:t>procedure type</w:t>
      </w:r>
      <w:r w:rsidR="00706661" w:rsidRPr="00104CC0">
        <w:rPr>
          <w:rFonts w:ascii="Times New Roman" w:hAnsi="Times New Roman" w:cs="Times New Roman"/>
          <w:color w:val="000000" w:themeColor="text1"/>
        </w:rPr>
        <w:t>, and survival rates related in breast cancer patients?</w:t>
      </w:r>
      <w:r w:rsidR="00F046FB" w:rsidRPr="00104CC0">
        <w:rPr>
          <w:rFonts w:ascii="Times New Roman" w:hAnsi="Times New Roman" w:cs="Times New Roman"/>
          <w:color w:val="000000" w:themeColor="text1"/>
        </w:rPr>
        <w:t xml:space="preserve"> Ultimately, the most significant finding in this study was the relationship between procedure type </w:t>
      </w:r>
      <w:r w:rsidR="00F046FB" w:rsidRPr="00104CC0">
        <w:rPr>
          <w:rFonts w:ascii="Times New Roman" w:hAnsi="Times New Roman" w:cs="Times New Roman"/>
          <w:color w:val="000000" w:themeColor="text1"/>
        </w:rPr>
        <w:lastRenderedPageBreak/>
        <w:t xml:space="preserve">and survival time – specifically, that lumpectomies typically correlate with a higher survival probability in the early stages of treatment, but that simple mastectomies are associated with higher long-term survival rates.  </w:t>
      </w:r>
    </w:p>
    <w:p w14:paraId="62E1964A" w14:textId="77777777" w:rsidR="00237694" w:rsidRPr="00104CC0" w:rsidRDefault="00237694" w:rsidP="00C8504A">
      <w:pPr>
        <w:spacing w:line="480" w:lineRule="auto"/>
        <w:rPr>
          <w:rFonts w:ascii="Times New Roman" w:hAnsi="Times New Roman" w:cs="Times New Roman"/>
          <w:color w:val="000000" w:themeColor="text1"/>
        </w:rPr>
      </w:pPr>
    </w:p>
    <w:p w14:paraId="6B5BD4DB" w14:textId="77777777" w:rsidR="00237694" w:rsidRPr="00104CC0" w:rsidRDefault="00706661" w:rsidP="00C8504A">
      <w:pPr>
        <w:spacing w:line="480" w:lineRule="auto"/>
        <w:rPr>
          <w:rFonts w:ascii="Times New Roman" w:hAnsi="Times New Roman" w:cs="Times New Roman"/>
          <w:color w:val="000000" w:themeColor="text1"/>
        </w:rPr>
      </w:pPr>
      <w:r w:rsidRPr="00104CC0">
        <w:rPr>
          <w:rFonts w:ascii="Times New Roman" w:hAnsi="Times New Roman" w:cs="Times New Roman"/>
          <w:b/>
          <w:bCs/>
          <w:color w:val="000000" w:themeColor="text1"/>
          <w:u w:val="single"/>
        </w:rPr>
        <w:t>Methods:</w:t>
      </w:r>
      <w:r w:rsidR="00F046FB" w:rsidRPr="00104CC0">
        <w:rPr>
          <w:rFonts w:ascii="Times New Roman" w:hAnsi="Times New Roman" w:cs="Times New Roman"/>
          <w:color w:val="000000" w:themeColor="text1"/>
        </w:rPr>
        <w:t xml:space="preserve"> To examine the relationships between the selected variables, clinical data and MAF data related to breast cancer patients was gathered from the TCGA dataset using accession code “TCGA-BRCA”. A total of seven RStudio libraries were downloaded and utilized in this study’s analyses: </w:t>
      </w:r>
      <w:proofErr w:type="spellStart"/>
      <w:r w:rsidR="00F046FB" w:rsidRPr="00104CC0">
        <w:rPr>
          <w:rFonts w:ascii="Times New Roman" w:hAnsi="Times New Roman" w:cs="Times New Roman"/>
          <w:color w:val="000000" w:themeColor="text1"/>
        </w:rPr>
        <w:t>BiocManager</w:t>
      </w:r>
      <w:proofErr w:type="spellEnd"/>
      <w:r w:rsidR="00F046FB" w:rsidRPr="00104CC0">
        <w:rPr>
          <w:rFonts w:ascii="Times New Roman" w:hAnsi="Times New Roman" w:cs="Times New Roman"/>
          <w:color w:val="000000" w:themeColor="text1"/>
        </w:rPr>
        <w:t xml:space="preserve">, </w:t>
      </w:r>
      <w:proofErr w:type="spellStart"/>
      <w:r w:rsidR="00F046FB" w:rsidRPr="00104CC0">
        <w:rPr>
          <w:rFonts w:ascii="Times New Roman" w:hAnsi="Times New Roman" w:cs="Times New Roman"/>
          <w:color w:val="000000" w:themeColor="text1"/>
        </w:rPr>
        <w:t>TCGAbiolinnks</w:t>
      </w:r>
      <w:proofErr w:type="spellEnd"/>
      <w:r w:rsidR="00F046FB" w:rsidRPr="00104CC0">
        <w:rPr>
          <w:rFonts w:ascii="Times New Roman" w:hAnsi="Times New Roman" w:cs="Times New Roman"/>
          <w:color w:val="000000" w:themeColor="text1"/>
        </w:rPr>
        <w:t xml:space="preserve">, </w:t>
      </w:r>
      <w:proofErr w:type="spellStart"/>
      <w:r w:rsidR="00F046FB" w:rsidRPr="00104CC0">
        <w:rPr>
          <w:rFonts w:ascii="Times New Roman" w:hAnsi="Times New Roman" w:cs="Times New Roman"/>
          <w:color w:val="000000" w:themeColor="text1"/>
        </w:rPr>
        <w:t>SummarizedExperiment</w:t>
      </w:r>
      <w:proofErr w:type="spellEnd"/>
      <w:r w:rsidR="00F046FB" w:rsidRPr="00104CC0">
        <w:rPr>
          <w:rFonts w:ascii="Times New Roman" w:hAnsi="Times New Roman" w:cs="Times New Roman"/>
          <w:color w:val="000000" w:themeColor="text1"/>
        </w:rPr>
        <w:t xml:space="preserve">, </w:t>
      </w:r>
      <w:proofErr w:type="spellStart"/>
      <w:r w:rsidR="00F046FB" w:rsidRPr="00104CC0">
        <w:rPr>
          <w:rFonts w:ascii="Times New Roman" w:hAnsi="Times New Roman" w:cs="Times New Roman"/>
          <w:color w:val="000000" w:themeColor="text1"/>
        </w:rPr>
        <w:t>maftools</w:t>
      </w:r>
      <w:proofErr w:type="spellEnd"/>
      <w:r w:rsidR="00F046FB" w:rsidRPr="00104CC0">
        <w:rPr>
          <w:rFonts w:ascii="Times New Roman" w:hAnsi="Times New Roman" w:cs="Times New Roman"/>
          <w:color w:val="000000" w:themeColor="text1"/>
        </w:rPr>
        <w:t xml:space="preserve">, ggplot2, survival, and </w:t>
      </w:r>
      <w:proofErr w:type="spellStart"/>
      <w:r w:rsidR="00F046FB" w:rsidRPr="00104CC0">
        <w:rPr>
          <w:rFonts w:ascii="Times New Roman" w:hAnsi="Times New Roman" w:cs="Times New Roman"/>
          <w:color w:val="000000" w:themeColor="text1"/>
        </w:rPr>
        <w:t>survminer</w:t>
      </w:r>
      <w:proofErr w:type="spellEnd"/>
      <w:r w:rsidR="00F046FB" w:rsidRPr="00104CC0">
        <w:rPr>
          <w:rFonts w:ascii="Times New Roman" w:hAnsi="Times New Roman" w:cs="Times New Roman"/>
          <w:color w:val="000000" w:themeColor="text1"/>
        </w:rPr>
        <w:t xml:space="preserve">. </w:t>
      </w:r>
    </w:p>
    <w:p w14:paraId="0A69CBE7" w14:textId="77777777" w:rsidR="00237694" w:rsidRPr="00104CC0" w:rsidRDefault="00237694" w:rsidP="00C8504A">
      <w:pPr>
        <w:spacing w:line="480" w:lineRule="auto"/>
        <w:rPr>
          <w:rFonts w:ascii="Times New Roman" w:hAnsi="Times New Roman" w:cs="Times New Roman"/>
          <w:color w:val="000000" w:themeColor="text1"/>
        </w:rPr>
      </w:pPr>
    </w:p>
    <w:p w14:paraId="045188A9" w14:textId="3D01D589" w:rsidR="00706661" w:rsidRPr="00104CC0" w:rsidRDefault="00F046FB" w:rsidP="00C8504A">
      <w:pPr>
        <w:spacing w:line="480" w:lineRule="auto"/>
        <w:rPr>
          <w:rFonts w:ascii="Times New Roman" w:hAnsi="Times New Roman" w:cs="Times New Roman"/>
          <w:color w:val="000000" w:themeColor="text1"/>
        </w:rPr>
      </w:pPr>
      <w:r w:rsidRPr="00104CC0">
        <w:rPr>
          <w:rFonts w:ascii="Times New Roman" w:hAnsi="Times New Roman" w:cs="Times New Roman"/>
          <w:color w:val="000000" w:themeColor="text1"/>
        </w:rPr>
        <w:t xml:space="preserve">First, the three types of surgical procedures were chosen from the clinical data; there were five total procedures listed (Lumpectomy, Simple Mastectomy, Modified Radical Mastectomy, “Other”, and a blank procedure), but the “other” and blanks were removed using simple Boolean masking. Next, a Kaplan-Meier plot was created </w:t>
      </w:r>
      <w:r w:rsidR="00237694" w:rsidRPr="00104CC0">
        <w:rPr>
          <w:rFonts w:ascii="Times New Roman" w:hAnsi="Times New Roman" w:cs="Times New Roman"/>
          <w:color w:val="000000" w:themeColor="text1"/>
        </w:rPr>
        <w:t>that traces the survival rates for each of the three valid procedures using functions “</w:t>
      </w:r>
      <w:proofErr w:type="spellStart"/>
      <w:r w:rsidR="00237694" w:rsidRPr="00104CC0">
        <w:rPr>
          <w:rFonts w:ascii="Times New Roman" w:hAnsi="Times New Roman" w:cs="Times New Roman"/>
          <w:color w:val="000000" w:themeColor="text1"/>
        </w:rPr>
        <w:t>Surv</w:t>
      </w:r>
      <w:proofErr w:type="spellEnd"/>
      <w:r w:rsidR="00237694" w:rsidRPr="00104CC0">
        <w:rPr>
          <w:rFonts w:ascii="Times New Roman" w:hAnsi="Times New Roman" w:cs="Times New Roman"/>
          <w:color w:val="000000" w:themeColor="text1"/>
        </w:rPr>
        <w:t>”, “</w:t>
      </w:r>
      <w:proofErr w:type="spellStart"/>
      <w:r w:rsidR="00237694" w:rsidRPr="00104CC0">
        <w:rPr>
          <w:rFonts w:ascii="Times New Roman" w:hAnsi="Times New Roman" w:cs="Times New Roman"/>
          <w:color w:val="000000" w:themeColor="text1"/>
        </w:rPr>
        <w:t>surv_fit</w:t>
      </w:r>
      <w:proofErr w:type="spellEnd"/>
      <w:r w:rsidR="00237694" w:rsidRPr="00104CC0">
        <w:rPr>
          <w:rFonts w:ascii="Times New Roman" w:hAnsi="Times New Roman" w:cs="Times New Roman"/>
          <w:color w:val="000000" w:themeColor="text1"/>
        </w:rPr>
        <w:t>”, and “</w:t>
      </w:r>
      <w:proofErr w:type="spellStart"/>
      <w:r w:rsidR="00237694" w:rsidRPr="00104CC0">
        <w:rPr>
          <w:rFonts w:ascii="Times New Roman" w:hAnsi="Times New Roman" w:cs="Times New Roman"/>
          <w:color w:val="000000" w:themeColor="text1"/>
        </w:rPr>
        <w:t>ggsurvplot</w:t>
      </w:r>
      <w:proofErr w:type="spellEnd"/>
      <w:r w:rsidR="00237694" w:rsidRPr="00104CC0">
        <w:rPr>
          <w:rFonts w:ascii="Times New Roman" w:hAnsi="Times New Roman" w:cs="Times New Roman"/>
          <w:color w:val="000000" w:themeColor="text1"/>
        </w:rPr>
        <w:t xml:space="preserve">”. </w:t>
      </w:r>
      <w:r w:rsidRPr="00104CC0">
        <w:rPr>
          <w:rFonts w:ascii="Times New Roman" w:hAnsi="Times New Roman" w:cs="Times New Roman"/>
          <w:color w:val="000000" w:themeColor="text1"/>
        </w:rPr>
        <w:t xml:space="preserve"> </w:t>
      </w:r>
    </w:p>
    <w:p w14:paraId="1CF5C018" w14:textId="17C01C4F" w:rsidR="00E50771" w:rsidRPr="00104CC0" w:rsidRDefault="00E50771" w:rsidP="00C8504A">
      <w:pPr>
        <w:spacing w:line="480" w:lineRule="auto"/>
        <w:rPr>
          <w:rFonts w:ascii="Times New Roman" w:hAnsi="Times New Roman" w:cs="Times New Roman"/>
          <w:color w:val="000000" w:themeColor="text1"/>
        </w:rPr>
      </w:pPr>
    </w:p>
    <w:p w14:paraId="400ACFCD" w14:textId="114A204D" w:rsidR="00237694" w:rsidRPr="00104CC0" w:rsidRDefault="00237694" w:rsidP="00C8504A">
      <w:pPr>
        <w:spacing w:line="480" w:lineRule="auto"/>
        <w:rPr>
          <w:rFonts w:ascii="Times New Roman" w:hAnsi="Times New Roman" w:cs="Times New Roman"/>
          <w:color w:val="000000" w:themeColor="text1"/>
        </w:rPr>
      </w:pPr>
      <w:r w:rsidRPr="00104CC0">
        <w:rPr>
          <w:rFonts w:ascii="Times New Roman" w:hAnsi="Times New Roman" w:cs="Times New Roman"/>
          <w:color w:val="000000" w:themeColor="text1"/>
        </w:rPr>
        <w:t xml:space="preserve">Next, two bar graphs were generated for this study’s analyses. The first showed the average survival time of individuals who fell under each of the three procedure </w:t>
      </w:r>
      <w:proofErr w:type="gramStart"/>
      <w:r w:rsidRPr="00104CC0">
        <w:rPr>
          <w:rFonts w:ascii="Times New Roman" w:hAnsi="Times New Roman" w:cs="Times New Roman"/>
          <w:color w:val="000000" w:themeColor="text1"/>
        </w:rPr>
        <w:t>categories, and</w:t>
      </w:r>
      <w:proofErr w:type="gramEnd"/>
      <w:r w:rsidRPr="00104CC0">
        <w:rPr>
          <w:rFonts w:ascii="Times New Roman" w:hAnsi="Times New Roman" w:cs="Times New Roman"/>
          <w:color w:val="000000" w:themeColor="text1"/>
        </w:rPr>
        <w:t xml:space="preserve"> was created using simple sum and average calculations with </w:t>
      </w:r>
      <w:proofErr w:type="spellStart"/>
      <w:r w:rsidRPr="00104CC0">
        <w:rPr>
          <w:rFonts w:ascii="Times New Roman" w:hAnsi="Times New Roman" w:cs="Times New Roman"/>
          <w:color w:val="000000" w:themeColor="text1"/>
        </w:rPr>
        <w:t>ggplot</w:t>
      </w:r>
      <w:proofErr w:type="spellEnd"/>
      <w:r w:rsidR="001847DB" w:rsidRPr="00104CC0">
        <w:rPr>
          <w:rFonts w:ascii="Times New Roman" w:hAnsi="Times New Roman" w:cs="Times New Roman"/>
          <w:color w:val="000000" w:themeColor="text1"/>
        </w:rPr>
        <w:t>, from the clinical dataset</w:t>
      </w:r>
      <w:r w:rsidRPr="00104CC0">
        <w:rPr>
          <w:rFonts w:ascii="Times New Roman" w:hAnsi="Times New Roman" w:cs="Times New Roman"/>
          <w:color w:val="000000" w:themeColor="text1"/>
        </w:rPr>
        <w:t xml:space="preserve">. The second showed the spread of drug usage across the three procedure categories. To simplify the graphic, only the top four drugs used were included for each type of procedure – the patients who received a valid procedure but did not receive a drug that was within the top four drugs used were masked out of this analysis. Like the first </w:t>
      </w:r>
      <w:proofErr w:type="spellStart"/>
      <w:r w:rsidRPr="00104CC0">
        <w:rPr>
          <w:rFonts w:ascii="Times New Roman" w:hAnsi="Times New Roman" w:cs="Times New Roman"/>
          <w:color w:val="000000" w:themeColor="text1"/>
        </w:rPr>
        <w:t>barplot</w:t>
      </w:r>
      <w:proofErr w:type="spellEnd"/>
      <w:r w:rsidRPr="00104CC0">
        <w:rPr>
          <w:rFonts w:ascii="Times New Roman" w:hAnsi="Times New Roman" w:cs="Times New Roman"/>
          <w:color w:val="000000" w:themeColor="text1"/>
        </w:rPr>
        <w:t xml:space="preserve">, this </w:t>
      </w:r>
      <w:proofErr w:type="spellStart"/>
      <w:r w:rsidRPr="00104CC0">
        <w:rPr>
          <w:rFonts w:ascii="Times New Roman" w:hAnsi="Times New Roman" w:cs="Times New Roman"/>
          <w:color w:val="000000" w:themeColor="text1"/>
        </w:rPr>
        <w:t>barplot</w:t>
      </w:r>
      <w:proofErr w:type="spellEnd"/>
      <w:r w:rsidRPr="00104CC0">
        <w:rPr>
          <w:rFonts w:ascii="Times New Roman" w:hAnsi="Times New Roman" w:cs="Times New Roman"/>
          <w:color w:val="000000" w:themeColor="text1"/>
        </w:rPr>
        <w:t xml:space="preserve"> also used </w:t>
      </w:r>
      <w:proofErr w:type="spellStart"/>
      <w:r w:rsidRPr="00104CC0">
        <w:rPr>
          <w:rFonts w:ascii="Times New Roman" w:hAnsi="Times New Roman" w:cs="Times New Roman"/>
          <w:color w:val="000000" w:themeColor="text1"/>
        </w:rPr>
        <w:t>ggplot</w:t>
      </w:r>
      <w:proofErr w:type="spellEnd"/>
      <w:r w:rsidRPr="00104CC0">
        <w:rPr>
          <w:rFonts w:ascii="Times New Roman" w:hAnsi="Times New Roman" w:cs="Times New Roman"/>
          <w:color w:val="000000" w:themeColor="text1"/>
        </w:rPr>
        <w:t xml:space="preserve">, but used a </w:t>
      </w:r>
      <w:r w:rsidRPr="00104CC0">
        <w:rPr>
          <w:rFonts w:ascii="Times New Roman" w:hAnsi="Times New Roman" w:cs="Times New Roman"/>
          <w:color w:val="000000" w:themeColor="text1"/>
        </w:rPr>
        <w:lastRenderedPageBreak/>
        <w:t xml:space="preserve">stacked bar format for the chart, rather than a simple </w:t>
      </w:r>
      <w:proofErr w:type="spellStart"/>
      <w:r w:rsidRPr="00104CC0">
        <w:rPr>
          <w:rFonts w:ascii="Times New Roman" w:hAnsi="Times New Roman" w:cs="Times New Roman"/>
          <w:color w:val="000000" w:themeColor="text1"/>
        </w:rPr>
        <w:t>barplot</w:t>
      </w:r>
      <w:proofErr w:type="spellEnd"/>
      <w:r w:rsidR="001847DB" w:rsidRPr="00104CC0">
        <w:rPr>
          <w:rFonts w:ascii="Times New Roman" w:hAnsi="Times New Roman" w:cs="Times New Roman"/>
          <w:color w:val="000000" w:themeColor="text1"/>
        </w:rPr>
        <w:t xml:space="preserve">, drawing data from the clinical drugs </w:t>
      </w:r>
      <w:proofErr w:type="spellStart"/>
      <w:r w:rsidR="001847DB" w:rsidRPr="00104CC0">
        <w:rPr>
          <w:rFonts w:ascii="Times New Roman" w:hAnsi="Times New Roman" w:cs="Times New Roman"/>
          <w:color w:val="000000" w:themeColor="text1"/>
        </w:rPr>
        <w:t>dataframe</w:t>
      </w:r>
      <w:proofErr w:type="spellEnd"/>
      <w:r w:rsidR="001847DB" w:rsidRPr="00104CC0">
        <w:rPr>
          <w:rFonts w:ascii="Times New Roman" w:hAnsi="Times New Roman" w:cs="Times New Roman"/>
          <w:color w:val="000000" w:themeColor="text1"/>
        </w:rPr>
        <w:t xml:space="preserve"> and the clinical patients </w:t>
      </w:r>
      <w:proofErr w:type="spellStart"/>
      <w:r w:rsidR="001847DB" w:rsidRPr="00104CC0">
        <w:rPr>
          <w:rFonts w:ascii="Times New Roman" w:hAnsi="Times New Roman" w:cs="Times New Roman"/>
          <w:color w:val="000000" w:themeColor="text1"/>
        </w:rPr>
        <w:t>dataframe</w:t>
      </w:r>
      <w:proofErr w:type="spellEnd"/>
      <w:r w:rsidR="001847DB" w:rsidRPr="00104CC0">
        <w:rPr>
          <w:rFonts w:ascii="Times New Roman" w:hAnsi="Times New Roman" w:cs="Times New Roman"/>
          <w:color w:val="000000" w:themeColor="text1"/>
        </w:rPr>
        <w:t>.</w:t>
      </w:r>
    </w:p>
    <w:p w14:paraId="42BB651F" w14:textId="2A233C8A" w:rsidR="00237694" w:rsidRPr="00104CC0" w:rsidRDefault="00237694" w:rsidP="00C8504A">
      <w:pPr>
        <w:spacing w:line="480" w:lineRule="auto"/>
        <w:rPr>
          <w:rFonts w:ascii="Times New Roman" w:hAnsi="Times New Roman" w:cs="Times New Roman"/>
          <w:color w:val="000000" w:themeColor="text1"/>
        </w:rPr>
      </w:pPr>
    </w:p>
    <w:p w14:paraId="24D651A7" w14:textId="614C0A2A" w:rsidR="00237694" w:rsidRPr="00104CC0" w:rsidRDefault="00237694" w:rsidP="00C8504A">
      <w:pPr>
        <w:spacing w:line="480" w:lineRule="auto"/>
        <w:rPr>
          <w:rFonts w:ascii="Times New Roman" w:hAnsi="Times New Roman" w:cs="Times New Roman"/>
          <w:color w:val="000000" w:themeColor="text1"/>
        </w:rPr>
      </w:pPr>
      <w:r w:rsidRPr="00104CC0">
        <w:rPr>
          <w:rFonts w:ascii="Times New Roman" w:hAnsi="Times New Roman" w:cs="Times New Roman"/>
          <w:color w:val="000000" w:themeColor="text1"/>
        </w:rPr>
        <w:t xml:space="preserve">Lastly, a simple </w:t>
      </w:r>
      <w:proofErr w:type="spellStart"/>
      <w:r w:rsidRPr="00104CC0">
        <w:rPr>
          <w:rFonts w:ascii="Times New Roman" w:hAnsi="Times New Roman" w:cs="Times New Roman"/>
          <w:color w:val="000000" w:themeColor="text1"/>
        </w:rPr>
        <w:t>oncoplot</w:t>
      </w:r>
      <w:proofErr w:type="spellEnd"/>
      <w:r w:rsidRPr="00104CC0">
        <w:rPr>
          <w:rFonts w:ascii="Times New Roman" w:hAnsi="Times New Roman" w:cs="Times New Roman"/>
          <w:color w:val="000000" w:themeColor="text1"/>
        </w:rPr>
        <w:t xml:space="preserve"> visualizing the association between certain mutation types and the three selected surgical procedures was created, specifically to see if any clustering patterns were present over any surgical procedure type. </w:t>
      </w:r>
      <w:r w:rsidR="001847DB" w:rsidRPr="00104CC0">
        <w:rPr>
          <w:rFonts w:ascii="Times New Roman" w:hAnsi="Times New Roman" w:cs="Times New Roman"/>
          <w:color w:val="000000" w:themeColor="text1"/>
        </w:rPr>
        <w:t xml:space="preserve">This analysis was performed using MAF data. </w:t>
      </w:r>
    </w:p>
    <w:p w14:paraId="6C350FDE" w14:textId="4AAE9921" w:rsidR="00237694" w:rsidRPr="00104CC0" w:rsidRDefault="00237694" w:rsidP="00C8504A">
      <w:pPr>
        <w:spacing w:line="480" w:lineRule="auto"/>
        <w:rPr>
          <w:rFonts w:ascii="Times New Roman" w:hAnsi="Times New Roman" w:cs="Times New Roman"/>
          <w:color w:val="000000" w:themeColor="text1"/>
        </w:rPr>
      </w:pPr>
    </w:p>
    <w:p w14:paraId="590A2EE3" w14:textId="77777777" w:rsidR="00087EBA" w:rsidRPr="00104CC0" w:rsidRDefault="00237694" w:rsidP="00C8504A">
      <w:pPr>
        <w:spacing w:line="480" w:lineRule="auto"/>
        <w:rPr>
          <w:rFonts w:ascii="Times New Roman" w:hAnsi="Times New Roman" w:cs="Times New Roman"/>
          <w:color w:val="000000" w:themeColor="text1"/>
        </w:rPr>
      </w:pPr>
      <w:r w:rsidRPr="00104CC0">
        <w:rPr>
          <w:rFonts w:ascii="Times New Roman" w:hAnsi="Times New Roman" w:cs="Times New Roman"/>
          <w:b/>
          <w:bCs/>
          <w:color w:val="000000" w:themeColor="text1"/>
          <w:u w:val="single"/>
        </w:rPr>
        <w:t>Results:</w:t>
      </w:r>
      <w:r w:rsidRPr="00104CC0">
        <w:rPr>
          <w:rFonts w:ascii="Times New Roman" w:hAnsi="Times New Roman" w:cs="Times New Roman"/>
          <w:color w:val="000000" w:themeColor="text1"/>
        </w:rPr>
        <w:t xml:space="preserve"> </w:t>
      </w:r>
    </w:p>
    <w:p w14:paraId="2F3B03AE" w14:textId="7901822B" w:rsidR="00087EBA" w:rsidRPr="00104CC0" w:rsidRDefault="00087EBA" w:rsidP="00C8504A">
      <w:pPr>
        <w:spacing w:line="480" w:lineRule="auto"/>
        <w:rPr>
          <w:rFonts w:ascii="Times New Roman" w:hAnsi="Times New Roman" w:cs="Times New Roman"/>
          <w:color w:val="000000" w:themeColor="text1"/>
        </w:rPr>
      </w:pPr>
      <w:r w:rsidRPr="00104CC0">
        <w:rPr>
          <w:rFonts w:ascii="Times New Roman" w:hAnsi="Times New Roman" w:cs="Times New Roman"/>
          <w:noProof/>
          <w:color w:val="000000" w:themeColor="text1"/>
        </w:rPr>
        <w:drawing>
          <wp:inline distT="0" distB="0" distL="0" distR="0" wp14:anchorId="64F67FB6" wp14:editId="1AEFB50D">
            <wp:extent cx="3689873" cy="3129223"/>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26973" cy="3160686"/>
                    </a:xfrm>
                    <a:prstGeom prst="rect">
                      <a:avLst/>
                    </a:prstGeom>
                  </pic:spPr>
                </pic:pic>
              </a:graphicData>
            </a:graphic>
          </wp:inline>
        </w:drawing>
      </w:r>
    </w:p>
    <w:p w14:paraId="49EBB2A4" w14:textId="2A262419" w:rsidR="00087EBA" w:rsidRPr="00104CC0" w:rsidRDefault="00087EBA" w:rsidP="001847DB">
      <w:pPr>
        <w:spacing w:line="276" w:lineRule="auto"/>
        <w:rPr>
          <w:rFonts w:ascii="Times New Roman" w:hAnsi="Times New Roman" w:cs="Times New Roman"/>
          <w:color w:val="000000" w:themeColor="text1"/>
        </w:rPr>
      </w:pPr>
      <w:r w:rsidRPr="00104CC0">
        <w:rPr>
          <w:rFonts w:ascii="Times New Roman" w:hAnsi="Times New Roman" w:cs="Times New Roman"/>
          <w:color w:val="000000" w:themeColor="text1"/>
        </w:rPr>
        <w:t xml:space="preserve">Figure 1. Kaplan-Meier survival plot showing </w:t>
      </w:r>
      <w:r w:rsidR="00492AD3" w:rsidRPr="00104CC0">
        <w:rPr>
          <w:rFonts w:ascii="Times New Roman" w:hAnsi="Times New Roman" w:cs="Times New Roman"/>
          <w:color w:val="000000" w:themeColor="text1"/>
        </w:rPr>
        <w:t>the relative survival probabilities following each of the three selected surgical procedures. P</w:t>
      </w:r>
      <w:r w:rsidRPr="00104CC0">
        <w:rPr>
          <w:rFonts w:ascii="Times New Roman" w:hAnsi="Times New Roman" w:cs="Times New Roman"/>
          <w:color w:val="000000" w:themeColor="text1"/>
        </w:rPr>
        <w:t xml:space="preserve">-value of 0.089 is slightly above the significance cutoff of 0.05, which indicates that the results may not hold much statistical significance. </w:t>
      </w:r>
    </w:p>
    <w:p w14:paraId="378F6D80" w14:textId="14689A60" w:rsidR="00087EBA" w:rsidRPr="00104CC0" w:rsidRDefault="00087EBA" w:rsidP="00C8504A">
      <w:pPr>
        <w:spacing w:line="480" w:lineRule="auto"/>
        <w:rPr>
          <w:rFonts w:ascii="Times New Roman" w:hAnsi="Times New Roman" w:cs="Times New Roman"/>
          <w:color w:val="000000" w:themeColor="text1"/>
        </w:rPr>
      </w:pPr>
    </w:p>
    <w:p w14:paraId="0BF7044F" w14:textId="55CCD0BF" w:rsidR="00087EBA" w:rsidRPr="00104CC0" w:rsidRDefault="00F26920" w:rsidP="00C8504A">
      <w:pPr>
        <w:spacing w:line="480" w:lineRule="auto"/>
        <w:rPr>
          <w:rFonts w:ascii="Times New Roman" w:hAnsi="Times New Roman" w:cs="Times New Roman"/>
          <w:color w:val="000000" w:themeColor="text1"/>
        </w:rPr>
      </w:pPr>
      <w:r w:rsidRPr="00104CC0">
        <w:rPr>
          <w:rFonts w:ascii="Times New Roman" w:hAnsi="Times New Roman" w:cs="Times New Roman"/>
          <w:color w:val="000000" w:themeColor="text1"/>
        </w:rPr>
        <w:t xml:space="preserve">The Kaplan-Meier plot (Figure 1) created for the three surgical procedures and their survival rates pointed out two noteworthy trends -- </w:t>
      </w:r>
      <w:r w:rsidR="00087EBA" w:rsidRPr="00104CC0">
        <w:rPr>
          <w:rFonts w:ascii="Times New Roman" w:hAnsi="Times New Roman" w:cs="Times New Roman"/>
          <w:color w:val="000000" w:themeColor="text1"/>
        </w:rPr>
        <w:t xml:space="preserve">it can be seen that </w:t>
      </w:r>
      <w:r w:rsidRPr="00104CC0">
        <w:rPr>
          <w:rFonts w:ascii="Times New Roman" w:hAnsi="Times New Roman" w:cs="Times New Roman"/>
          <w:color w:val="000000" w:themeColor="text1"/>
        </w:rPr>
        <w:t xml:space="preserve">lumpectomies exhibit better survival at the beginning of treatment plans (indicated by the red line remaining the highest in </w:t>
      </w:r>
      <w:r w:rsidRPr="00104CC0">
        <w:rPr>
          <w:rFonts w:ascii="Times New Roman" w:hAnsi="Times New Roman" w:cs="Times New Roman"/>
          <w:color w:val="000000" w:themeColor="text1"/>
        </w:rPr>
        <w:lastRenderedPageBreak/>
        <w:t xml:space="preserve">the first half of the plot), but that modified radical mastectomies show better long-term survival (as the green line persists for the longest, while the other two lines drop off the graph quickly). </w:t>
      </w:r>
      <w:r w:rsidR="00492AD3" w:rsidRPr="00104CC0">
        <w:rPr>
          <w:rFonts w:ascii="Times New Roman" w:hAnsi="Times New Roman" w:cs="Times New Roman"/>
          <w:color w:val="000000" w:themeColor="text1"/>
        </w:rPr>
        <w:t>However, note that this may be due to a gap in the data (</w:t>
      </w:r>
      <w:proofErr w:type="gramStart"/>
      <w:r w:rsidR="00492AD3" w:rsidRPr="00104CC0">
        <w:rPr>
          <w:rFonts w:ascii="Times New Roman" w:hAnsi="Times New Roman" w:cs="Times New Roman"/>
          <w:color w:val="000000" w:themeColor="text1"/>
        </w:rPr>
        <w:t>e.g.</w:t>
      </w:r>
      <w:proofErr w:type="gramEnd"/>
      <w:r w:rsidR="00492AD3" w:rsidRPr="00104CC0">
        <w:rPr>
          <w:rFonts w:ascii="Times New Roman" w:hAnsi="Times New Roman" w:cs="Times New Roman"/>
          <w:color w:val="000000" w:themeColor="text1"/>
        </w:rPr>
        <w:t xml:space="preserve"> the blue and red lines stop much sooner than the green line, which indicates that there were not enough patients included in this analysis to accurately represent all three surgical procedures).</w:t>
      </w:r>
    </w:p>
    <w:p w14:paraId="40F8CEE6" w14:textId="24262A2B" w:rsidR="00F26920" w:rsidRPr="00104CC0" w:rsidRDefault="00F26920" w:rsidP="00C8504A">
      <w:pPr>
        <w:spacing w:line="480" w:lineRule="auto"/>
        <w:rPr>
          <w:rFonts w:ascii="Times New Roman" w:hAnsi="Times New Roman" w:cs="Times New Roman"/>
          <w:color w:val="000000" w:themeColor="text1"/>
        </w:rPr>
      </w:pPr>
    </w:p>
    <w:p w14:paraId="4B1A9C5F" w14:textId="674F6AA7" w:rsidR="00E50771" w:rsidRPr="00104CC0" w:rsidRDefault="00F26920" w:rsidP="00C8504A">
      <w:pPr>
        <w:spacing w:line="480" w:lineRule="auto"/>
        <w:rPr>
          <w:rFonts w:ascii="Times New Roman" w:hAnsi="Times New Roman" w:cs="Times New Roman"/>
          <w:color w:val="000000" w:themeColor="text1"/>
        </w:rPr>
      </w:pPr>
      <w:r w:rsidRPr="00104CC0">
        <w:rPr>
          <w:rFonts w:ascii="Times New Roman" w:hAnsi="Times New Roman" w:cs="Times New Roman"/>
          <w:noProof/>
          <w:color w:val="000000" w:themeColor="text1"/>
        </w:rPr>
        <w:drawing>
          <wp:inline distT="0" distB="0" distL="0" distR="0" wp14:anchorId="3F323221" wp14:editId="4EA13A82">
            <wp:extent cx="3048000" cy="304800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6CBB73E4" w14:textId="14439433" w:rsidR="00F26920" w:rsidRPr="00104CC0" w:rsidRDefault="00F26920" w:rsidP="001847DB">
      <w:pPr>
        <w:spacing w:line="276" w:lineRule="auto"/>
        <w:rPr>
          <w:rFonts w:ascii="Times New Roman" w:hAnsi="Times New Roman" w:cs="Times New Roman"/>
          <w:color w:val="000000" w:themeColor="text1"/>
        </w:rPr>
      </w:pPr>
      <w:r w:rsidRPr="00104CC0">
        <w:rPr>
          <w:rFonts w:ascii="Times New Roman" w:hAnsi="Times New Roman" w:cs="Times New Roman"/>
          <w:color w:val="000000" w:themeColor="text1"/>
        </w:rPr>
        <w:t xml:space="preserve">Figure 2. </w:t>
      </w:r>
      <w:proofErr w:type="spellStart"/>
      <w:r w:rsidR="005813F0" w:rsidRPr="00104CC0">
        <w:rPr>
          <w:rFonts w:ascii="Times New Roman" w:hAnsi="Times New Roman" w:cs="Times New Roman"/>
          <w:color w:val="000000" w:themeColor="text1"/>
        </w:rPr>
        <w:t>Barplot</w:t>
      </w:r>
      <w:proofErr w:type="spellEnd"/>
      <w:r w:rsidR="005813F0" w:rsidRPr="00104CC0">
        <w:rPr>
          <w:rFonts w:ascii="Times New Roman" w:hAnsi="Times New Roman" w:cs="Times New Roman"/>
          <w:color w:val="000000" w:themeColor="text1"/>
        </w:rPr>
        <w:t xml:space="preserve"> showing the </w:t>
      </w:r>
      <w:r w:rsidR="00492AD3" w:rsidRPr="00104CC0">
        <w:rPr>
          <w:rFonts w:ascii="Times New Roman" w:hAnsi="Times New Roman" w:cs="Times New Roman"/>
          <w:color w:val="000000" w:themeColor="text1"/>
        </w:rPr>
        <w:t xml:space="preserve">average survival time post-procedure for each of the three selected procedure types. </w:t>
      </w:r>
    </w:p>
    <w:p w14:paraId="7F991615" w14:textId="2EF10E41" w:rsidR="00492AD3" w:rsidRPr="00104CC0" w:rsidRDefault="00492AD3" w:rsidP="00C8504A">
      <w:pPr>
        <w:spacing w:line="480" w:lineRule="auto"/>
        <w:rPr>
          <w:rFonts w:ascii="Times New Roman" w:hAnsi="Times New Roman" w:cs="Times New Roman"/>
          <w:color w:val="000000" w:themeColor="text1"/>
        </w:rPr>
      </w:pPr>
    </w:p>
    <w:p w14:paraId="70BC995E" w14:textId="22EE812C" w:rsidR="00492AD3" w:rsidRPr="00104CC0" w:rsidRDefault="00492AD3" w:rsidP="00C8504A">
      <w:pPr>
        <w:spacing w:line="480" w:lineRule="auto"/>
        <w:rPr>
          <w:rFonts w:ascii="Times New Roman" w:hAnsi="Times New Roman" w:cs="Times New Roman"/>
          <w:color w:val="000000" w:themeColor="text1"/>
        </w:rPr>
      </w:pPr>
      <w:r w:rsidRPr="00104CC0">
        <w:rPr>
          <w:rFonts w:ascii="Times New Roman" w:hAnsi="Times New Roman" w:cs="Times New Roman"/>
          <w:color w:val="000000" w:themeColor="text1"/>
        </w:rPr>
        <w:t xml:space="preserve">From Figure 2, </w:t>
      </w:r>
      <w:proofErr w:type="gramStart"/>
      <w:r w:rsidRPr="00104CC0">
        <w:rPr>
          <w:rFonts w:ascii="Times New Roman" w:hAnsi="Times New Roman" w:cs="Times New Roman"/>
          <w:color w:val="000000" w:themeColor="text1"/>
        </w:rPr>
        <w:t>it can be seen that the</w:t>
      </w:r>
      <w:proofErr w:type="gramEnd"/>
      <w:r w:rsidRPr="00104CC0">
        <w:rPr>
          <w:rFonts w:ascii="Times New Roman" w:hAnsi="Times New Roman" w:cs="Times New Roman"/>
          <w:color w:val="000000" w:themeColor="text1"/>
        </w:rPr>
        <w:t xml:space="preserve"> patients who received a modified radical mastectomy demonstrated a longer survival time on average than the other two procedures, and that individuals who received a simple mastectomy exhibited the shortest survival time on average. However, the average survival times for all three treatments tended to hover between 700-850 days, without any </w:t>
      </w:r>
      <w:r w:rsidR="00F463A5" w:rsidRPr="00104CC0">
        <w:rPr>
          <w:rFonts w:ascii="Times New Roman" w:hAnsi="Times New Roman" w:cs="Times New Roman"/>
          <w:color w:val="000000" w:themeColor="text1"/>
        </w:rPr>
        <w:t>significant</w:t>
      </w:r>
      <w:r w:rsidRPr="00104CC0">
        <w:rPr>
          <w:rFonts w:ascii="Times New Roman" w:hAnsi="Times New Roman" w:cs="Times New Roman"/>
          <w:color w:val="000000" w:themeColor="text1"/>
        </w:rPr>
        <w:t xml:space="preserve"> differences between them. </w:t>
      </w:r>
    </w:p>
    <w:p w14:paraId="32DE36EC" w14:textId="11EDCF95" w:rsidR="00F463A5" w:rsidRPr="00104CC0" w:rsidRDefault="00F463A5" w:rsidP="00C8504A">
      <w:pPr>
        <w:spacing w:line="480" w:lineRule="auto"/>
        <w:rPr>
          <w:rFonts w:ascii="Times New Roman" w:hAnsi="Times New Roman" w:cs="Times New Roman"/>
          <w:color w:val="000000" w:themeColor="text1"/>
        </w:rPr>
      </w:pPr>
    </w:p>
    <w:p w14:paraId="6B41446B" w14:textId="5943B781" w:rsidR="00F463A5" w:rsidRPr="00104CC0" w:rsidRDefault="00C21D95" w:rsidP="00C8504A">
      <w:pPr>
        <w:spacing w:line="480" w:lineRule="auto"/>
        <w:rPr>
          <w:rFonts w:ascii="Times New Roman" w:hAnsi="Times New Roman" w:cs="Times New Roman"/>
          <w:color w:val="000000" w:themeColor="text1"/>
        </w:rPr>
      </w:pPr>
      <w:r w:rsidRPr="00104CC0">
        <w:rPr>
          <w:rFonts w:ascii="Times New Roman" w:hAnsi="Times New Roman" w:cs="Times New Roman"/>
          <w:noProof/>
          <w:color w:val="000000" w:themeColor="text1"/>
        </w:rPr>
        <w:lastRenderedPageBreak/>
        <w:drawing>
          <wp:inline distT="0" distB="0" distL="0" distR="0" wp14:anchorId="6836498F" wp14:editId="1FEE36A5">
            <wp:extent cx="2560320" cy="2560320"/>
            <wp:effectExtent l="0" t="0" r="5080" b="508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72876" cy="2572876"/>
                    </a:xfrm>
                    <a:prstGeom prst="rect">
                      <a:avLst/>
                    </a:prstGeom>
                  </pic:spPr>
                </pic:pic>
              </a:graphicData>
            </a:graphic>
          </wp:inline>
        </w:drawing>
      </w:r>
    </w:p>
    <w:p w14:paraId="15E3AF1A" w14:textId="18A5EE6E" w:rsidR="00C21D95" w:rsidRPr="00104CC0" w:rsidRDefault="00C21D95" w:rsidP="001847DB">
      <w:pPr>
        <w:spacing w:line="276" w:lineRule="auto"/>
        <w:rPr>
          <w:rFonts w:ascii="Times New Roman" w:hAnsi="Times New Roman" w:cs="Times New Roman"/>
          <w:color w:val="000000" w:themeColor="text1"/>
        </w:rPr>
      </w:pPr>
      <w:r w:rsidRPr="00104CC0">
        <w:rPr>
          <w:rFonts w:ascii="Times New Roman" w:hAnsi="Times New Roman" w:cs="Times New Roman"/>
          <w:color w:val="000000" w:themeColor="text1"/>
        </w:rPr>
        <w:t xml:space="preserve">Figure 3. Stacked </w:t>
      </w:r>
      <w:proofErr w:type="spellStart"/>
      <w:r w:rsidRPr="00104CC0">
        <w:rPr>
          <w:rFonts w:ascii="Times New Roman" w:hAnsi="Times New Roman" w:cs="Times New Roman"/>
          <w:color w:val="000000" w:themeColor="text1"/>
        </w:rPr>
        <w:t>barplot</w:t>
      </w:r>
      <w:proofErr w:type="spellEnd"/>
      <w:r w:rsidRPr="00104CC0">
        <w:rPr>
          <w:rFonts w:ascii="Times New Roman" w:hAnsi="Times New Roman" w:cs="Times New Roman"/>
          <w:color w:val="000000" w:themeColor="text1"/>
        </w:rPr>
        <w:t xml:space="preserve"> showing the usage of four different breast cancer drugs post-surgical procedure, for each of the three selected procedures. </w:t>
      </w:r>
    </w:p>
    <w:p w14:paraId="30B8AB5B" w14:textId="3792A125" w:rsidR="00C21D95" w:rsidRPr="00104CC0" w:rsidRDefault="00C21D95" w:rsidP="00C8504A">
      <w:pPr>
        <w:spacing w:line="480" w:lineRule="auto"/>
        <w:rPr>
          <w:rFonts w:ascii="Times New Roman" w:hAnsi="Times New Roman" w:cs="Times New Roman"/>
          <w:color w:val="000000" w:themeColor="text1"/>
        </w:rPr>
      </w:pPr>
    </w:p>
    <w:p w14:paraId="741DDBCD" w14:textId="10B32173" w:rsidR="003924A2" w:rsidRPr="00104CC0" w:rsidRDefault="00C21D95" w:rsidP="00C8504A">
      <w:pPr>
        <w:spacing w:line="480" w:lineRule="auto"/>
        <w:rPr>
          <w:rFonts w:ascii="Times New Roman" w:hAnsi="Times New Roman" w:cs="Times New Roman"/>
          <w:color w:val="000000" w:themeColor="text1"/>
        </w:rPr>
      </w:pPr>
      <w:r w:rsidRPr="00104CC0">
        <w:rPr>
          <w:rFonts w:ascii="Times New Roman" w:hAnsi="Times New Roman" w:cs="Times New Roman"/>
          <w:color w:val="000000" w:themeColor="text1"/>
        </w:rPr>
        <w:t xml:space="preserve">From Figure 3, there are some slight differences in drug choice for individuals who got differing surgical procedures to treat their breast cancer. For example, </w:t>
      </w:r>
      <w:proofErr w:type="spellStart"/>
      <w:r w:rsidRPr="00104CC0">
        <w:rPr>
          <w:rFonts w:ascii="Times New Roman" w:hAnsi="Times New Roman" w:cs="Times New Roman"/>
          <w:color w:val="000000" w:themeColor="text1"/>
        </w:rPr>
        <w:t>Arimidex</w:t>
      </w:r>
      <w:proofErr w:type="spellEnd"/>
      <w:r w:rsidRPr="00104CC0">
        <w:rPr>
          <w:rFonts w:ascii="Times New Roman" w:hAnsi="Times New Roman" w:cs="Times New Roman"/>
          <w:color w:val="000000" w:themeColor="text1"/>
        </w:rPr>
        <w:t xml:space="preserve"> was chosen least of the four drugs to treat individuals after a modified radical mastectomy, and Tamoxifen was chosen to treat patients who received a simple mastectomy more than the other two procedure groups. </w:t>
      </w:r>
    </w:p>
    <w:p w14:paraId="418D8019" w14:textId="675BFA16" w:rsidR="00F26920" w:rsidRPr="00104CC0" w:rsidRDefault="001847DB" w:rsidP="00C8504A">
      <w:pPr>
        <w:spacing w:line="480" w:lineRule="auto"/>
        <w:rPr>
          <w:rFonts w:ascii="Times New Roman" w:hAnsi="Times New Roman" w:cs="Times New Roman"/>
          <w:color w:val="000000" w:themeColor="text1"/>
        </w:rPr>
      </w:pPr>
      <w:r w:rsidRPr="00104CC0">
        <w:rPr>
          <w:rFonts w:ascii="Times New Roman" w:hAnsi="Times New Roman" w:cs="Times New Roman"/>
          <w:noProof/>
          <w:color w:val="000000" w:themeColor="text1"/>
        </w:rPr>
        <w:drawing>
          <wp:inline distT="0" distB="0" distL="0" distR="0" wp14:anchorId="7A449DC5" wp14:editId="7A1DE15F">
            <wp:extent cx="2657139" cy="2657139"/>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62198" cy="2662198"/>
                    </a:xfrm>
                    <a:prstGeom prst="rect">
                      <a:avLst/>
                    </a:prstGeom>
                  </pic:spPr>
                </pic:pic>
              </a:graphicData>
            </a:graphic>
          </wp:inline>
        </w:drawing>
      </w:r>
    </w:p>
    <w:p w14:paraId="4E961281" w14:textId="7A555122" w:rsidR="001847DB" w:rsidRPr="00104CC0" w:rsidRDefault="001847DB" w:rsidP="001847DB">
      <w:pPr>
        <w:spacing w:line="276" w:lineRule="auto"/>
        <w:rPr>
          <w:rFonts w:ascii="Times New Roman" w:hAnsi="Times New Roman" w:cs="Times New Roman"/>
          <w:color w:val="000000" w:themeColor="text1"/>
        </w:rPr>
      </w:pPr>
      <w:r w:rsidRPr="00104CC0">
        <w:rPr>
          <w:rFonts w:ascii="Times New Roman" w:hAnsi="Times New Roman" w:cs="Times New Roman"/>
          <w:color w:val="000000" w:themeColor="text1"/>
        </w:rPr>
        <w:t xml:space="preserve">Figure 4. A basic </w:t>
      </w:r>
      <w:proofErr w:type="spellStart"/>
      <w:r w:rsidRPr="00104CC0">
        <w:rPr>
          <w:rFonts w:ascii="Times New Roman" w:hAnsi="Times New Roman" w:cs="Times New Roman"/>
          <w:color w:val="000000" w:themeColor="text1"/>
        </w:rPr>
        <w:t>oncoplot</w:t>
      </w:r>
      <w:proofErr w:type="spellEnd"/>
      <w:r w:rsidRPr="00104CC0">
        <w:rPr>
          <w:rFonts w:ascii="Times New Roman" w:hAnsi="Times New Roman" w:cs="Times New Roman"/>
          <w:color w:val="000000" w:themeColor="text1"/>
        </w:rPr>
        <w:t xml:space="preserve"> showing the clustering of certain genes and their corresponding surgical procedure choices.</w:t>
      </w:r>
    </w:p>
    <w:p w14:paraId="3616718D" w14:textId="1D91F58C" w:rsidR="001847DB" w:rsidRPr="00104CC0" w:rsidRDefault="001847DB" w:rsidP="001847DB">
      <w:pPr>
        <w:spacing w:line="480" w:lineRule="auto"/>
        <w:rPr>
          <w:rFonts w:ascii="Times New Roman" w:hAnsi="Times New Roman" w:cs="Times New Roman"/>
          <w:color w:val="000000" w:themeColor="text1"/>
        </w:rPr>
      </w:pPr>
      <w:r w:rsidRPr="00104CC0">
        <w:rPr>
          <w:rFonts w:ascii="Times New Roman" w:hAnsi="Times New Roman" w:cs="Times New Roman"/>
          <w:color w:val="000000" w:themeColor="text1"/>
        </w:rPr>
        <w:lastRenderedPageBreak/>
        <w:t>In Figure 4, there doesn’t seem to be significant clustering of any one category (</w:t>
      </w:r>
      <w:proofErr w:type="gramStart"/>
      <w:r w:rsidRPr="00104CC0">
        <w:rPr>
          <w:rFonts w:ascii="Times New Roman" w:hAnsi="Times New Roman" w:cs="Times New Roman"/>
          <w:color w:val="000000" w:themeColor="text1"/>
        </w:rPr>
        <w:t>e.g.</w:t>
      </w:r>
      <w:proofErr w:type="gramEnd"/>
      <w:r w:rsidRPr="00104CC0">
        <w:rPr>
          <w:rFonts w:ascii="Times New Roman" w:hAnsi="Times New Roman" w:cs="Times New Roman"/>
          <w:color w:val="000000" w:themeColor="text1"/>
        </w:rPr>
        <w:t xml:space="preserve"> lumpectomy or simple mastectomy) in relation to specific genes</w:t>
      </w:r>
      <w:r w:rsidR="009D248E" w:rsidRPr="00104CC0">
        <w:rPr>
          <w:rFonts w:ascii="Times New Roman" w:hAnsi="Times New Roman" w:cs="Times New Roman"/>
          <w:color w:val="000000" w:themeColor="text1"/>
        </w:rPr>
        <w:t xml:space="preserve">. However, there is a bit of clustering within the TP53 gene and the mastectomy procedures (if the simple and modified radical mastectomy procedures are considered a single factor). </w:t>
      </w:r>
    </w:p>
    <w:p w14:paraId="497EF979" w14:textId="30BA9446" w:rsidR="001847DB" w:rsidRPr="00104CC0" w:rsidRDefault="001847DB" w:rsidP="001847DB">
      <w:pPr>
        <w:spacing w:line="480" w:lineRule="auto"/>
        <w:rPr>
          <w:rFonts w:ascii="Times New Roman" w:hAnsi="Times New Roman" w:cs="Times New Roman"/>
          <w:color w:val="000000" w:themeColor="text1"/>
        </w:rPr>
      </w:pPr>
    </w:p>
    <w:p w14:paraId="466B7EAF" w14:textId="77777777" w:rsidR="009D248E" w:rsidRPr="00104CC0" w:rsidRDefault="00A9181C" w:rsidP="00A9181C">
      <w:pPr>
        <w:spacing w:line="480" w:lineRule="auto"/>
        <w:rPr>
          <w:rFonts w:ascii="Times New Roman" w:hAnsi="Times New Roman" w:cs="Times New Roman"/>
          <w:color w:val="000000" w:themeColor="text1"/>
        </w:rPr>
      </w:pPr>
      <w:r w:rsidRPr="00104CC0">
        <w:rPr>
          <w:rFonts w:ascii="Times New Roman" w:hAnsi="Times New Roman" w:cs="Times New Roman"/>
          <w:b/>
          <w:bCs/>
          <w:color w:val="000000" w:themeColor="text1"/>
          <w:u w:val="single"/>
        </w:rPr>
        <w:t>Discussion:</w:t>
      </w:r>
      <w:r w:rsidRPr="00104CC0">
        <w:rPr>
          <w:rFonts w:ascii="Times New Roman" w:hAnsi="Times New Roman" w:cs="Times New Roman"/>
          <w:color w:val="000000" w:themeColor="text1"/>
        </w:rPr>
        <w:t xml:space="preserve"> </w:t>
      </w:r>
      <w:r w:rsidR="00587A63" w:rsidRPr="00104CC0">
        <w:rPr>
          <w:rFonts w:ascii="Times New Roman" w:hAnsi="Times New Roman" w:cs="Times New Roman"/>
          <w:color w:val="000000" w:themeColor="text1"/>
        </w:rPr>
        <w:t xml:space="preserve">One of the strongest trends found in this study’s analyses was the association between </w:t>
      </w:r>
      <w:r w:rsidR="002C0CF1" w:rsidRPr="00104CC0">
        <w:rPr>
          <w:rFonts w:ascii="Times New Roman" w:hAnsi="Times New Roman" w:cs="Times New Roman"/>
          <w:color w:val="000000" w:themeColor="text1"/>
        </w:rPr>
        <w:t xml:space="preserve">procedure type and survival time (Figure 1). Though the p-value was slightly higher than the threshold of p &lt; 0.05, it was still shown that lumpectomies exhibit better outcomes towards the early stages of treatment and breast cancer progression. This finding was corroborated by a study published in </w:t>
      </w:r>
      <w:r w:rsidR="002C0CF1" w:rsidRPr="00104CC0">
        <w:rPr>
          <w:rFonts w:ascii="Times New Roman" w:hAnsi="Times New Roman" w:cs="Times New Roman"/>
          <w:i/>
          <w:iCs/>
          <w:color w:val="000000" w:themeColor="text1"/>
        </w:rPr>
        <w:t>Cancer</w:t>
      </w:r>
      <w:r w:rsidR="002C0CF1" w:rsidRPr="00104CC0">
        <w:rPr>
          <w:rFonts w:ascii="Times New Roman" w:hAnsi="Times New Roman" w:cs="Times New Roman"/>
          <w:color w:val="000000" w:themeColor="text1"/>
        </w:rPr>
        <w:t>, which found that breast-conserving therapies (</w:t>
      </w:r>
      <w:proofErr w:type="gramStart"/>
      <w:r w:rsidR="002C0CF1" w:rsidRPr="00104CC0">
        <w:rPr>
          <w:rFonts w:ascii="Times New Roman" w:hAnsi="Times New Roman" w:cs="Times New Roman"/>
          <w:color w:val="000000" w:themeColor="text1"/>
        </w:rPr>
        <w:t>i.e.</w:t>
      </w:r>
      <w:proofErr w:type="gramEnd"/>
      <w:r w:rsidR="002C0CF1" w:rsidRPr="00104CC0">
        <w:rPr>
          <w:rFonts w:ascii="Times New Roman" w:hAnsi="Times New Roman" w:cs="Times New Roman"/>
          <w:color w:val="000000" w:themeColor="text1"/>
        </w:rPr>
        <w:t xml:space="preserve"> lumpectomies fall under this category, as they don’t remove the whole breast) were associated with improved disease-specific survival compared to full mastectomies (Hwang et al., 2013). </w:t>
      </w:r>
    </w:p>
    <w:p w14:paraId="6B985FAE" w14:textId="77777777" w:rsidR="009D248E" w:rsidRPr="00104CC0" w:rsidRDefault="009D248E" w:rsidP="00A9181C">
      <w:pPr>
        <w:spacing w:line="480" w:lineRule="auto"/>
        <w:rPr>
          <w:rFonts w:ascii="Times New Roman" w:hAnsi="Times New Roman" w:cs="Times New Roman"/>
          <w:color w:val="000000" w:themeColor="text1"/>
        </w:rPr>
      </w:pPr>
    </w:p>
    <w:p w14:paraId="31CB78C7" w14:textId="2D0DA3D6" w:rsidR="000A4F1F" w:rsidRPr="00104CC0" w:rsidRDefault="002C0CF1" w:rsidP="00A9181C">
      <w:pPr>
        <w:spacing w:line="480" w:lineRule="auto"/>
        <w:rPr>
          <w:rFonts w:ascii="Times New Roman" w:hAnsi="Times New Roman" w:cs="Times New Roman"/>
          <w:color w:val="000000" w:themeColor="text1"/>
        </w:rPr>
      </w:pPr>
      <w:r w:rsidRPr="00104CC0">
        <w:rPr>
          <w:rFonts w:ascii="Times New Roman" w:hAnsi="Times New Roman" w:cs="Times New Roman"/>
          <w:color w:val="000000" w:themeColor="text1"/>
        </w:rPr>
        <w:t xml:space="preserve">Furthermore, </w:t>
      </w:r>
      <w:r w:rsidR="000A4F1F" w:rsidRPr="00104CC0">
        <w:rPr>
          <w:rFonts w:ascii="Times New Roman" w:hAnsi="Times New Roman" w:cs="Times New Roman"/>
          <w:color w:val="000000" w:themeColor="text1"/>
        </w:rPr>
        <w:t>another study found that lumpectomy combined with irradiation treatment was much more effective at preventing recurrent cancerous tumors compared to lumpectomy without irradiation – this wasn’t a metric that the clinical data included for this study but might be an area worth exploring in the future (Fisher et al., 2002).</w:t>
      </w:r>
      <w:r w:rsidR="009D248E" w:rsidRPr="00104CC0">
        <w:rPr>
          <w:rFonts w:ascii="Times New Roman" w:hAnsi="Times New Roman" w:cs="Times New Roman"/>
          <w:color w:val="000000" w:themeColor="text1"/>
        </w:rPr>
        <w:t xml:space="preserve"> Though these findings are contradicted slightly by Figure 2, as it shows that individuals who received certain types of mastectomies had a long survival time on average, the differences between these survival times were not significantly different, differing by less than a few months. </w:t>
      </w:r>
    </w:p>
    <w:p w14:paraId="00D71AC0" w14:textId="4F9B8A20" w:rsidR="00A9181C" w:rsidRPr="00104CC0" w:rsidRDefault="00A9181C" w:rsidP="001847DB">
      <w:pPr>
        <w:spacing w:line="480" w:lineRule="auto"/>
        <w:rPr>
          <w:rFonts w:ascii="Times New Roman" w:hAnsi="Times New Roman" w:cs="Times New Roman"/>
          <w:color w:val="000000" w:themeColor="text1"/>
        </w:rPr>
      </w:pPr>
    </w:p>
    <w:p w14:paraId="1D0EC777" w14:textId="7BA925DE" w:rsidR="009D248E" w:rsidRPr="00104CC0" w:rsidRDefault="009D248E" w:rsidP="001847DB">
      <w:pPr>
        <w:spacing w:line="480" w:lineRule="auto"/>
        <w:rPr>
          <w:rFonts w:ascii="Times New Roman" w:hAnsi="Times New Roman" w:cs="Times New Roman"/>
          <w:color w:val="000000" w:themeColor="text1"/>
        </w:rPr>
      </w:pPr>
      <w:r w:rsidRPr="00104CC0">
        <w:rPr>
          <w:rFonts w:ascii="Times New Roman" w:hAnsi="Times New Roman" w:cs="Times New Roman"/>
          <w:color w:val="000000" w:themeColor="text1"/>
        </w:rPr>
        <w:t xml:space="preserve">Though this study analyzed a few different genes, the one of most interest, from the figures that were generated is TP53 – this gene is responsible for a significant fraction of breast cancer </w:t>
      </w:r>
      <w:r w:rsidRPr="00104CC0">
        <w:rPr>
          <w:rFonts w:ascii="Times New Roman" w:hAnsi="Times New Roman" w:cs="Times New Roman"/>
          <w:color w:val="000000" w:themeColor="text1"/>
        </w:rPr>
        <w:lastRenderedPageBreak/>
        <w:t xml:space="preserve">diagnoses in clinical settings. Specifically, it was found that mastectomies (both simple and radical) were used more often to treat individuals with TP53 mutations (see the clustering in Figure 4), which </w:t>
      </w:r>
      <w:r w:rsidR="002C087B" w:rsidRPr="00104CC0">
        <w:rPr>
          <w:rFonts w:ascii="Times New Roman" w:hAnsi="Times New Roman" w:cs="Times New Roman"/>
          <w:color w:val="000000" w:themeColor="text1"/>
        </w:rPr>
        <w:t xml:space="preserve">was corroborated by a review study that found mastectomies were recommended over lumpectomies in TP53 mutation carriers (Schon et al., 2017). Furthermore, the use of tamoxifen in patients who received mastectomies was most prevalent, compared to other drug choices (Figure 3). This finding is </w:t>
      </w:r>
      <w:r w:rsidR="007F6EE2" w:rsidRPr="00104CC0">
        <w:rPr>
          <w:rFonts w:ascii="Times New Roman" w:hAnsi="Times New Roman" w:cs="Times New Roman"/>
          <w:color w:val="000000" w:themeColor="text1"/>
        </w:rPr>
        <w:t xml:space="preserve">slightly </w:t>
      </w:r>
      <w:r w:rsidR="002C087B" w:rsidRPr="00104CC0">
        <w:rPr>
          <w:rFonts w:ascii="Times New Roman" w:hAnsi="Times New Roman" w:cs="Times New Roman"/>
          <w:color w:val="000000" w:themeColor="text1"/>
        </w:rPr>
        <w:t>divisive when examining current literature, as some studies suggest that tamoxifen may be responsible for recurring breast cancer, but a recent study showed that for individuals with TP53 mutations, tamoxifen showed superior survival rates (</w:t>
      </w:r>
      <w:proofErr w:type="spellStart"/>
      <w:r w:rsidR="002C087B" w:rsidRPr="00104CC0">
        <w:rPr>
          <w:rFonts w:ascii="Times New Roman" w:hAnsi="Times New Roman" w:cs="Times New Roman"/>
          <w:color w:val="000000" w:themeColor="text1"/>
        </w:rPr>
        <w:t>Shahbandi</w:t>
      </w:r>
      <w:proofErr w:type="spellEnd"/>
      <w:r w:rsidR="002C087B" w:rsidRPr="00104CC0">
        <w:rPr>
          <w:rFonts w:ascii="Times New Roman" w:hAnsi="Times New Roman" w:cs="Times New Roman"/>
          <w:color w:val="000000" w:themeColor="text1"/>
        </w:rPr>
        <w:t xml:space="preserve"> et al., 2020). </w:t>
      </w:r>
      <w:r w:rsidR="007F6EE2" w:rsidRPr="00104CC0">
        <w:rPr>
          <w:rFonts w:ascii="Times New Roman" w:hAnsi="Times New Roman" w:cs="Times New Roman"/>
          <w:color w:val="000000" w:themeColor="text1"/>
        </w:rPr>
        <w:t>Connecting these figures, one of the main conclusions that this report found was that individuals with TP53 mutations tend to receive mastectomies, and that those who received mastectomies were treated often with tamoxifen, in favor over other drugs – a conclusion that is echoed by current literature on the topic.</w:t>
      </w:r>
    </w:p>
    <w:p w14:paraId="4E6B1CFA" w14:textId="231EAA50" w:rsidR="007F6EE2" w:rsidRPr="00104CC0" w:rsidRDefault="007F6EE2" w:rsidP="001847DB">
      <w:pPr>
        <w:spacing w:line="480" w:lineRule="auto"/>
        <w:rPr>
          <w:rFonts w:ascii="Times New Roman" w:hAnsi="Times New Roman" w:cs="Times New Roman"/>
          <w:color w:val="000000" w:themeColor="text1"/>
        </w:rPr>
      </w:pPr>
    </w:p>
    <w:p w14:paraId="511E31FF" w14:textId="77777777" w:rsidR="006A6DBB" w:rsidRPr="00104CC0" w:rsidRDefault="007F6EE2" w:rsidP="001847DB">
      <w:pPr>
        <w:spacing w:line="480" w:lineRule="auto"/>
        <w:rPr>
          <w:rFonts w:ascii="Times New Roman" w:hAnsi="Times New Roman" w:cs="Times New Roman"/>
          <w:color w:val="000000" w:themeColor="text1"/>
        </w:rPr>
      </w:pPr>
      <w:r w:rsidRPr="00104CC0">
        <w:rPr>
          <w:rFonts w:ascii="Times New Roman" w:hAnsi="Times New Roman" w:cs="Times New Roman"/>
          <w:color w:val="000000" w:themeColor="text1"/>
        </w:rPr>
        <w:t xml:space="preserve">Given the analyses that were performed in this study and the results that were observed, one area of potential future exploration lays within the more nuanced treatment plans that breast cancer patients embark on as of recent. For example, comparing different types of treatments with or without irradiation or chemotherapy therapeutics, for different mutation types, might yield interesting trends that may influence clinical practices in the future. </w:t>
      </w:r>
      <w:proofErr w:type="spellStart"/>
      <w:r w:rsidRPr="00104CC0">
        <w:rPr>
          <w:rFonts w:ascii="Times New Roman" w:hAnsi="Times New Roman" w:cs="Times New Roman"/>
          <w:color w:val="000000" w:themeColor="text1"/>
        </w:rPr>
        <w:t>Futhermore</w:t>
      </w:r>
      <w:proofErr w:type="spellEnd"/>
      <w:r w:rsidRPr="00104CC0">
        <w:rPr>
          <w:rFonts w:ascii="Times New Roman" w:hAnsi="Times New Roman" w:cs="Times New Roman"/>
          <w:color w:val="000000" w:themeColor="text1"/>
        </w:rPr>
        <w:t>, performing the same analysis in this study, but on a larger set of patients (</w:t>
      </w:r>
      <w:proofErr w:type="gramStart"/>
      <w:r w:rsidRPr="00104CC0">
        <w:rPr>
          <w:rFonts w:ascii="Times New Roman" w:hAnsi="Times New Roman" w:cs="Times New Roman"/>
          <w:color w:val="000000" w:themeColor="text1"/>
        </w:rPr>
        <w:t>e.g.</w:t>
      </w:r>
      <w:proofErr w:type="gramEnd"/>
      <w:r w:rsidRPr="00104CC0">
        <w:rPr>
          <w:rFonts w:ascii="Times New Roman" w:hAnsi="Times New Roman" w:cs="Times New Roman"/>
          <w:color w:val="000000" w:themeColor="text1"/>
        </w:rPr>
        <w:t xml:space="preserve"> using a different data source) might be worthwhile in confirming and refining the conclusions of this study.</w:t>
      </w:r>
    </w:p>
    <w:p w14:paraId="1AEA8E97" w14:textId="1E155384" w:rsidR="006A6DBB" w:rsidRPr="00104CC0" w:rsidRDefault="006A6DBB" w:rsidP="001847DB">
      <w:pPr>
        <w:spacing w:line="480" w:lineRule="auto"/>
        <w:rPr>
          <w:rFonts w:ascii="Times New Roman" w:hAnsi="Times New Roman" w:cs="Times New Roman"/>
          <w:color w:val="000000" w:themeColor="text1"/>
        </w:rPr>
      </w:pPr>
    </w:p>
    <w:p w14:paraId="3331C426" w14:textId="173EAD70" w:rsidR="00D04F24" w:rsidRPr="00104CC0" w:rsidRDefault="00D04F24" w:rsidP="001847DB">
      <w:pPr>
        <w:spacing w:line="480" w:lineRule="auto"/>
        <w:rPr>
          <w:rFonts w:ascii="Times New Roman" w:hAnsi="Times New Roman" w:cs="Times New Roman"/>
          <w:color w:val="000000" w:themeColor="text1"/>
        </w:rPr>
      </w:pPr>
    </w:p>
    <w:p w14:paraId="5A906E0A" w14:textId="77777777" w:rsidR="00D04F24" w:rsidRPr="00104CC0" w:rsidRDefault="00D04F24" w:rsidP="001847DB">
      <w:pPr>
        <w:spacing w:line="480" w:lineRule="auto"/>
        <w:rPr>
          <w:rFonts w:ascii="Times New Roman" w:hAnsi="Times New Roman" w:cs="Times New Roman"/>
          <w:color w:val="000000" w:themeColor="text1"/>
        </w:rPr>
      </w:pPr>
    </w:p>
    <w:p w14:paraId="799CE881" w14:textId="221EAFEE" w:rsidR="00D04F24" w:rsidRPr="00E1342B" w:rsidRDefault="00D04F24" w:rsidP="001847DB">
      <w:pPr>
        <w:spacing w:line="480" w:lineRule="auto"/>
        <w:rPr>
          <w:rFonts w:ascii="Times New Roman" w:hAnsi="Times New Roman" w:cs="Times New Roman"/>
          <w:color w:val="000000" w:themeColor="text1"/>
          <w:u w:val="single"/>
        </w:rPr>
      </w:pPr>
      <w:r w:rsidRPr="00E1342B">
        <w:rPr>
          <w:rFonts w:ascii="Times New Roman" w:hAnsi="Times New Roman" w:cs="Times New Roman"/>
          <w:color w:val="000000" w:themeColor="text1"/>
          <w:u w:val="single"/>
        </w:rPr>
        <w:lastRenderedPageBreak/>
        <w:t>References</w:t>
      </w:r>
      <w:r w:rsidR="007F6EE2" w:rsidRPr="00E1342B">
        <w:rPr>
          <w:rFonts w:ascii="Times New Roman" w:hAnsi="Times New Roman" w:cs="Times New Roman"/>
          <w:color w:val="000000" w:themeColor="text1"/>
          <w:u w:val="single"/>
        </w:rPr>
        <w:t xml:space="preserve"> </w:t>
      </w:r>
    </w:p>
    <w:p w14:paraId="52FD56C2" w14:textId="0E4C30E5" w:rsidR="003B3779" w:rsidRPr="00104CC0" w:rsidRDefault="003B3779" w:rsidP="00104CC0">
      <w:pPr>
        <w:spacing w:line="360" w:lineRule="auto"/>
        <w:rPr>
          <w:rFonts w:ascii="Times New Roman" w:hAnsi="Times New Roman" w:cs="Times New Roman"/>
          <w:color w:val="000000" w:themeColor="text1"/>
        </w:rPr>
      </w:pPr>
      <w:r w:rsidRPr="00104CC0">
        <w:rPr>
          <w:rFonts w:ascii="Times New Roman" w:hAnsi="Times New Roman" w:cs="Times New Roman"/>
          <w:color w:val="000000" w:themeColor="text1"/>
        </w:rPr>
        <w:t xml:space="preserve">Coughlin, S. (2019). Epidemiology of Breast Cancer in Women. </w:t>
      </w:r>
      <w:r w:rsidRPr="00104CC0">
        <w:rPr>
          <w:rFonts w:ascii="Times New Roman" w:hAnsi="Times New Roman" w:cs="Times New Roman"/>
          <w:i/>
          <w:iCs/>
          <w:color w:val="000000" w:themeColor="text1"/>
        </w:rPr>
        <w:t xml:space="preserve">Adv Exp Med Biol </w:t>
      </w:r>
      <w:r w:rsidRPr="00104CC0">
        <w:rPr>
          <w:rFonts w:ascii="Times New Roman" w:hAnsi="Times New Roman" w:cs="Times New Roman"/>
          <w:color w:val="000000" w:themeColor="text1"/>
        </w:rPr>
        <w:t xml:space="preserve">1152, 9-29. </w:t>
      </w:r>
      <w:r w:rsidRPr="00104CC0">
        <w:rPr>
          <w:rFonts w:ascii="Times New Roman" w:hAnsi="Times New Roman" w:cs="Times New Roman"/>
          <w:color w:val="000000" w:themeColor="text1"/>
        </w:rPr>
        <w:tab/>
        <w:t>DOI: 10.1007/978-3-030-20301-6_2.</w:t>
      </w:r>
    </w:p>
    <w:p w14:paraId="1BFC6E3A" w14:textId="77777777" w:rsidR="003B3779" w:rsidRPr="00104CC0" w:rsidRDefault="003B3779" w:rsidP="00104CC0">
      <w:pPr>
        <w:spacing w:line="360" w:lineRule="auto"/>
        <w:rPr>
          <w:rFonts w:ascii="Times New Roman" w:hAnsi="Times New Roman" w:cs="Times New Roman"/>
          <w:color w:val="000000" w:themeColor="text1"/>
        </w:rPr>
      </w:pPr>
    </w:p>
    <w:p w14:paraId="5F612254" w14:textId="0A90ABEA" w:rsidR="00104CC0" w:rsidRDefault="003B3779" w:rsidP="00104CC0">
      <w:pPr>
        <w:spacing w:line="360" w:lineRule="auto"/>
        <w:rPr>
          <w:rFonts w:ascii="Times New Roman" w:hAnsi="Times New Roman" w:cs="Times New Roman"/>
          <w:color w:val="000000" w:themeColor="text1"/>
        </w:rPr>
      </w:pPr>
      <w:r w:rsidRPr="00104CC0">
        <w:rPr>
          <w:rFonts w:ascii="Times New Roman" w:hAnsi="Times New Roman" w:cs="Times New Roman"/>
          <w:color w:val="000000" w:themeColor="text1"/>
        </w:rPr>
        <w:t xml:space="preserve">Fisher, B., Anderson, S., Bryant, J., </w:t>
      </w:r>
      <w:proofErr w:type="spellStart"/>
      <w:r w:rsidRPr="00104CC0">
        <w:rPr>
          <w:rFonts w:ascii="Times New Roman" w:hAnsi="Times New Roman" w:cs="Times New Roman"/>
          <w:color w:val="000000" w:themeColor="text1"/>
        </w:rPr>
        <w:t>Margolese</w:t>
      </w:r>
      <w:proofErr w:type="spellEnd"/>
      <w:r w:rsidRPr="00104CC0">
        <w:rPr>
          <w:rFonts w:ascii="Times New Roman" w:hAnsi="Times New Roman" w:cs="Times New Roman"/>
          <w:color w:val="000000" w:themeColor="text1"/>
        </w:rPr>
        <w:t xml:space="preserve">, R., Deutsch, M., Fisher, E., </w:t>
      </w:r>
      <w:proofErr w:type="spellStart"/>
      <w:r w:rsidRPr="00104CC0">
        <w:rPr>
          <w:rFonts w:ascii="Times New Roman" w:hAnsi="Times New Roman" w:cs="Times New Roman"/>
          <w:color w:val="000000" w:themeColor="text1"/>
        </w:rPr>
        <w:t>Jeong</w:t>
      </w:r>
      <w:proofErr w:type="spellEnd"/>
      <w:r w:rsidRPr="00104CC0">
        <w:rPr>
          <w:rFonts w:ascii="Times New Roman" w:hAnsi="Times New Roman" w:cs="Times New Roman"/>
          <w:color w:val="000000" w:themeColor="text1"/>
        </w:rPr>
        <w:t xml:space="preserve">, J. &amp; </w:t>
      </w:r>
      <w:r w:rsidRPr="00104CC0">
        <w:rPr>
          <w:rFonts w:ascii="Times New Roman" w:hAnsi="Times New Roman" w:cs="Times New Roman"/>
          <w:color w:val="000000" w:themeColor="text1"/>
        </w:rPr>
        <w:tab/>
      </w:r>
      <w:proofErr w:type="spellStart"/>
      <w:r w:rsidRPr="00104CC0">
        <w:rPr>
          <w:rFonts w:ascii="Times New Roman" w:hAnsi="Times New Roman" w:cs="Times New Roman"/>
          <w:color w:val="000000" w:themeColor="text1"/>
        </w:rPr>
        <w:t>Wolmark</w:t>
      </w:r>
      <w:proofErr w:type="spellEnd"/>
      <w:r w:rsidRPr="00104CC0">
        <w:rPr>
          <w:rFonts w:ascii="Times New Roman" w:hAnsi="Times New Roman" w:cs="Times New Roman"/>
          <w:color w:val="000000" w:themeColor="text1"/>
        </w:rPr>
        <w:t xml:space="preserve">, N. (2002). Twenty-Year Follow-up of a Randomized Trial Comparing Total </w:t>
      </w:r>
      <w:r w:rsidRPr="00104CC0">
        <w:rPr>
          <w:rFonts w:ascii="Times New Roman" w:hAnsi="Times New Roman" w:cs="Times New Roman"/>
          <w:color w:val="000000" w:themeColor="text1"/>
        </w:rPr>
        <w:tab/>
        <w:t xml:space="preserve">Mastectomy, Lumpectomy, and Lumpectomy plus Irradiation for the Treatment of </w:t>
      </w:r>
      <w:r w:rsidRPr="00104CC0">
        <w:rPr>
          <w:rFonts w:ascii="Times New Roman" w:hAnsi="Times New Roman" w:cs="Times New Roman"/>
          <w:color w:val="000000" w:themeColor="text1"/>
        </w:rPr>
        <w:tab/>
        <w:t xml:space="preserve">Invasive Breast Cancer. </w:t>
      </w:r>
      <w:r w:rsidRPr="00104CC0">
        <w:rPr>
          <w:rFonts w:ascii="Times New Roman" w:hAnsi="Times New Roman" w:cs="Times New Roman"/>
          <w:i/>
          <w:iCs/>
          <w:color w:val="000000" w:themeColor="text1"/>
        </w:rPr>
        <w:t>The New England Journal of Medicine</w:t>
      </w:r>
      <w:r w:rsidRPr="00104CC0">
        <w:rPr>
          <w:rFonts w:ascii="Times New Roman" w:hAnsi="Times New Roman" w:cs="Times New Roman"/>
          <w:color w:val="000000" w:themeColor="text1"/>
        </w:rPr>
        <w:t xml:space="preserve"> 347, 1233-1241. DOI: </w:t>
      </w:r>
      <w:r w:rsidRPr="00104CC0">
        <w:rPr>
          <w:rFonts w:ascii="Times New Roman" w:hAnsi="Times New Roman" w:cs="Times New Roman"/>
          <w:color w:val="000000" w:themeColor="text1"/>
        </w:rPr>
        <w:tab/>
        <w:t>10.1056/NEJMoa022152.</w:t>
      </w:r>
    </w:p>
    <w:p w14:paraId="6B1FD9BE" w14:textId="77777777" w:rsidR="00E1342B" w:rsidRPr="00104CC0" w:rsidRDefault="00E1342B" w:rsidP="00104CC0">
      <w:pPr>
        <w:spacing w:line="360" w:lineRule="auto"/>
        <w:rPr>
          <w:rFonts w:ascii="Times New Roman" w:hAnsi="Times New Roman" w:cs="Times New Roman"/>
          <w:color w:val="000000" w:themeColor="text1"/>
        </w:rPr>
      </w:pPr>
    </w:p>
    <w:p w14:paraId="31C311D1" w14:textId="48C63A56" w:rsidR="00104CC0" w:rsidRPr="00104CC0" w:rsidRDefault="003B3779" w:rsidP="00104CC0">
      <w:pPr>
        <w:spacing w:line="360" w:lineRule="auto"/>
        <w:rPr>
          <w:rFonts w:ascii="Times New Roman" w:hAnsi="Times New Roman" w:cs="Times New Roman"/>
          <w:color w:val="000000" w:themeColor="text1"/>
        </w:rPr>
      </w:pPr>
      <w:r w:rsidRPr="00104CC0">
        <w:rPr>
          <w:rFonts w:ascii="Times New Roman" w:hAnsi="Times New Roman" w:cs="Times New Roman"/>
          <w:color w:val="000000" w:themeColor="text1"/>
        </w:rPr>
        <w:t xml:space="preserve">Hwang, E., </w:t>
      </w:r>
      <w:proofErr w:type="spellStart"/>
      <w:r w:rsidRPr="00104CC0">
        <w:rPr>
          <w:rFonts w:ascii="Times New Roman" w:hAnsi="Times New Roman" w:cs="Times New Roman"/>
          <w:color w:val="000000" w:themeColor="text1"/>
        </w:rPr>
        <w:t>Lichtensztajn</w:t>
      </w:r>
      <w:proofErr w:type="spellEnd"/>
      <w:r w:rsidRPr="00104CC0">
        <w:rPr>
          <w:rFonts w:ascii="Times New Roman" w:hAnsi="Times New Roman" w:cs="Times New Roman"/>
          <w:color w:val="000000" w:themeColor="text1"/>
        </w:rPr>
        <w:t xml:space="preserve">, D., Gomez, S., </w:t>
      </w:r>
      <w:proofErr w:type="spellStart"/>
      <w:r w:rsidRPr="00104CC0">
        <w:rPr>
          <w:rFonts w:ascii="Times New Roman" w:hAnsi="Times New Roman" w:cs="Times New Roman"/>
          <w:color w:val="000000" w:themeColor="text1"/>
        </w:rPr>
        <w:t>Fowble</w:t>
      </w:r>
      <w:proofErr w:type="spellEnd"/>
      <w:r w:rsidRPr="00104CC0">
        <w:rPr>
          <w:rFonts w:ascii="Times New Roman" w:hAnsi="Times New Roman" w:cs="Times New Roman"/>
          <w:color w:val="000000" w:themeColor="text1"/>
        </w:rPr>
        <w:t xml:space="preserve">, B. &amp; Clarke, C. (2013). Survival after </w:t>
      </w:r>
      <w:r w:rsidRPr="00104CC0">
        <w:rPr>
          <w:rFonts w:ascii="Times New Roman" w:hAnsi="Times New Roman" w:cs="Times New Roman"/>
          <w:color w:val="000000" w:themeColor="text1"/>
        </w:rPr>
        <w:tab/>
        <w:t xml:space="preserve">lumpectomy and mastectomy for </w:t>
      </w:r>
      <w:proofErr w:type="gramStart"/>
      <w:r w:rsidRPr="00104CC0">
        <w:rPr>
          <w:rFonts w:ascii="Times New Roman" w:hAnsi="Times New Roman" w:cs="Times New Roman"/>
          <w:color w:val="000000" w:themeColor="text1"/>
        </w:rPr>
        <w:t>early stage</w:t>
      </w:r>
      <w:proofErr w:type="gramEnd"/>
      <w:r w:rsidRPr="00104CC0">
        <w:rPr>
          <w:rFonts w:ascii="Times New Roman" w:hAnsi="Times New Roman" w:cs="Times New Roman"/>
          <w:color w:val="000000" w:themeColor="text1"/>
        </w:rPr>
        <w:t xml:space="preserve"> invasive breast cancer. </w:t>
      </w:r>
      <w:r w:rsidRPr="00104CC0">
        <w:rPr>
          <w:rFonts w:ascii="Times New Roman" w:hAnsi="Times New Roman" w:cs="Times New Roman"/>
          <w:i/>
          <w:iCs/>
          <w:color w:val="000000" w:themeColor="text1"/>
        </w:rPr>
        <w:t xml:space="preserve">Cancer </w:t>
      </w:r>
      <w:r w:rsidRPr="00104CC0">
        <w:rPr>
          <w:rFonts w:ascii="Times New Roman" w:hAnsi="Times New Roman" w:cs="Times New Roman"/>
          <w:color w:val="000000" w:themeColor="text1"/>
        </w:rPr>
        <w:t>119, 1402-</w:t>
      </w:r>
      <w:r w:rsidRPr="00104CC0">
        <w:rPr>
          <w:rFonts w:ascii="Times New Roman" w:hAnsi="Times New Roman" w:cs="Times New Roman"/>
          <w:color w:val="000000" w:themeColor="text1"/>
        </w:rPr>
        <w:tab/>
        <w:t>1411. DOI: 10.1002/cncr.27795.</w:t>
      </w:r>
    </w:p>
    <w:p w14:paraId="4CC32F15" w14:textId="07B1BDAD" w:rsidR="00104CC0" w:rsidRPr="00104CC0" w:rsidRDefault="00D04F24" w:rsidP="00E1342B">
      <w:pPr>
        <w:pStyle w:val="NormalWeb"/>
        <w:spacing w:line="360" w:lineRule="auto"/>
        <w:ind w:left="567" w:hanging="567"/>
        <w:rPr>
          <w:color w:val="000000" w:themeColor="text1"/>
        </w:rPr>
      </w:pPr>
      <w:proofErr w:type="spellStart"/>
      <w:r w:rsidRPr="00104CC0">
        <w:rPr>
          <w:color w:val="000000" w:themeColor="text1"/>
        </w:rPr>
        <w:t>Momenimovahed</w:t>
      </w:r>
      <w:proofErr w:type="spellEnd"/>
      <w:r w:rsidRPr="00104CC0">
        <w:rPr>
          <w:color w:val="000000" w:themeColor="text1"/>
        </w:rPr>
        <w:t xml:space="preserve">, Z. &amp; </w:t>
      </w:r>
      <w:proofErr w:type="spellStart"/>
      <w:r w:rsidRPr="00104CC0">
        <w:rPr>
          <w:color w:val="000000" w:themeColor="text1"/>
        </w:rPr>
        <w:t>Salehiniya</w:t>
      </w:r>
      <w:proofErr w:type="spellEnd"/>
      <w:r w:rsidRPr="00104CC0">
        <w:rPr>
          <w:color w:val="000000" w:themeColor="text1"/>
        </w:rPr>
        <w:t xml:space="preserve">, H. (2019). Epidemiological Characteristics of and Risk Factors for Breast Cancer in the World. </w:t>
      </w:r>
      <w:r w:rsidRPr="00104CC0">
        <w:rPr>
          <w:i/>
          <w:iCs/>
          <w:color w:val="000000" w:themeColor="text1"/>
        </w:rPr>
        <w:t>Breast Cancer (Dove Medical Press)</w:t>
      </w:r>
      <w:r w:rsidRPr="00104CC0">
        <w:rPr>
          <w:color w:val="000000" w:themeColor="text1"/>
        </w:rPr>
        <w:t>. DOI: 10.2147/BCTT.S176070</w:t>
      </w:r>
      <w:r w:rsidR="003B3779" w:rsidRPr="00104CC0">
        <w:rPr>
          <w:color w:val="000000" w:themeColor="text1"/>
        </w:rPr>
        <w:t>.</w:t>
      </w:r>
    </w:p>
    <w:p w14:paraId="40900DB2" w14:textId="7C9F55F6" w:rsidR="00104CC0" w:rsidRPr="00104CC0" w:rsidRDefault="003B3779" w:rsidP="00E1342B">
      <w:pPr>
        <w:pStyle w:val="NormalWeb"/>
        <w:spacing w:line="360" w:lineRule="auto"/>
        <w:ind w:left="567" w:hanging="567"/>
        <w:rPr>
          <w:color w:val="000000" w:themeColor="text1"/>
        </w:rPr>
      </w:pPr>
      <w:r w:rsidRPr="00104CC0">
        <w:rPr>
          <w:color w:val="000000" w:themeColor="text1"/>
        </w:rPr>
        <w:t xml:space="preserve">Schon, K &amp; </w:t>
      </w:r>
      <w:proofErr w:type="spellStart"/>
      <w:r w:rsidRPr="00104CC0">
        <w:rPr>
          <w:color w:val="000000" w:themeColor="text1"/>
        </w:rPr>
        <w:t>Tischkowitz</w:t>
      </w:r>
      <w:proofErr w:type="spellEnd"/>
      <w:r w:rsidRPr="00104CC0">
        <w:rPr>
          <w:color w:val="000000" w:themeColor="text1"/>
        </w:rPr>
        <w:t xml:space="preserve">, M. (2017). Clinical implications of germline mutations in breast cancer: TP53. </w:t>
      </w:r>
      <w:r w:rsidRPr="00104CC0">
        <w:rPr>
          <w:i/>
          <w:iCs/>
          <w:color w:val="000000" w:themeColor="text1"/>
        </w:rPr>
        <w:t>Breast Cancer Research and Treatment</w:t>
      </w:r>
      <w:r w:rsidRPr="00104CC0">
        <w:rPr>
          <w:color w:val="000000" w:themeColor="text1"/>
        </w:rPr>
        <w:t xml:space="preserve"> 167, 417-423. DOI: 10.1007/s10549-017-4531-y</w:t>
      </w:r>
    </w:p>
    <w:p w14:paraId="4D3DA829" w14:textId="0E8FAB51" w:rsidR="00D04F24" w:rsidRDefault="003B3779" w:rsidP="00E1342B">
      <w:pPr>
        <w:pStyle w:val="NormalWeb"/>
        <w:spacing w:line="360" w:lineRule="auto"/>
        <w:ind w:left="567" w:hanging="567"/>
        <w:rPr>
          <w:rFonts w:eastAsiaTheme="minorEastAsia"/>
          <w:color w:val="000000" w:themeColor="text1"/>
        </w:rPr>
      </w:pPr>
      <w:proofErr w:type="spellStart"/>
      <w:r w:rsidRPr="00104CC0">
        <w:rPr>
          <w:color w:val="000000" w:themeColor="text1"/>
        </w:rPr>
        <w:t>Shahbandi</w:t>
      </w:r>
      <w:proofErr w:type="spellEnd"/>
      <w:r w:rsidRPr="00104CC0">
        <w:rPr>
          <w:color w:val="000000" w:themeColor="text1"/>
        </w:rPr>
        <w:t xml:space="preserve">, A., Nguyen, H. &amp; Jackson, J. (2020). TP53 Mutations and Outcomes in Breast Cancer: Reading beyond the Headlines. </w:t>
      </w:r>
      <w:r w:rsidRPr="00104CC0">
        <w:rPr>
          <w:i/>
          <w:iCs/>
          <w:color w:val="000000" w:themeColor="text1"/>
        </w:rPr>
        <w:t>Trends in Cancer</w:t>
      </w:r>
      <w:r w:rsidRPr="00104CC0">
        <w:rPr>
          <w:color w:val="000000" w:themeColor="text1"/>
        </w:rPr>
        <w:t xml:space="preserve"> 6, 98-110. DOI: </w:t>
      </w:r>
      <w:r w:rsidRPr="00104CC0">
        <w:rPr>
          <w:rFonts w:eastAsiaTheme="minorEastAsia"/>
          <w:color w:val="000000" w:themeColor="text1"/>
        </w:rPr>
        <w:t>10.1016/j.trecan.2020.01.007</w:t>
      </w:r>
    </w:p>
    <w:p w14:paraId="38AC0E54" w14:textId="3BAE866E" w:rsidR="00440708" w:rsidRDefault="00440708" w:rsidP="00E1342B">
      <w:pPr>
        <w:pStyle w:val="NormalWeb"/>
        <w:spacing w:line="360" w:lineRule="auto"/>
        <w:ind w:left="567" w:hanging="567"/>
        <w:rPr>
          <w:rFonts w:eastAsiaTheme="minorEastAsia"/>
          <w:color w:val="000000" w:themeColor="text1"/>
        </w:rPr>
      </w:pPr>
    </w:p>
    <w:p w14:paraId="3168029A" w14:textId="7E38A336" w:rsidR="00440708" w:rsidRDefault="00440708" w:rsidP="00E1342B">
      <w:pPr>
        <w:pStyle w:val="NormalWeb"/>
        <w:spacing w:line="360" w:lineRule="auto"/>
        <w:ind w:left="567" w:hanging="567"/>
        <w:rPr>
          <w:rFonts w:eastAsiaTheme="minorEastAsia"/>
          <w:color w:val="000000" w:themeColor="text1"/>
        </w:rPr>
      </w:pPr>
    </w:p>
    <w:p w14:paraId="5DDA4394" w14:textId="195F7370" w:rsidR="00440708" w:rsidRDefault="00440708" w:rsidP="00E1342B">
      <w:pPr>
        <w:pStyle w:val="NormalWeb"/>
        <w:spacing w:line="360" w:lineRule="auto"/>
        <w:ind w:left="567" w:hanging="567"/>
        <w:rPr>
          <w:rFonts w:eastAsiaTheme="minorEastAsia"/>
          <w:color w:val="000000" w:themeColor="text1"/>
        </w:rPr>
      </w:pPr>
    </w:p>
    <w:p w14:paraId="7DDC4E06" w14:textId="07AA412E" w:rsidR="00440708" w:rsidRDefault="00440708" w:rsidP="00E1342B">
      <w:pPr>
        <w:pStyle w:val="NormalWeb"/>
        <w:spacing w:line="360" w:lineRule="auto"/>
        <w:ind w:left="567" w:hanging="567"/>
        <w:rPr>
          <w:rFonts w:eastAsiaTheme="minorEastAsia"/>
          <w:color w:val="000000" w:themeColor="text1"/>
        </w:rPr>
      </w:pPr>
    </w:p>
    <w:p w14:paraId="19CD7062" w14:textId="17D512C5" w:rsidR="00440708" w:rsidRPr="00440708" w:rsidRDefault="00440708" w:rsidP="00440708">
      <w:pPr>
        <w:pStyle w:val="NormalWeb"/>
        <w:spacing w:line="276" w:lineRule="auto"/>
        <w:ind w:left="567" w:hanging="567"/>
        <w:rPr>
          <w:rFonts w:eastAsiaTheme="minorEastAsia"/>
          <w:b/>
          <w:bCs/>
          <w:color w:val="000000" w:themeColor="text1"/>
          <w:u w:val="single"/>
        </w:rPr>
      </w:pPr>
      <w:r w:rsidRPr="00440708">
        <w:rPr>
          <w:rFonts w:eastAsiaTheme="minorEastAsia"/>
          <w:b/>
          <w:bCs/>
          <w:color w:val="000000" w:themeColor="text1"/>
          <w:u w:val="single"/>
        </w:rPr>
        <w:lastRenderedPageBreak/>
        <w:t>Review Questions:</w:t>
      </w:r>
    </w:p>
    <w:p w14:paraId="643DC1B1" w14:textId="11240CEE" w:rsidR="00440708" w:rsidRDefault="00440708" w:rsidP="00E1342B">
      <w:pPr>
        <w:pStyle w:val="NormalWeb"/>
        <w:spacing w:line="360" w:lineRule="auto"/>
        <w:ind w:left="567" w:hanging="567"/>
        <w:rPr>
          <w:color w:val="000000" w:themeColor="text1"/>
          <w:u w:val="single"/>
        </w:rPr>
      </w:pPr>
      <w:r w:rsidRPr="00440708">
        <w:rPr>
          <w:color w:val="000000" w:themeColor="text1"/>
          <w:u w:val="single"/>
        </w:rPr>
        <w:t>General Concepts</w:t>
      </w:r>
    </w:p>
    <w:p w14:paraId="2F10B106" w14:textId="406D3DF8" w:rsidR="00440708" w:rsidRDefault="00440708" w:rsidP="00440708">
      <w:pPr>
        <w:pStyle w:val="NormalWeb"/>
        <w:numPr>
          <w:ilvl w:val="0"/>
          <w:numId w:val="1"/>
        </w:numPr>
        <w:spacing w:line="360" w:lineRule="auto"/>
        <w:rPr>
          <w:color w:val="000000" w:themeColor="text1"/>
        </w:rPr>
      </w:pPr>
      <w:r>
        <w:rPr>
          <w:color w:val="000000" w:themeColor="text1"/>
        </w:rPr>
        <w:t>What is TCGA and why is it important?</w:t>
      </w:r>
    </w:p>
    <w:p w14:paraId="39EF3CD1" w14:textId="28C6C2F5" w:rsidR="00440708" w:rsidRDefault="00440708" w:rsidP="00440708">
      <w:pPr>
        <w:pStyle w:val="NormalWeb"/>
        <w:spacing w:line="360" w:lineRule="auto"/>
        <w:ind w:left="360"/>
        <w:rPr>
          <w:color w:val="4472C4" w:themeColor="accent1"/>
        </w:rPr>
      </w:pPr>
      <w:r>
        <w:rPr>
          <w:color w:val="4472C4" w:themeColor="accent1"/>
        </w:rPr>
        <w:t>TCGA is a cancer genomics program that makes patient data publicly available. The data that is accessible from TCGA includes genome, epigenome, proteome data, etc. It also covers a variety of cancer types (</w:t>
      </w:r>
      <w:proofErr w:type="gramStart"/>
      <w:r>
        <w:rPr>
          <w:color w:val="4472C4" w:themeColor="accent1"/>
        </w:rPr>
        <w:t>e.g.</w:t>
      </w:r>
      <w:proofErr w:type="gramEnd"/>
      <w:r>
        <w:rPr>
          <w:color w:val="4472C4" w:themeColor="accent1"/>
        </w:rPr>
        <w:t xml:space="preserve"> breast cancer). It is important because it allows researchers to access a wealth of real-life clinical data in a way that isn’t costly or difficult to do. </w:t>
      </w:r>
    </w:p>
    <w:p w14:paraId="6C31FE41" w14:textId="78DC8A71" w:rsidR="00440708" w:rsidRDefault="00440708" w:rsidP="00440708">
      <w:pPr>
        <w:pStyle w:val="NormalWeb"/>
        <w:numPr>
          <w:ilvl w:val="0"/>
          <w:numId w:val="1"/>
        </w:numPr>
        <w:spacing w:line="360" w:lineRule="auto"/>
        <w:rPr>
          <w:color w:val="000000" w:themeColor="text1"/>
        </w:rPr>
      </w:pPr>
      <w:r>
        <w:rPr>
          <w:color w:val="000000" w:themeColor="text1"/>
        </w:rPr>
        <w:t>What are some strengths and weaknesses of TCGA?</w:t>
      </w:r>
    </w:p>
    <w:p w14:paraId="6B078BFD" w14:textId="3EDBA9AC" w:rsidR="00440708" w:rsidRDefault="00440708" w:rsidP="00440708">
      <w:pPr>
        <w:pStyle w:val="NormalWeb"/>
        <w:spacing w:line="360" w:lineRule="auto"/>
        <w:ind w:left="360"/>
        <w:rPr>
          <w:color w:val="4472C4" w:themeColor="accent1"/>
        </w:rPr>
      </w:pPr>
      <w:r>
        <w:rPr>
          <w:color w:val="4472C4" w:themeColor="accent1"/>
        </w:rPr>
        <w:t>One of the biggest strengths of TCGA is its accessibility, as it is a publicly accessible dataset that researchers and scientists can utilize to do many different types of analyses. Additionally, TCGA, unlike many other sources of data for scientific articles, doesn’t require any costly subscription fees or payment. However, TCGA did initially face concerns about the ethical implications of releases health data to the public – they responded to these concerns in an appropriate manner.</w:t>
      </w:r>
    </w:p>
    <w:p w14:paraId="0C08FCC9" w14:textId="159A09DB" w:rsidR="00440708" w:rsidRDefault="00440708" w:rsidP="00440708">
      <w:pPr>
        <w:pStyle w:val="NormalWeb"/>
        <w:spacing w:line="360" w:lineRule="auto"/>
        <w:rPr>
          <w:color w:val="000000" w:themeColor="text1"/>
        </w:rPr>
      </w:pPr>
      <w:r>
        <w:rPr>
          <w:color w:val="000000" w:themeColor="text1"/>
          <w:u w:val="single"/>
        </w:rPr>
        <w:t>Coding Skills</w:t>
      </w:r>
    </w:p>
    <w:p w14:paraId="758BC13A" w14:textId="0F175A2D" w:rsidR="007D0F11" w:rsidRPr="007D0F11" w:rsidRDefault="00440708" w:rsidP="00440708">
      <w:pPr>
        <w:pStyle w:val="NormalWeb"/>
        <w:numPr>
          <w:ilvl w:val="0"/>
          <w:numId w:val="2"/>
        </w:numPr>
        <w:spacing w:line="360" w:lineRule="auto"/>
        <w:rPr>
          <w:color w:val="000000" w:themeColor="text1"/>
        </w:rPr>
      </w:pPr>
      <w:r>
        <w:rPr>
          <w:color w:val="000000" w:themeColor="text1"/>
        </w:rPr>
        <w:t>What commands are used to save a file to your GitHub repository</w:t>
      </w:r>
      <w:r w:rsidR="007D0F11">
        <w:rPr>
          <w:color w:val="000000" w:themeColor="text1"/>
        </w:rPr>
        <w:t>?</w:t>
      </w:r>
      <w:r w:rsidR="007D0F11" w:rsidRPr="007D0F11">
        <w:t xml:space="preserve"> </w:t>
      </w:r>
    </w:p>
    <w:p w14:paraId="0DEB20E8" w14:textId="429DFD7F" w:rsidR="007D0F11" w:rsidRPr="007D0F11" w:rsidRDefault="007D0F11" w:rsidP="007D0F11">
      <w:pPr>
        <w:pStyle w:val="NormalWeb"/>
        <w:spacing w:line="360" w:lineRule="auto"/>
        <w:ind w:left="360"/>
        <w:rPr>
          <w:color w:val="4472C4" w:themeColor="accent1"/>
        </w:rPr>
      </w:pPr>
      <w:r>
        <w:rPr>
          <w:color w:val="4472C4" w:themeColor="accent1"/>
        </w:rPr>
        <w:t>Git add, Git commit, Git push.</w:t>
      </w:r>
    </w:p>
    <w:p w14:paraId="6A2ED0D9" w14:textId="1BE7BB13" w:rsidR="007D0F11" w:rsidRPr="007D0F11" w:rsidRDefault="007D0F11" w:rsidP="00440708">
      <w:pPr>
        <w:pStyle w:val="NormalWeb"/>
        <w:numPr>
          <w:ilvl w:val="0"/>
          <w:numId w:val="2"/>
        </w:numPr>
        <w:spacing w:line="360" w:lineRule="auto"/>
        <w:rPr>
          <w:color w:val="000000" w:themeColor="text1"/>
        </w:rPr>
      </w:pPr>
      <w:r>
        <w:t xml:space="preserve">What command(s) must be run </w:t>
      </w:r>
      <w:proofErr w:type="gramStart"/>
      <w:r>
        <w:t>in order to</w:t>
      </w:r>
      <w:proofErr w:type="gramEnd"/>
      <w:r>
        <w:t xml:space="preserve"> use a standard package in R? </w:t>
      </w:r>
    </w:p>
    <w:p w14:paraId="24008293" w14:textId="05D9344A" w:rsidR="007D0F11" w:rsidRPr="00C02393" w:rsidRDefault="007D0F11" w:rsidP="007D0F11">
      <w:pPr>
        <w:pStyle w:val="NormalWeb"/>
        <w:spacing w:line="360" w:lineRule="auto"/>
        <w:ind w:left="360"/>
        <w:rPr>
          <w:color w:val="4472C4" w:themeColor="accent1"/>
        </w:rPr>
      </w:pPr>
      <w:proofErr w:type="spellStart"/>
      <w:r w:rsidRPr="00C02393">
        <w:rPr>
          <w:color w:val="4472C4" w:themeColor="accent1"/>
        </w:rPr>
        <w:t>Install.packages</w:t>
      </w:r>
      <w:proofErr w:type="spellEnd"/>
      <w:r w:rsidRPr="00C02393">
        <w:rPr>
          <w:color w:val="4472C4" w:themeColor="accent1"/>
        </w:rPr>
        <w:t>(“</w:t>
      </w:r>
      <w:proofErr w:type="spellStart"/>
      <w:r w:rsidRPr="00C02393">
        <w:rPr>
          <w:color w:val="4472C4" w:themeColor="accent1"/>
        </w:rPr>
        <w:t>package_name</w:t>
      </w:r>
      <w:proofErr w:type="spellEnd"/>
      <w:r w:rsidRPr="00C02393">
        <w:rPr>
          <w:color w:val="4472C4" w:themeColor="accent1"/>
        </w:rPr>
        <w:t>”), then library(“</w:t>
      </w:r>
      <w:proofErr w:type="spellStart"/>
      <w:r w:rsidRPr="00C02393">
        <w:rPr>
          <w:color w:val="4472C4" w:themeColor="accent1"/>
        </w:rPr>
        <w:t>package_name</w:t>
      </w:r>
      <w:proofErr w:type="spellEnd"/>
      <w:r w:rsidRPr="00C02393">
        <w:rPr>
          <w:color w:val="4472C4" w:themeColor="accent1"/>
        </w:rPr>
        <w:t>”).</w:t>
      </w:r>
    </w:p>
    <w:p w14:paraId="5910F9CA" w14:textId="78B7B4F3" w:rsidR="007D0F11" w:rsidRPr="007D0F11" w:rsidRDefault="007D0F11" w:rsidP="00440708">
      <w:pPr>
        <w:pStyle w:val="NormalWeb"/>
        <w:numPr>
          <w:ilvl w:val="0"/>
          <w:numId w:val="2"/>
        </w:numPr>
        <w:spacing w:line="360" w:lineRule="auto"/>
        <w:rPr>
          <w:color w:val="000000" w:themeColor="text1"/>
        </w:rPr>
      </w:pPr>
      <w:r>
        <w:t>W</w:t>
      </w:r>
      <w:r>
        <w:t xml:space="preserve">hat command(s) must be run </w:t>
      </w:r>
      <w:proofErr w:type="gramStart"/>
      <w:r>
        <w:t>in order to</w:t>
      </w:r>
      <w:proofErr w:type="gramEnd"/>
      <w:r>
        <w:t xml:space="preserve"> use a Bioconductor package in R? </w:t>
      </w:r>
    </w:p>
    <w:p w14:paraId="3AA5C5B7" w14:textId="73D49255" w:rsidR="007D0F11" w:rsidRPr="00C02393" w:rsidRDefault="007D0F11" w:rsidP="007D0F11">
      <w:pPr>
        <w:pStyle w:val="NormalWeb"/>
        <w:spacing w:line="360" w:lineRule="auto"/>
        <w:ind w:left="360"/>
        <w:rPr>
          <w:color w:val="4472C4" w:themeColor="accent1"/>
        </w:rPr>
      </w:pPr>
      <w:proofErr w:type="spellStart"/>
      <w:proofErr w:type="gramStart"/>
      <w:r w:rsidRPr="00C02393">
        <w:rPr>
          <w:color w:val="4472C4" w:themeColor="accent1"/>
        </w:rPr>
        <w:t>BiocManager</w:t>
      </w:r>
      <w:proofErr w:type="spellEnd"/>
      <w:r w:rsidRPr="00C02393">
        <w:rPr>
          <w:color w:val="4472C4" w:themeColor="accent1"/>
        </w:rPr>
        <w:t>::</w:t>
      </w:r>
      <w:proofErr w:type="gramEnd"/>
      <w:r w:rsidRPr="00C02393">
        <w:rPr>
          <w:color w:val="4472C4" w:themeColor="accent1"/>
        </w:rPr>
        <w:t>install(“</w:t>
      </w:r>
      <w:proofErr w:type="spellStart"/>
      <w:r w:rsidRPr="00C02393">
        <w:rPr>
          <w:color w:val="4472C4" w:themeColor="accent1"/>
        </w:rPr>
        <w:t>package_name</w:t>
      </w:r>
      <w:proofErr w:type="spellEnd"/>
      <w:r w:rsidRPr="00C02393">
        <w:rPr>
          <w:color w:val="4472C4" w:themeColor="accent1"/>
        </w:rPr>
        <w:t>”), then library(“</w:t>
      </w:r>
      <w:proofErr w:type="spellStart"/>
      <w:r w:rsidRPr="00C02393">
        <w:rPr>
          <w:color w:val="4472C4" w:themeColor="accent1"/>
        </w:rPr>
        <w:t>package_name</w:t>
      </w:r>
      <w:proofErr w:type="spellEnd"/>
      <w:r w:rsidRPr="00C02393">
        <w:rPr>
          <w:color w:val="4472C4" w:themeColor="accent1"/>
        </w:rPr>
        <w:t>”).</w:t>
      </w:r>
    </w:p>
    <w:p w14:paraId="1981A623" w14:textId="3CFEB732" w:rsidR="007D0F11" w:rsidRPr="007D0F11" w:rsidRDefault="007D0F11" w:rsidP="00440708">
      <w:pPr>
        <w:pStyle w:val="NormalWeb"/>
        <w:numPr>
          <w:ilvl w:val="0"/>
          <w:numId w:val="2"/>
        </w:numPr>
        <w:spacing w:line="360" w:lineRule="auto"/>
        <w:rPr>
          <w:color w:val="000000" w:themeColor="text1"/>
        </w:rPr>
      </w:pPr>
      <w:r>
        <w:t xml:space="preserve">What is </w:t>
      </w:r>
      <w:proofErr w:type="spellStart"/>
      <w:r>
        <w:t>boolean</w:t>
      </w:r>
      <w:proofErr w:type="spellEnd"/>
      <w:r>
        <w:t xml:space="preserve"> indexing? What are some applications of it? </w:t>
      </w:r>
    </w:p>
    <w:p w14:paraId="12C6DDCC" w14:textId="57666208" w:rsidR="007D0F11" w:rsidRPr="00C02393" w:rsidRDefault="007D0F11" w:rsidP="007D0F11">
      <w:pPr>
        <w:pStyle w:val="NormalWeb"/>
        <w:spacing w:line="360" w:lineRule="auto"/>
        <w:ind w:left="360"/>
        <w:rPr>
          <w:color w:val="4472C4" w:themeColor="accent1"/>
        </w:rPr>
      </w:pPr>
      <w:r w:rsidRPr="00C02393">
        <w:rPr>
          <w:color w:val="4472C4" w:themeColor="accent1"/>
        </w:rPr>
        <w:lastRenderedPageBreak/>
        <w:t xml:space="preserve">Generating a column that is filled with true and false values (Booleans) based on some quality of another column in your </w:t>
      </w:r>
      <w:proofErr w:type="spellStart"/>
      <w:r w:rsidRPr="00C02393">
        <w:rPr>
          <w:color w:val="4472C4" w:themeColor="accent1"/>
        </w:rPr>
        <w:t>dataframe</w:t>
      </w:r>
      <w:proofErr w:type="spellEnd"/>
      <w:r w:rsidRPr="00C02393">
        <w:rPr>
          <w:color w:val="4472C4" w:themeColor="accent1"/>
        </w:rPr>
        <w:t>. It allows you to parse and sift out values you don’t want in a quick way, to make analysis more efficient (and in the case of NA values, it makes the analysis possible to begin with).</w:t>
      </w:r>
    </w:p>
    <w:p w14:paraId="7A094D37" w14:textId="05C2628F" w:rsidR="007D0F11" w:rsidRPr="007D0F11" w:rsidRDefault="007D0F11" w:rsidP="007D0F11">
      <w:pPr>
        <w:pStyle w:val="NormalWeb"/>
        <w:numPr>
          <w:ilvl w:val="0"/>
          <w:numId w:val="2"/>
        </w:numPr>
        <w:spacing w:line="360" w:lineRule="auto"/>
        <w:rPr>
          <w:color w:val="000000" w:themeColor="text1"/>
        </w:rPr>
      </w:pPr>
      <w:r>
        <w:t xml:space="preserve">Draw a </w:t>
      </w:r>
      <w:proofErr w:type="gramStart"/>
      <w:r>
        <w:t>mock up</w:t>
      </w:r>
      <w:proofErr w:type="gramEnd"/>
      <w:r>
        <w:t xml:space="preserve"> (just a few rows and columns) of a sample </w:t>
      </w:r>
      <w:proofErr w:type="spellStart"/>
      <w:r>
        <w:t>dataframe</w:t>
      </w:r>
      <w:proofErr w:type="spellEnd"/>
      <w:r>
        <w:t>. Show an example of the following and explain what each line of code does.</w:t>
      </w:r>
    </w:p>
    <w:tbl>
      <w:tblPr>
        <w:tblStyle w:val="TableGrid"/>
        <w:tblW w:w="0" w:type="auto"/>
        <w:tblLook w:val="04A0" w:firstRow="1" w:lastRow="0" w:firstColumn="1" w:lastColumn="0" w:noHBand="0" w:noVBand="1"/>
      </w:tblPr>
      <w:tblGrid>
        <w:gridCol w:w="3116"/>
        <w:gridCol w:w="3117"/>
      </w:tblGrid>
      <w:tr w:rsidR="00C02393" w:rsidRPr="00C02393" w14:paraId="73D68B3D" w14:textId="77777777" w:rsidTr="007D0F11">
        <w:tc>
          <w:tcPr>
            <w:tcW w:w="3116" w:type="dxa"/>
          </w:tcPr>
          <w:p w14:paraId="0B12EF87" w14:textId="38DFF812" w:rsidR="007D0F11" w:rsidRPr="00C02393" w:rsidRDefault="007D0F11" w:rsidP="007D0F11">
            <w:pPr>
              <w:pStyle w:val="NormalWeb"/>
              <w:spacing w:line="360" w:lineRule="auto"/>
              <w:rPr>
                <w:color w:val="4472C4" w:themeColor="accent1"/>
              </w:rPr>
            </w:pPr>
            <w:r w:rsidRPr="00C02393">
              <w:rPr>
                <w:color w:val="4472C4" w:themeColor="accent1"/>
              </w:rPr>
              <w:t>name</w:t>
            </w:r>
          </w:p>
        </w:tc>
        <w:tc>
          <w:tcPr>
            <w:tcW w:w="3117" w:type="dxa"/>
          </w:tcPr>
          <w:p w14:paraId="707BD36D" w14:textId="48CB6B4A" w:rsidR="007D0F11" w:rsidRPr="00C02393" w:rsidRDefault="007D0F11" w:rsidP="007D0F11">
            <w:pPr>
              <w:pStyle w:val="NormalWeb"/>
              <w:spacing w:line="360" w:lineRule="auto"/>
              <w:rPr>
                <w:color w:val="4472C4" w:themeColor="accent1"/>
              </w:rPr>
            </w:pPr>
            <w:r w:rsidRPr="00C02393">
              <w:rPr>
                <w:color w:val="4472C4" w:themeColor="accent1"/>
              </w:rPr>
              <w:t>age</w:t>
            </w:r>
          </w:p>
        </w:tc>
      </w:tr>
      <w:tr w:rsidR="00C02393" w:rsidRPr="00C02393" w14:paraId="2A3E3A85" w14:textId="77777777" w:rsidTr="007D0F11">
        <w:tc>
          <w:tcPr>
            <w:tcW w:w="3116" w:type="dxa"/>
          </w:tcPr>
          <w:p w14:paraId="08A8AB89" w14:textId="179A5713" w:rsidR="007D0F11" w:rsidRPr="00C02393" w:rsidRDefault="007D0F11" w:rsidP="007D0F11">
            <w:pPr>
              <w:pStyle w:val="NormalWeb"/>
              <w:spacing w:line="360" w:lineRule="auto"/>
              <w:rPr>
                <w:color w:val="4472C4" w:themeColor="accent1"/>
              </w:rPr>
            </w:pPr>
            <w:r w:rsidRPr="00C02393">
              <w:rPr>
                <w:color w:val="4472C4" w:themeColor="accent1"/>
              </w:rPr>
              <w:t>Colin</w:t>
            </w:r>
          </w:p>
        </w:tc>
        <w:tc>
          <w:tcPr>
            <w:tcW w:w="3117" w:type="dxa"/>
          </w:tcPr>
          <w:p w14:paraId="49C94A5C" w14:textId="77470763" w:rsidR="007D0F11" w:rsidRPr="00C02393" w:rsidRDefault="007D0F11" w:rsidP="007D0F11">
            <w:pPr>
              <w:pStyle w:val="NormalWeb"/>
              <w:spacing w:line="360" w:lineRule="auto"/>
              <w:rPr>
                <w:color w:val="4472C4" w:themeColor="accent1"/>
              </w:rPr>
            </w:pPr>
            <w:r w:rsidRPr="00C02393">
              <w:rPr>
                <w:color w:val="4472C4" w:themeColor="accent1"/>
              </w:rPr>
              <w:t>20</w:t>
            </w:r>
          </w:p>
        </w:tc>
      </w:tr>
      <w:tr w:rsidR="00C02393" w:rsidRPr="00C02393" w14:paraId="235BE7A8" w14:textId="77777777" w:rsidTr="007D0F11">
        <w:tc>
          <w:tcPr>
            <w:tcW w:w="3116" w:type="dxa"/>
          </w:tcPr>
          <w:p w14:paraId="3057CBD8" w14:textId="270D0FB1" w:rsidR="007D0F11" w:rsidRPr="00C02393" w:rsidRDefault="007D0F11" w:rsidP="007D0F11">
            <w:pPr>
              <w:pStyle w:val="NormalWeb"/>
              <w:spacing w:line="360" w:lineRule="auto"/>
              <w:rPr>
                <w:color w:val="4472C4" w:themeColor="accent1"/>
              </w:rPr>
            </w:pPr>
            <w:r w:rsidRPr="00C02393">
              <w:rPr>
                <w:color w:val="4472C4" w:themeColor="accent1"/>
              </w:rPr>
              <w:t>Karla</w:t>
            </w:r>
          </w:p>
        </w:tc>
        <w:tc>
          <w:tcPr>
            <w:tcW w:w="3117" w:type="dxa"/>
          </w:tcPr>
          <w:p w14:paraId="3333FAE8" w14:textId="631D803C" w:rsidR="007D0F11" w:rsidRPr="00C02393" w:rsidRDefault="007D0F11" w:rsidP="007D0F11">
            <w:pPr>
              <w:pStyle w:val="NormalWeb"/>
              <w:spacing w:line="360" w:lineRule="auto"/>
              <w:rPr>
                <w:color w:val="4472C4" w:themeColor="accent1"/>
              </w:rPr>
            </w:pPr>
            <w:r w:rsidRPr="00C02393">
              <w:rPr>
                <w:color w:val="4472C4" w:themeColor="accent1"/>
              </w:rPr>
              <w:t>19</w:t>
            </w:r>
          </w:p>
        </w:tc>
      </w:tr>
      <w:tr w:rsidR="00C02393" w:rsidRPr="00C02393" w14:paraId="6C11B693" w14:textId="77777777" w:rsidTr="007D0F11">
        <w:tc>
          <w:tcPr>
            <w:tcW w:w="3116" w:type="dxa"/>
          </w:tcPr>
          <w:p w14:paraId="17D2D1F4" w14:textId="561BD576" w:rsidR="007D0F11" w:rsidRPr="00C02393" w:rsidRDefault="007D0F11" w:rsidP="007D0F11">
            <w:pPr>
              <w:pStyle w:val="NormalWeb"/>
              <w:spacing w:line="360" w:lineRule="auto"/>
              <w:rPr>
                <w:color w:val="4472C4" w:themeColor="accent1"/>
              </w:rPr>
            </w:pPr>
            <w:r w:rsidRPr="00C02393">
              <w:rPr>
                <w:color w:val="4472C4" w:themeColor="accent1"/>
              </w:rPr>
              <w:t>Sabrina</w:t>
            </w:r>
          </w:p>
        </w:tc>
        <w:tc>
          <w:tcPr>
            <w:tcW w:w="3117" w:type="dxa"/>
          </w:tcPr>
          <w:p w14:paraId="0DCD40C8" w14:textId="4CAA373A" w:rsidR="007D0F11" w:rsidRPr="00C02393" w:rsidRDefault="007D0F11" w:rsidP="007D0F11">
            <w:pPr>
              <w:pStyle w:val="NormalWeb"/>
              <w:spacing w:line="360" w:lineRule="auto"/>
              <w:rPr>
                <w:color w:val="4472C4" w:themeColor="accent1"/>
              </w:rPr>
            </w:pPr>
            <w:r w:rsidRPr="00C02393">
              <w:rPr>
                <w:color w:val="4472C4" w:themeColor="accent1"/>
              </w:rPr>
              <w:t>21</w:t>
            </w:r>
          </w:p>
        </w:tc>
      </w:tr>
    </w:tbl>
    <w:p w14:paraId="0D4BA8EC" w14:textId="54FA0651" w:rsidR="007D0F11" w:rsidRPr="00C02393" w:rsidRDefault="007D0F11" w:rsidP="007D0F11">
      <w:pPr>
        <w:pStyle w:val="NormalWeb"/>
        <w:spacing w:line="360" w:lineRule="auto"/>
        <w:rPr>
          <w:color w:val="4472C4" w:themeColor="accent1"/>
        </w:rPr>
      </w:pPr>
      <w:proofErr w:type="spellStart"/>
      <w:r w:rsidRPr="00C02393">
        <w:rPr>
          <w:color w:val="4472C4" w:themeColor="accent1"/>
        </w:rPr>
        <w:t>Dataframe</w:t>
      </w:r>
      <w:proofErr w:type="spellEnd"/>
      <w:r w:rsidRPr="00C02393">
        <w:rPr>
          <w:color w:val="4472C4" w:themeColor="accent1"/>
        </w:rPr>
        <w:t xml:space="preserve"> named “roster”.</w:t>
      </w:r>
    </w:p>
    <w:p w14:paraId="37D31508" w14:textId="1A4B90C1" w:rsidR="007D0F11" w:rsidRPr="00C02393" w:rsidRDefault="007D0F11" w:rsidP="007D0F11">
      <w:pPr>
        <w:pStyle w:val="NormalWeb"/>
        <w:numPr>
          <w:ilvl w:val="1"/>
          <w:numId w:val="2"/>
        </w:numPr>
        <w:spacing w:line="360" w:lineRule="auto"/>
        <w:rPr>
          <w:color w:val="000000" w:themeColor="text1"/>
        </w:rPr>
      </w:pPr>
      <w:r w:rsidRPr="00C02393">
        <w:rPr>
          <w:color w:val="000000" w:themeColor="text1"/>
        </w:rPr>
        <w:t xml:space="preserve">an </w:t>
      </w:r>
      <w:proofErr w:type="spellStart"/>
      <w:r w:rsidRPr="00C02393">
        <w:rPr>
          <w:color w:val="000000" w:themeColor="text1"/>
        </w:rPr>
        <w:t>ifelse</w:t>
      </w:r>
      <w:proofErr w:type="spellEnd"/>
      <w:r w:rsidRPr="00C02393">
        <w:rPr>
          <w:color w:val="000000" w:themeColor="text1"/>
        </w:rPr>
        <w:t>() statemen</w:t>
      </w:r>
      <w:r w:rsidRPr="00C02393">
        <w:rPr>
          <w:color w:val="000000" w:themeColor="text1"/>
        </w:rPr>
        <w:t>t</w:t>
      </w:r>
    </w:p>
    <w:p w14:paraId="5FFCF150" w14:textId="7576CDDB" w:rsidR="007D0F11" w:rsidRPr="00C02393" w:rsidRDefault="00C02393" w:rsidP="007D0F11">
      <w:pPr>
        <w:pStyle w:val="NormalWeb"/>
        <w:spacing w:line="360" w:lineRule="auto"/>
        <w:ind w:left="1080"/>
        <w:rPr>
          <w:color w:val="4472C4" w:themeColor="accent1"/>
        </w:rPr>
      </w:pPr>
      <w:r w:rsidRPr="00C02393">
        <w:rPr>
          <w:color w:val="4472C4" w:themeColor="accent1"/>
        </w:rPr>
        <w:t xml:space="preserve">older_than_19_mask &lt;- </w:t>
      </w:r>
      <w:proofErr w:type="spellStart"/>
      <w:r w:rsidR="007D0F11" w:rsidRPr="00C02393">
        <w:rPr>
          <w:color w:val="4472C4" w:themeColor="accent1"/>
        </w:rPr>
        <w:t>ifelse</w:t>
      </w:r>
      <w:proofErr w:type="spellEnd"/>
      <w:r w:rsidR="007D0F11" w:rsidRPr="00C02393">
        <w:rPr>
          <w:color w:val="4472C4" w:themeColor="accent1"/>
        </w:rPr>
        <w:t>(</w:t>
      </w:r>
      <w:proofErr w:type="spellStart"/>
      <w:r w:rsidR="007D0F11" w:rsidRPr="00C02393">
        <w:rPr>
          <w:color w:val="4472C4" w:themeColor="accent1"/>
        </w:rPr>
        <w:t>roster$age</w:t>
      </w:r>
      <w:proofErr w:type="spellEnd"/>
      <w:r w:rsidR="007D0F11" w:rsidRPr="00C02393">
        <w:rPr>
          <w:color w:val="4472C4" w:themeColor="accent1"/>
        </w:rPr>
        <w:t xml:space="preserve"> &gt; 19, T, F)</w:t>
      </w:r>
      <w:r w:rsidRPr="00C02393">
        <w:rPr>
          <w:color w:val="4472C4" w:themeColor="accent1"/>
        </w:rPr>
        <w:t xml:space="preserve"> </w:t>
      </w:r>
    </w:p>
    <w:p w14:paraId="69C44C2F" w14:textId="414AE480" w:rsidR="00C02393" w:rsidRPr="00C02393" w:rsidRDefault="00C02393" w:rsidP="007D0F11">
      <w:pPr>
        <w:pStyle w:val="NormalWeb"/>
        <w:spacing w:line="360" w:lineRule="auto"/>
        <w:ind w:left="1080"/>
        <w:rPr>
          <w:color w:val="4472C4" w:themeColor="accent1"/>
        </w:rPr>
      </w:pPr>
      <w:r w:rsidRPr="00C02393">
        <w:rPr>
          <w:color w:val="4472C4" w:themeColor="accent1"/>
        </w:rPr>
        <w:t xml:space="preserve">The above creates a vector of </w:t>
      </w:r>
      <w:proofErr w:type="spellStart"/>
      <w:r w:rsidRPr="00C02393">
        <w:rPr>
          <w:color w:val="4472C4" w:themeColor="accent1"/>
        </w:rPr>
        <w:t>boolean</w:t>
      </w:r>
      <w:proofErr w:type="spellEnd"/>
      <w:r w:rsidRPr="00C02393">
        <w:rPr>
          <w:color w:val="4472C4" w:themeColor="accent1"/>
        </w:rPr>
        <w:t xml:space="preserve"> containing “T, F, T” as its values, corresponding to whether each person in that row is older than 19 or not.</w:t>
      </w:r>
    </w:p>
    <w:p w14:paraId="1F461006" w14:textId="712CDAEA" w:rsidR="007D0F11" w:rsidRPr="00C02393" w:rsidRDefault="007D0F11" w:rsidP="007D0F11">
      <w:pPr>
        <w:pStyle w:val="NormalWeb"/>
        <w:numPr>
          <w:ilvl w:val="1"/>
          <w:numId w:val="2"/>
        </w:numPr>
        <w:spacing w:line="360" w:lineRule="auto"/>
        <w:rPr>
          <w:color w:val="000000" w:themeColor="text1"/>
        </w:rPr>
      </w:pPr>
      <w:proofErr w:type="spellStart"/>
      <w:r w:rsidRPr="00C02393">
        <w:rPr>
          <w:color w:val="000000" w:themeColor="text1"/>
        </w:rPr>
        <w:t>boolean</w:t>
      </w:r>
      <w:proofErr w:type="spellEnd"/>
      <w:r w:rsidRPr="00C02393">
        <w:rPr>
          <w:color w:val="000000" w:themeColor="text1"/>
        </w:rPr>
        <w:t xml:space="preserve"> indexing</w:t>
      </w:r>
    </w:p>
    <w:p w14:paraId="602C38C2" w14:textId="77777777" w:rsidR="00C02393" w:rsidRPr="00C02393" w:rsidRDefault="00C02393" w:rsidP="00C02393">
      <w:pPr>
        <w:pStyle w:val="NormalWeb"/>
        <w:spacing w:line="360" w:lineRule="auto"/>
        <w:ind w:left="1080"/>
        <w:rPr>
          <w:color w:val="4472C4" w:themeColor="accent1"/>
        </w:rPr>
      </w:pPr>
      <w:proofErr w:type="spellStart"/>
      <w:r w:rsidRPr="00C02393">
        <w:rPr>
          <w:color w:val="4472C4" w:themeColor="accent1"/>
        </w:rPr>
        <w:t>older_roster</w:t>
      </w:r>
      <w:proofErr w:type="spellEnd"/>
      <w:r w:rsidRPr="00C02393">
        <w:rPr>
          <w:color w:val="4472C4" w:themeColor="accent1"/>
        </w:rPr>
        <w:t xml:space="preserve"> &lt;- roster[ , older_than_19_mask]</w:t>
      </w:r>
    </w:p>
    <w:p w14:paraId="60D729BC" w14:textId="2CF33CE4" w:rsidR="00C02393" w:rsidRPr="00C02393" w:rsidRDefault="00C02393" w:rsidP="00C02393">
      <w:pPr>
        <w:pStyle w:val="NormalWeb"/>
        <w:spacing w:line="360" w:lineRule="auto"/>
        <w:ind w:left="1080"/>
        <w:rPr>
          <w:color w:val="4472C4" w:themeColor="accent1"/>
        </w:rPr>
      </w:pPr>
      <w:r w:rsidRPr="00C02393">
        <w:rPr>
          <w:color w:val="4472C4" w:themeColor="accent1"/>
        </w:rPr>
        <w:t xml:space="preserve">The above creates a new </w:t>
      </w:r>
      <w:proofErr w:type="spellStart"/>
      <w:r w:rsidRPr="00C02393">
        <w:rPr>
          <w:color w:val="4472C4" w:themeColor="accent1"/>
        </w:rPr>
        <w:t>dataframe</w:t>
      </w:r>
      <w:proofErr w:type="spellEnd"/>
      <w:r w:rsidRPr="00C02393">
        <w:rPr>
          <w:color w:val="4472C4" w:themeColor="accent1"/>
        </w:rPr>
        <w:t xml:space="preserve">  with just the data from “Colin” and “Sabrina” rows, and excludes the row with “Karla”, because she is not over 19. This is done using the mask created in part a.  </w:t>
      </w:r>
    </w:p>
    <w:sectPr w:rsidR="00C02393" w:rsidRPr="00C02393" w:rsidSect="00955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6605B3"/>
    <w:multiLevelType w:val="hybridMultilevel"/>
    <w:tmpl w:val="008443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70C7CD1"/>
    <w:multiLevelType w:val="hybridMultilevel"/>
    <w:tmpl w:val="B3B0F9A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77945145">
    <w:abstractNumId w:val="0"/>
  </w:num>
  <w:num w:numId="2" w16cid:durableId="724059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6A2"/>
    <w:rsid w:val="00025FB8"/>
    <w:rsid w:val="00087EBA"/>
    <w:rsid w:val="000A4F1F"/>
    <w:rsid w:val="000F4DB2"/>
    <w:rsid w:val="00104CC0"/>
    <w:rsid w:val="001847DB"/>
    <w:rsid w:val="00237694"/>
    <w:rsid w:val="002C087B"/>
    <w:rsid w:val="002C0CF1"/>
    <w:rsid w:val="003924A2"/>
    <w:rsid w:val="003B3779"/>
    <w:rsid w:val="00440708"/>
    <w:rsid w:val="00444324"/>
    <w:rsid w:val="00492AD3"/>
    <w:rsid w:val="005813F0"/>
    <w:rsid w:val="00587A63"/>
    <w:rsid w:val="006A6DBB"/>
    <w:rsid w:val="00706661"/>
    <w:rsid w:val="007C5A43"/>
    <w:rsid w:val="007D0F11"/>
    <w:rsid w:val="007F06A2"/>
    <w:rsid w:val="007F6EE2"/>
    <w:rsid w:val="008548C2"/>
    <w:rsid w:val="008D1E54"/>
    <w:rsid w:val="009555C0"/>
    <w:rsid w:val="009D248E"/>
    <w:rsid w:val="00A0482D"/>
    <w:rsid w:val="00A9181C"/>
    <w:rsid w:val="00C02393"/>
    <w:rsid w:val="00C21D95"/>
    <w:rsid w:val="00C8504A"/>
    <w:rsid w:val="00D04F24"/>
    <w:rsid w:val="00D85F0B"/>
    <w:rsid w:val="00E1342B"/>
    <w:rsid w:val="00E50771"/>
    <w:rsid w:val="00F046FB"/>
    <w:rsid w:val="00F05A93"/>
    <w:rsid w:val="00F24134"/>
    <w:rsid w:val="00F26920"/>
    <w:rsid w:val="00F463A5"/>
    <w:rsid w:val="00F759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DD0FCE0"/>
  <w15:chartTrackingRefBased/>
  <w15:docId w15:val="{1BA426EB-B192-BF43-9C1E-64145D040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482D"/>
    <w:rPr>
      <w:color w:val="0563C1" w:themeColor="hyperlink"/>
      <w:u w:val="single"/>
    </w:rPr>
  </w:style>
  <w:style w:type="character" w:styleId="UnresolvedMention">
    <w:name w:val="Unresolved Mention"/>
    <w:basedOn w:val="DefaultParagraphFont"/>
    <w:uiPriority w:val="99"/>
    <w:semiHidden/>
    <w:unhideWhenUsed/>
    <w:rsid w:val="00A0482D"/>
    <w:rPr>
      <w:color w:val="605E5C"/>
      <w:shd w:val="clear" w:color="auto" w:fill="E1DFDD"/>
    </w:rPr>
  </w:style>
  <w:style w:type="paragraph" w:styleId="NormalWeb">
    <w:name w:val="Normal (Web)"/>
    <w:basedOn w:val="Normal"/>
    <w:uiPriority w:val="99"/>
    <w:unhideWhenUsed/>
    <w:rsid w:val="00D04F24"/>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D04F24"/>
    <w:rPr>
      <w:color w:val="954F72" w:themeColor="followedHyperlink"/>
      <w:u w:val="single"/>
    </w:rPr>
  </w:style>
  <w:style w:type="table" w:styleId="TableGrid">
    <w:name w:val="Table Grid"/>
    <w:basedOn w:val="TableNormal"/>
    <w:uiPriority w:val="39"/>
    <w:rsid w:val="007D0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798">
      <w:bodyDiv w:val="1"/>
      <w:marLeft w:val="0"/>
      <w:marRight w:val="0"/>
      <w:marTop w:val="0"/>
      <w:marBottom w:val="0"/>
      <w:divBdr>
        <w:top w:val="none" w:sz="0" w:space="0" w:color="auto"/>
        <w:left w:val="none" w:sz="0" w:space="0" w:color="auto"/>
        <w:bottom w:val="none" w:sz="0" w:space="0" w:color="auto"/>
        <w:right w:val="none" w:sz="0" w:space="0" w:color="auto"/>
      </w:divBdr>
    </w:div>
    <w:div w:id="24970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10</Pages>
  <Words>2016</Words>
  <Characters>11495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Yeo</dc:creator>
  <cp:keywords/>
  <dc:description/>
  <cp:lastModifiedBy>Colin Yeo</cp:lastModifiedBy>
  <cp:revision>30</cp:revision>
  <dcterms:created xsi:type="dcterms:W3CDTF">2022-10-15T01:03:00Z</dcterms:created>
  <dcterms:modified xsi:type="dcterms:W3CDTF">2022-10-16T00:59:00Z</dcterms:modified>
</cp:coreProperties>
</file>