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FC" w:rsidRPr="004A47D4" w:rsidRDefault="00BC48FC" w:rsidP="00BC48FC">
      <w:pPr>
        <w:widowControl/>
        <w:tabs>
          <w:tab w:val="left" w:pos="6775"/>
        </w:tabs>
        <w:rPr>
          <w:rFonts w:ascii="標楷體" w:eastAsia="標楷體" w:hAnsi="標楷體" w:cs="新細明體"/>
          <w:b/>
          <w:bCs/>
          <w:kern w:val="0"/>
        </w:rPr>
      </w:pPr>
      <w:r w:rsidRPr="005E4CB2">
        <w:rPr>
          <w:rFonts w:ascii="標楷體" w:eastAsia="標楷體" w:hAnsi="標楷體" w:cs="新細明體" w:hint="eastAsia"/>
          <w:b/>
          <w:bCs/>
          <w:kern w:val="0"/>
        </w:rPr>
        <w:t>一、</w:t>
      </w:r>
      <w:r>
        <w:rPr>
          <w:rFonts w:ascii="標楷體" w:eastAsia="標楷體" w:hAnsi="標楷體" w:cs="新細明體"/>
          <w:b/>
          <w:bCs/>
          <w:kern w:val="0"/>
        </w:rPr>
        <w:t>內部重大資訊處理作業</w:t>
      </w:r>
      <w:r>
        <w:rPr>
          <w:rFonts w:ascii="標楷體" w:eastAsia="標楷體" w:hAnsi="標楷體" w:cs="新細明體" w:hint="eastAsia"/>
          <w:b/>
          <w:bCs/>
          <w:kern w:val="0"/>
        </w:rPr>
        <w:t xml:space="preserve">                              </w:t>
      </w:r>
      <w:bookmarkStart w:id="0" w:name="_GoBack"/>
      <w:bookmarkEnd w:id="0"/>
    </w:p>
    <w:p w:rsidR="00BC48FC" w:rsidRPr="004A47D4"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新細明體"/>
          <w:kern w:val="0"/>
        </w:rPr>
      </w:pPr>
    </w:p>
    <w:p w:rsidR="00BC48FC" w:rsidRPr="00506335" w:rsidRDefault="00BC48FC" w:rsidP="00BC48FC">
      <w:pPr>
        <w:pStyle w:val="2"/>
        <w:numPr>
          <w:ilvl w:val="0"/>
          <w:numId w:val="1"/>
        </w:numPr>
        <w:adjustRightInd w:val="0"/>
        <w:snapToGrid w:val="0"/>
        <w:spacing w:before="0" w:after="0"/>
        <w:ind w:left="961" w:hangingChars="400" w:hanging="961"/>
        <w:jc w:val="both"/>
        <w:rPr>
          <w:rFonts w:ascii="標楷體" w:eastAsia="標楷體" w:hAnsi="標楷體"/>
          <w:color w:val="000000"/>
          <w:lang w:eastAsia="zh-TW"/>
        </w:rPr>
      </w:pPr>
      <w:r w:rsidRPr="00506335">
        <w:rPr>
          <w:rFonts w:ascii="標楷體" w:eastAsia="標楷體" w:hAnsi="標楷體" w:hint="eastAsia"/>
          <w:color w:val="000000"/>
          <w:lang w:eastAsia="zh-TW"/>
        </w:rPr>
        <w:t>（本作業程序之目的）</w:t>
      </w:r>
    </w:p>
    <w:p w:rsidR="00BC48FC" w:rsidRPr="00506335" w:rsidRDefault="00BC48FC" w:rsidP="00BC48FC">
      <w:pPr>
        <w:ind w:firstLine="480"/>
        <w:rPr>
          <w:rFonts w:ascii="標楷體" w:eastAsia="標楷體" w:hAnsi="標楷體"/>
          <w:caps/>
          <w:color w:val="000000"/>
        </w:rPr>
      </w:pPr>
      <w:r w:rsidRPr="00506335">
        <w:rPr>
          <w:rFonts w:ascii="標楷體" w:eastAsia="標楷體" w:hAnsi="標楷體" w:hint="eastAsia"/>
          <w:caps/>
          <w:color w:val="000000"/>
        </w:rPr>
        <w:t>為建立本公司良好之內部重大資訊處理及揭露機制，避免資訊不當洩漏，並確保本公司對外界發表資訊之一致性與正確性，特制定本作業程序，以資遵循。</w:t>
      </w:r>
    </w:p>
    <w:p w:rsidR="00BC48FC" w:rsidRPr="00506335" w:rsidRDefault="00BC48FC" w:rsidP="00BC48FC">
      <w:pPr>
        <w:ind w:firstLine="480"/>
        <w:rPr>
          <w:rFonts w:ascii="標楷體" w:eastAsia="標楷體" w:hAnsi="標楷體"/>
          <w:caps/>
          <w:color w:val="000000"/>
        </w:rPr>
      </w:pPr>
    </w:p>
    <w:p w:rsidR="00BC48FC" w:rsidRPr="00506335" w:rsidRDefault="00BC48FC" w:rsidP="00BC48FC">
      <w:pPr>
        <w:pStyle w:val="2"/>
        <w:numPr>
          <w:ilvl w:val="0"/>
          <w:numId w:val="1"/>
        </w:numPr>
        <w:adjustRightInd w:val="0"/>
        <w:snapToGrid w:val="0"/>
        <w:spacing w:before="0" w:after="0"/>
        <w:jc w:val="both"/>
        <w:rPr>
          <w:rFonts w:ascii="標楷體" w:eastAsia="標楷體" w:hAnsi="標楷體"/>
          <w:color w:val="000000"/>
          <w:lang w:eastAsia="zh-TW"/>
        </w:rPr>
      </w:pPr>
      <w:r w:rsidRPr="00506335">
        <w:rPr>
          <w:rFonts w:ascii="標楷體" w:eastAsia="標楷體" w:hAnsi="標楷體" w:hint="eastAsia"/>
          <w:color w:val="000000"/>
          <w:lang w:eastAsia="zh-TW"/>
        </w:rPr>
        <w:t>(內部重大資訊涵蓋範圍)</w:t>
      </w:r>
    </w:p>
    <w:p w:rsidR="00BC48FC" w:rsidRPr="00506335" w:rsidRDefault="00BC48FC" w:rsidP="00BC48FC">
      <w:pPr>
        <w:ind w:firstLine="480"/>
        <w:rPr>
          <w:rFonts w:ascii="標楷體" w:eastAsia="標楷體" w:hAnsi="標楷體"/>
          <w:bCs/>
          <w:color w:val="000000"/>
        </w:rPr>
      </w:pPr>
      <w:r w:rsidRPr="00506335">
        <w:rPr>
          <w:rFonts w:ascii="標楷體" w:eastAsia="標楷體" w:hAnsi="標楷體" w:hint="eastAsia"/>
          <w:color w:val="000000"/>
        </w:rPr>
        <w:t>本作業程序所稱之內部重大資訊及辦理內部重大資訊處理及揭露之依據，係依</w:t>
      </w:r>
      <w:r w:rsidRPr="00506335">
        <w:rPr>
          <w:rFonts w:ascii="標楷體" w:eastAsia="標楷體" w:hAnsi="標楷體" w:hint="eastAsia"/>
          <w:bCs/>
          <w:color w:val="000000"/>
        </w:rPr>
        <w:t>證券交易法及相關法律、命令暨臺灣證券交易所或證券櫃檯買賣中心相關規章認定。</w:t>
      </w:r>
    </w:p>
    <w:p w:rsidR="00BC48FC" w:rsidRPr="00506335" w:rsidRDefault="00BC48FC" w:rsidP="00BC48FC">
      <w:pPr>
        <w:ind w:firstLine="480"/>
        <w:rPr>
          <w:rFonts w:ascii="標楷體" w:eastAsia="標楷體" w:hAnsi="標楷體"/>
          <w:color w:val="000000"/>
        </w:rPr>
      </w:pPr>
    </w:p>
    <w:p w:rsidR="00BC48FC" w:rsidRPr="00506335" w:rsidRDefault="00BC48FC" w:rsidP="00BC48FC">
      <w:pPr>
        <w:pStyle w:val="2"/>
        <w:adjustRightInd w:val="0"/>
        <w:snapToGrid w:val="0"/>
        <w:spacing w:before="0" w:after="0"/>
        <w:jc w:val="both"/>
        <w:rPr>
          <w:rFonts w:ascii="標楷體" w:eastAsia="標楷體" w:hAnsi="標楷體"/>
          <w:bCs/>
          <w:color w:val="000000"/>
          <w:lang w:eastAsia="zh-TW"/>
        </w:rPr>
      </w:pPr>
      <w:r w:rsidRPr="00506335">
        <w:rPr>
          <w:rFonts w:ascii="標楷體" w:eastAsia="標楷體" w:hAnsi="標楷體" w:hint="eastAsia"/>
          <w:bCs/>
          <w:color w:val="000000"/>
          <w:lang w:eastAsia="zh-TW"/>
        </w:rPr>
        <w:t>第三條（適用對象）</w:t>
      </w:r>
    </w:p>
    <w:p w:rsidR="00BC48FC" w:rsidRPr="00506335" w:rsidRDefault="00BC48FC" w:rsidP="00BC48FC">
      <w:pPr>
        <w:autoSpaceDE w:val="0"/>
        <w:autoSpaceDN w:val="0"/>
        <w:adjustRightInd w:val="0"/>
        <w:snapToGrid w:val="0"/>
        <w:ind w:firstLineChars="200" w:firstLine="480"/>
        <w:jc w:val="both"/>
        <w:rPr>
          <w:rFonts w:ascii="標楷體" w:eastAsia="標楷體" w:hAnsi="標楷體"/>
          <w:color w:val="000000"/>
        </w:rPr>
      </w:pPr>
      <w:r w:rsidRPr="00506335">
        <w:rPr>
          <w:rFonts w:ascii="標楷體" w:eastAsia="標楷體" w:hAnsi="標楷體" w:hint="eastAsia"/>
          <w:color w:val="000000"/>
        </w:rPr>
        <w:t>本作業程序適用對象包含本公司之董事、監察人、經理人及受</w:t>
      </w:r>
      <w:proofErr w:type="gramStart"/>
      <w:r w:rsidRPr="00506335">
        <w:rPr>
          <w:rFonts w:ascii="標楷體" w:eastAsia="標楷體" w:hAnsi="標楷體" w:hint="eastAsia"/>
          <w:color w:val="000000"/>
        </w:rPr>
        <w:t>僱</w:t>
      </w:r>
      <w:proofErr w:type="gramEnd"/>
      <w:r w:rsidRPr="00506335">
        <w:rPr>
          <w:rFonts w:ascii="標楷體" w:eastAsia="標楷體" w:hAnsi="標楷體" w:hint="eastAsia"/>
          <w:color w:val="000000"/>
        </w:rPr>
        <w:t>人。</w:t>
      </w:r>
    </w:p>
    <w:p w:rsidR="00BC48FC" w:rsidRPr="00506335" w:rsidRDefault="00BC48FC" w:rsidP="00BC48FC">
      <w:pPr>
        <w:ind w:firstLine="480"/>
        <w:rPr>
          <w:rFonts w:ascii="標楷體" w:eastAsia="標楷體" w:hAnsi="標楷體"/>
          <w:color w:val="000000"/>
        </w:rPr>
      </w:pPr>
      <w:r w:rsidRPr="00506335">
        <w:rPr>
          <w:rFonts w:ascii="標楷體" w:eastAsia="標楷體" w:hAnsi="標楷體" w:hint="eastAsia"/>
          <w:color w:val="000000"/>
        </w:rPr>
        <w:t>其他因身分、職業或控制關係獲悉本公司內部重大資訊之人，本公司應促其遵守本作業程序相關規定。</w:t>
      </w:r>
    </w:p>
    <w:p w:rsidR="00BC48FC" w:rsidRPr="00506335" w:rsidRDefault="00BC48FC" w:rsidP="00BC48FC">
      <w:pPr>
        <w:ind w:firstLine="480"/>
        <w:rPr>
          <w:rFonts w:ascii="標楷體" w:eastAsia="標楷體" w:hAnsi="標楷體"/>
          <w:color w:val="000000"/>
        </w:rPr>
      </w:pPr>
    </w:p>
    <w:p w:rsidR="00BC48FC" w:rsidRPr="00506335" w:rsidRDefault="00BC48FC" w:rsidP="00BC48FC">
      <w:pPr>
        <w:pStyle w:val="2"/>
        <w:adjustRightInd w:val="0"/>
        <w:snapToGrid w:val="0"/>
        <w:spacing w:before="0" w:after="0"/>
        <w:ind w:left="961" w:hangingChars="400" w:hanging="961"/>
        <w:jc w:val="both"/>
        <w:rPr>
          <w:rFonts w:ascii="標楷體" w:eastAsia="標楷體" w:hAnsi="標楷體"/>
          <w:bCs/>
          <w:color w:val="000000"/>
          <w:lang w:eastAsia="zh-TW"/>
        </w:rPr>
      </w:pPr>
      <w:r w:rsidRPr="00506335">
        <w:rPr>
          <w:rFonts w:ascii="標楷體" w:eastAsia="標楷體" w:hAnsi="標楷體" w:hint="eastAsia"/>
          <w:bCs/>
          <w:color w:val="000000"/>
          <w:lang w:eastAsia="zh-TW"/>
        </w:rPr>
        <w:t>第四條（保密防火牆作業-人員）</w:t>
      </w:r>
    </w:p>
    <w:p w:rsidR="00BC48FC" w:rsidRPr="00506335" w:rsidRDefault="00BC48FC" w:rsidP="00BC48FC">
      <w:pPr>
        <w:pStyle w:val="Default"/>
        <w:snapToGrid w:val="0"/>
        <w:ind w:firstLine="482"/>
        <w:jc w:val="both"/>
        <w:rPr>
          <w:rFonts w:ascii="標楷體" w:eastAsia="標楷體" w:hAnsi="標楷體" w:cs="Times New Roman"/>
          <w:b/>
        </w:rPr>
      </w:pPr>
      <w:r w:rsidRPr="00506335">
        <w:rPr>
          <w:rFonts w:ascii="標楷體" w:eastAsia="標楷體" w:hAnsi="標楷體" w:hint="eastAsia"/>
          <w:caps/>
        </w:rPr>
        <w:t>本公司</w:t>
      </w:r>
      <w:r w:rsidRPr="00506335">
        <w:rPr>
          <w:rFonts w:ascii="標楷體" w:eastAsia="標楷體" w:hAnsi="標楷體" w:hint="eastAsia"/>
        </w:rPr>
        <w:t>董事、監察人、經理人及受</w:t>
      </w:r>
      <w:proofErr w:type="gramStart"/>
      <w:r w:rsidRPr="00506335">
        <w:rPr>
          <w:rFonts w:ascii="標楷體" w:eastAsia="標楷體" w:hAnsi="標楷體" w:hint="eastAsia"/>
        </w:rPr>
        <w:t>僱</w:t>
      </w:r>
      <w:proofErr w:type="gramEnd"/>
      <w:r w:rsidRPr="00506335">
        <w:rPr>
          <w:rFonts w:ascii="標楷體" w:eastAsia="標楷體" w:hAnsi="標楷體" w:hint="eastAsia"/>
        </w:rPr>
        <w:t>人</w:t>
      </w:r>
      <w:r w:rsidRPr="00506335">
        <w:rPr>
          <w:rFonts w:ascii="標楷體" w:eastAsia="標楷體" w:hAnsi="標楷體" w:hint="eastAsia"/>
          <w:caps/>
        </w:rPr>
        <w:t>應以善良管理人之注意及忠實義務，本誠實信用原則執行業務，並於</w:t>
      </w:r>
      <w:r w:rsidRPr="00506335">
        <w:rPr>
          <w:rFonts w:ascii="標楷體" w:eastAsia="標楷體" w:hAnsi="標楷體" w:hint="eastAsia"/>
        </w:rPr>
        <w:t>知悉本公司內部重大資訊時，除經授權或依法律規定必須公開外，應負有保密義務，</w:t>
      </w:r>
      <w:r w:rsidRPr="00506335">
        <w:rPr>
          <w:rFonts w:ascii="標楷體" w:eastAsia="標楷體" w:hAnsi="標楷體" w:cs="Times New Roman" w:hint="eastAsia"/>
        </w:rPr>
        <w:t>不得洩露所知悉之內部</w:t>
      </w:r>
      <w:r w:rsidRPr="00506335">
        <w:rPr>
          <w:rFonts w:ascii="標楷體" w:eastAsia="標楷體" w:hAnsi="標楷體" w:hint="eastAsia"/>
        </w:rPr>
        <w:t>重大</w:t>
      </w:r>
      <w:r w:rsidRPr="00506335">
        <w:rPr>
          <w:rFonts w:ascii="標楷體" w:eastAsia="標楷體" w:hAnsi="標楷體" w:cs="Times New Roman" w:hint="eastAsia"/>
        </w:rPr>
        <w:t>資訊予他人。</w:t>
      </w:r>
    </w:p>
    <w:p w:rsidR="00BC48FC" w:rsidRPr="00506335" w:rsidRDefault="00BC48FC" w:rsidP="00BC48FC">
      <w:pPr>
        <w:ind w:firstLine="480"/>
        <w:rPr>
          <w:rFonts w:ascii="標楷體" w:eastAsia="標楷體" w:hAnsi="標楷體" w:cs="Arial"/>
          <w:color w:val="000000"/>
        </w:rPr>
      </w:pPr>
      <w:r w:rsidRPr="00506335">
        <w:rPr>
          <w:rFonts w:ascii="標楷體" w:eastAsia="標楷體" w:hAnsi="標楷體" w:cs="Arial" w:hint="eastAsia"/>
          <w:color w:val="000000"/>
        </w:rPr>
        <w:t>本公司之董事、監察人、經理人及受</w:t>
      </w:r>
      <w:proofErr w:type="gramStart"/>
      <w:r w:rsidRPr="00506335">
        <w:rPr>
          <w:rFonts w:ascii="標楷體" w:eastAsia="標楷體" w:hAnsi="標楷體" w:cs="Arial" w:hint="eastAsia"/>
          <w:color w:val="000000"/>
        </w:rPr>
        <w:t>僱</w:t>
      </w:r>
      <w:proofErr w:type="gramEnd"/>
      <w:r w:rsidRPr="00506335">
        <w:rPr>
          <w:rFonts w:ascii="標楷體" w:eastAsia="標楷體" w:hAnsi="標楷體" w:cs="Arial" w:hint="eastAsia"/>
          <w:color w:val="000000"/>
        </w:rPr>
        <w:t>人不得向知悉本公司內部重大資訊之人探詢或蒐集與個人職務不相關之公司未公開內部重大資訊，對於非因執行業務得知本公司未公開之內部重大資訊亦不得向其他人洩露。</w:t>
      </w:r>
    </w:p>
    <w:p w:rsidR="00BC48FC" w:rsidRPr="00506335" w:rsidRDefault="00BC48FC" w:rsidP="00BC48FC">
      <w:pPr>
        <w:ind w:firstLine="480"/>
        <w:rPr>
          <w:rFonts w:ascii="標楷體" w:eastAsia="標楷體" w:hAnsi="標楷體" w:cs="Arial"/>
          <w:color w:val="000000"/>
        </w:rPr>
      </w:pPr>
    </w:p>
    <w:p w:rsidR="00BC48FC" w:rsidRPr="00506335" w:rsidRDefault="00BC48FC" w:rsidP="00BC48FC">
      <w:pPr>
        <w:pStyle w:val="2"/>
        <w:adjustRightInd w:val="0"/>
        <w:snapToGrid w:val="0"/>
        <w:spacing w:before="0" w:after="0"/>
        <w:ind w:left="961" w:hangingChars="400" w:hanging="961"/>
        <w:jc w:val="both"/>
        <w:rPr>
          <w:rFonts w:ascii="標楷體" w:eastAsia="標楷體" w:hAnsi="標楷體"/>
          <w:bCs/>
          <w:color w:val="000000"/>
          <w:lang w:eastAsia="zh-TW"/>
        </w:rPr>
      </w:pPr>
      <w:r w:rsidRPr="00506335">
        <w:rPr>
          <w:rFonts w:ascii="標楷體" w:eastAsia="標楷體" w:hAnsi="標楷體" w:cs="Arial" w:hint="eastAsia"/>
          <w:color w:val="000000"/>
          <w:lang w:eastAsia="zh-TW"/>
        </w:rPr>
        <w:t>第五條</w:t>
      </w:r>
      <w:r w:rsidRPr="00506335">
        <w:rPr>
          <w:rFonts w:ascii="標楷體" w:eastAsia="標楷體" w:hAnsi="標楷體" w:hint="eastAsia"/>
          <w:bCs/>
          <w:color w:val="000000"/>
          <w:lang w:eastAsia="zh-TW"/>
        </w:rPr>
        <w:t>（保密防火牆之運作）</w:t>
      </w:r>
    </w:p>
    <w:p w:rsidR="00BC48FC" w:rsidRPr="00506335" w:rsidRDefault="00BC48FC" w:rsidP="00BC48FC">
      <w:pPr>
        <w:pStyle w:val="Default"/>
        <w:snapToGrid w:val="0"/>
        <w:ind w:firstLine="482"/>
        <w:jc w:val="both"/>
        <w:rPr>
          <w:rFonts w:ascii="標楷體" w:eastAsia="標楷體" w:hAnsi="標楷體"/>
        </w:rPr>
      </w:pPr>
      <w:r w:rsidRPr="00506335">
        <w:rPr>
          <w:rFonts w:ascii="標楷體" w:eastAsia="標楷體" w:hAnsi="標楷體" w:hint="eastAsia"/>
        </w:rPr>
        <w:t>本公司內部重大資訊書面檔案文件及電子檔案文件之傳送及存放，應由經授權之相關人員處理及保管，並應提醒相關人員注意保密規定。</w:t>
      </w:r>
    </w:p>
    <w:p w:rsidR="00BC48FC" w:rsidRPr="00506335" w:rsidRDefault="00BC48FC" w:rsidP="00BC48FC">
      <w:pPr>
        <w:pStyle w:val="Default"/>
        <w:snapToGrid w:val="0"/>
        <w:ind w:firstLine="482"/>
        <w:jc w:val="both"/>
        <w:rPr>
          <w:rFonts w:ascii="標楷體" w:eastAsia="標楷體" w:hAnsi="標楷體"/>
        </w:rPr>
      </w:pPr>
      <w:r w:rsidRPr="00506335">
        <w:rPr>
          <w:rFonts w:ascii="標楷體" w:eastAsia="標楷體" w:hAnsi="標楷體" w:hint="eastAsia"/>
        </w:rPr>
        <w:t>公司內部重大資訊之檔案文件，應備份保存於安全之處所，並</w:t>
      </w:r>
      <w:proofErr w:type="gramStart"/>
      <w:r w:rsidRPr="00506335">
        <w:rPr>
          <w:rFonts w:ascii="標楷體" w:eastAsia="標楷體" w:hAnsi="標楷體" w:hint="eastAsia"/>
        </w:rPr>
        <w:t>採</w:t>
      </w:r>
      <w:proofErr w:type="gramEnd"/>
      <w:r w:rsidRPr="00506335">
        <w:rPr>
          <w:rFonts w:ascii="標楷體" w:eastAsia="標楷體" w:hAnsi="標楷體" w:hint="eastAsia"/>
        </w:rPr>
        <w:t>行適當防火牆管控措施及定期測試。</w:t>
      </w:r>
    </w:p>
    <w:p w:rsidR="00BC48FC" w:rsidRPr="00506335" w:rsidRDefault="00BC48FC" w:rsidP="00BC48FC">
      <w:pPr>
        <w:pStyle w:val="Default"/>
        <w:snapToGrid w:val="0"/>
        <w:ind w:firstLine="482"/>
        <w:jc w:val="both"/>
        <w:rPr>
          <w:rFonts w:ascii="標楷體" w:eastAsia="標楷體" w:hAnsi="標楷體"/>
        </w:rPr>
      </w:pPr>
    </w:p>
    <w:p w:rsidR="00BC48FC" w:rsidRPr="00F07744" w:rsidRDefault="00BC48FC" w:rsidP="00BC48FC">
      <w:pPr>
        <w:pStyle w:val="2"/>
        <w:adjustRightInd w:val="0"/>
        <w:snapToGrid w:val="0"/>
        <w:spacing w:before="0" w:after="0"/>
        <w:ind w:left="961" w:hangingChars="400" w:hanging="961"/>
        <w:jc w:val="both"/>
        <w:rPr>
          <w:rFonts w:ascii="標楷體" w:eastAsia="標楷體" w:hAnsi="標楷體"/>
          <w:bCs/>
          <w:color w:val="0000FF"/>
          <w:lang w:eastAsia="zh-TW"/>
        </w:rPr>
      </w:pPr>
      <w:r w:rsidRPr="00F07744">
        <w:rPr>
          <w:rFonts w:ascii="標楷體" w:eastAsia="標楷體" w:hAnsi="標楷體" w:cs="Arial" w:hint="eastAsia"/>
          <w:color w:val="0000FF"/>
          <w:lang w:eastAsia="zh-TW"/>
        </w:rPr>
        <w:t>第六條</w:t>
      </w:r>
      <w:r w:rsidRPr="00F07744">
        <w:rPr>
          <w:rFonts w:ascii="標楷體" w:eastAsia="標楷體" w:hAnsi="標楷體" w:hint="eastAsia"/>
          <w:bCs/>
          <w:color w:val="0000FF"/>
          <w:lang w:eastAsia="zh-TW"/>
        </w:rPr>
        <w:t>（禁止買賣措施）</w:t>
      </w:r>
    </w:p>
    <w:p w:rsidR="00BC48FC" w:rsidRDefault="00BC48FC" w:rsidP="00BC48FC">
      <w:pPr>
        <w:pStyle w:val="HTML"/>
        <w:ind w:firstLineChars="200" w:firstLine="480"/>
        <w:rPr>
          <w:rFonts w:ascii="標楷體" w:eastAsia="標楷體" w:hAnsi="標楷體" w:cs="Arial"/>
          <w:color w:val="0000FF"/>
        </w:rPr>
      </w:pPr>
      <w:r w:rsidRPr="00F07744">
        <w:rPr>
          <w:rFonts w:ascii="標楷體" w:eastAsia="標楷體" w:hAnsi="標楷體" w:cs="Arial" w:hint="eastAsia"/>
          <w:color w:val="0000FF"/>
        </w:rPr>
        <w:t>公司相關人員</w:t>
      </w:r>
      <w:r w:rsidRPr="00F07744">
        <w:rPr>
          <w:rFonts w:ascii="標楷體" w:eastAsia="標楷體" w:hAnsi="標楷體" w:cs="Arial"/>
          <w:color w:val="0000FF"/>
        </w:rPr>
        <w:t>獲悉公司有重大影響其股票價格之消息時，</w:t>
      </w:r>
      <w:r w:rsidRPr="00F07744">
        <w:rPr>
          <w:rFonts w:ascii="標楷體" w:eastAsia="標楷體" w:hAnsi="標楷體" w:cs="Arial" w:hint="eastAsia"/>
          <w:color w:val="0000FF"/>
        </w:rPr>
        <w:t>應依</w:t>
      </w:r>
      <w:proofErr w:type="gramStart"/>
      <w:r w:rsidRPr="00F07744">
        <w:rPr>
          <w:rFonts w:ascii="標楷體" w:eastAsia="標楷體" w:hAnsi="標楷體" w:cs="Arial" w:hint="eastAsia"/>
          <w:color w:val="0000FF"/>
        </w:rPr>
        <w:t>証券</w:t>
      </w:r>
      <w:proofErr w:type="gramEnd"/>
      <w:r w:rsidRPr="00F07744">
        <w:rPr>
          <w:rFonts w:ascii="標楷體" w:eastAsia="標楷體" w:hAnsi="標楷體" w:cs="Arial" w:hint="eastAsia"/>
          <w:color w:val="0000FF"/>
        </w:rPr>
        <w:t>交易法157-1條之規定，</w:t>
      </w:r>
      <w:r w:rsidRPr="00F07744">
        <w:rPr>
          <w:rFonts w:ascii="標楷體" w:eastAsia="標楷體" w:hAnsi="標楷體" w:cs="Arial"/>
          <w:color w:val="0000FF"/>
        </w:rPr>
        <w:t>在該消息未公開或公開後十二小時內，不得對</w:t>
      </w:r>
      <w:r w:rsidRPr="00F07744">
        <w:rPr>
          <w:rFonts w:ascii="標楷體" w:eastAsia="標楷體" w:hAnsi="標楷體" w:cs="Arial" w:hint="eastAsia"/>
          <w:color w:val="0000FF"/>
        </w:rPr>
        <w:t>本</w:t>
      </w:r>
      <w:r w:rsidRPr="00F07744">
        <w:rPr>
          <w:rFonts w:ascii="標楷體" w:eastAsia="標楷體" w:hAnsi="標楷體" w:cs="Arial"/>
          <w:color w:val="0000FF"/>
        </w:rPr>
        <w:t>公司之上市或在證券商營業處所買賣之股票或其他具有股權性質之有價證券買入或賣出</w:t>
      </w:r>
      <w:r w:rsidRPr="00F07744">
        <w:rPr>
          <w:rFonts w:ascii="標楷體" w:eastAsia="標楷體" w:hAnsi="標楷體" w:cs="Arial" w:hint="eastAsia"/>
          <w:color w:val="0000FF"/>
        </w:rPr>
        <w:t>。</w:t>
      </w:r>
    </w:p>
    <w:p w:rsidR="00BC48FC" w:rsidRPr="00506335" w:rsidRDefault="00BC48FC" w:rsidP="00BC48FC">
      <w:pPr>
        <w:pStyle w:val="HTML"/>
        <w:ind w:firstLineChars="200" w:firstLine="480"/>
        <w:rPr>
          <w:rFonts w:ascii="標楷體" w:eastAsia="標楷體" w:hAnsi="標楷體" w:cs="Arial"/>
          <w:color w:val="000000"/>
        </w:rPr>
      </w:pPr>
    </w:p>
    <w:p w:rsidR="00BC48FC" w:rsidRPr="00506335" w:rsidRDefault="00BC48FC" w:rsidP="00BC48FC">
      <w:pPr>
        <w:pStyle w:val="2"/>
        <w:adjustRightInd w:val="0"/>
        <w:snapToGrid w:val="0"/>
        <w:spacing w:before="0" w:after="0"/>
        <w:ind w:left="960" w:hanging="960"/>
        <w:jc w:val="both"/>
        <w:rPr>
          <w:rFonts w:ascii="標楷體" w:eastAsia="標楷體" w:hAnsi="標楷體"/>
          <w:color w:val="000000"/>
          <w:lang w:eastAsia="zh-TW"/>
        </w:rPr>
      </w:pPr>
      <w:r w:rsidRPr="00506335">
        <w:rPr>
          <w:rFonts w:ascii="標楷體" w:eastAsia="標楷體" w:hAnsi="標楷體" w:hint="eastAsia"/>
          <w:color w:val="000000"/>
          <w:lang w:eastAsia="zh-TW"/>
        </w:rPr>
        <w:t>第七條（外部機構或人員保密作業）</w:t>
      </w:r>
    </w:p>
    <w:p w:rsidR="00BC48FC" w:rsidRPr="00506335" w:rsidRDefault="00BC48FC" w:rsidP="00BC48FC">
      <w:pPr>
        <w:ind w:firstLineChars="200" w:firstLine="480"/>
        <w:jc w:val="both"/>
        <w:rPr>
          <w:rFonts w:ascii="標楷體" w:eastAsia="標楷體" w:hAnsi="標楷體" w:cs="Arial"/>
          <w:color w:val="000000"/>
        </w:rPr>
      </w:pPr>
      <w:r w:rsidRPr="00506335">
        <w:rPr>
          <w:rFonts w:ascii="標楷體" w:eastAsia="標楷體" w:hAnsi="標楷體" w:cs="Arial" w:hint="eastAsia"/>
          <w:color w:val="000000"/>
        </w:rPr>
        <w:t>本公司以外之機構或人員因參與本公司併購、重要備忘錄、策略聯盟、其他業務合作計畫或重要契約之簽訂，應簽署保密協定，並不得洩露所知悉之本公司內部重大資訊予他人。</w:t>
      </w:r>
    </w:p>
    <w:p w:rsidR="00BC48FC" w:rsidRPr="00506335" w:rsidRDefault="00BC48FC" w:rsidP="00BC48FC">
      <w:pPr>
        <w:ind w:firstLineChars="200" w:firstLine="480"/>
        <w:jc w:val="both"/>
        <w:rPr>
          <w:rFonts w:ascii="標楷體" w:eastAsia="標楷體" w:hAnsi="標楷體" w:cs="Arial"/>
          <w:color w:val="000000"/>
        </w:rPr>
      </w:pPr>
    </w:p>
    <w:p w:rsidR="00BC48FC" w:rsidRPr="00506335" w:rsidRDefault="00BC48FC" w:rsidP="00BC48FC">
      <w:pPr>
        <w:pStyle w:val="2"/>
        <w:adjustRightInd w:val="0"/>
        <w:snapToGrid w:val="0"/>
        <w:spacing w:before="0" w:after="0"/>
        <w:ind w:left="961" w:hangingChars="400" w:hanging="961"/>
        <w:jc w:val="both"/>
        <w:rPr>
          <w:rFonts w:ascii="標楷體" w:eastAsia="標楷體" w:hAnsi="標楷體"/>
          <w:bCs/>
          <w:color w:val="000000"/>
          <w:lang w:eastAsia="zh-TW"/>
        </w:rPr>
      </w:pPr>
      <w:r w:rsidRPr="00506335">
        <w:rPr>
          <w:rFonts w:ascii="標楷體" w:eastAsia="標楷體" w:hAnsi="標楷體" w:hint="eastAsia"/>
          <w:bCs/>
          <w:color w:val="000000"/>
          <w:lang w:eastAsia="zh-TW"/>
        </w:rPr>
        <w:t>第八條（內部</w:t>
      </w:r>
      <w:r w:rsidRPr="00506335">
        <w:rPr>
          <w:rFonts w:ascii="標楷體" w:eastAsia="標楷體" w:hAnsi="標楷體" w:hint="eastAsia"/>
          <w:color w:val="000000"/>
          <w:lang w:eastAsia="zh-TW"/>
        </w:rPr>
        <w:t>重大</w:t>
      </w:r>
      <w:r w:rsidRPr="00506335">
        <w:rPr>
          <w:rFonts w:ascii="標楷體" w:eastAsia="標楷體" w:hAnsi="標楷體" w:hint="eastAsia"/>
          <w:bCs/>
          <w:color w:val="000000"/>
          <w:lang w:eastAsia="zh-TW"/>
        </w:rPr>
        <w:t>資訊揭露之原則）</w:t>
      </w:r>
    </w:p>
    <w:p w:rsidR="00BC48FC" w:rsidRPr="00506335" w:rsidRDefault="00BC48FC" w:rsidP="00BC48FC">
      <w:pPr>
        <w:autoSpaceDE w:val="0"/>
        <w:autoSpaceDN w:val="0"/>
        <w:adjustRightInd w:val="0"/>
        <w:snapToGrid w:val="0"/>
        <w:ind w:firstLineChars="200" w:firstLine="480"/>
        <w:jc w:val="both"/>
        <w:rPr>
          <w:rFonts w:ascii="標楷體" w:eastAsia="標楷體" w:hAnsi="標楷體"/>
          <w:bCs/>
          <w:color w:val="000000"/>
        </w:rPr>
      </w:pPr>
      <w:r w:rsidRPr="00506335">
        <w:rPr>
          <w:rFonts w:ascii="標楷體" w:eastAsia="標楷體" w:hAnsi="標楷體" w:hint="eastAsia"/>
          <w:bCs/>
          <w:color w:val="000000"/>
        </w:rPr>
        <w:lastRenderedPageBreak/>
        <w:t>本公司對外揭露內部</w:t>
      </w:r>
      <w:r w:rsidRPr="00506335">
        <w:rPr>
          <w:rFonts w:ascii="標楷體" w:eastAsia="標楷體" w:hAnsi="標楷體" w:hint="eastAsia"/>
          <w:color w:val="000000"/>
        </w:rPr>
        <w:t>重大</w:t>
      </w:r>
      <w:r w:rsidRPr="00506335">
        <w:rPr>
          <w:rFonts w:ascii="標楷體" w:eastAsia="標楷體" w:hAnsi="標楷體" w:hint="eastAsia"/>
          <w:bCs/>
          <w:color w:val="000000"/>
        </w:rPr>
        <w:t>資訊應秉持下列原則：</w:t>
      </w:r>
    </w:p>
    <w:p w:rsidR="00BC48FC" w:rsidRPr="00506335" w:rsidRDefault="00BC48FC" w:rsidP="00BC48FC">
      <w:pPr>
        <w:numPr>
          <w:ilvl w:val="0"/>
          <w:numId w:val="2"/>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資訊之揭露應正確、完整且即時。</w:t>
      </w:r>
    </w:p>
    <w:p w:rsidR="00BC48FC" w:rsidRPr="00506335" w:rsidRDefault="00BC48FC" w:rsidP="00BC48FC">
      <w:pPr>
        <w:numPr>
          <w:ilvl w:val="0"/>
          <w:numId w:val="2"/>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資訊之揭露應有依據。</w:t>
      </w:r>
    </w:p>
    <w:p w:rsidR="00BC48FC" w:rsidRPr="00506335" w:rsidRDefault="00BC48FC" w:rsidP="00BC48FC">
      <w:pPr>
        <w:numPr>
          <w:ilvl w:val="0"/>
          <w:numId w:val="2"/>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資訊應公平揭露。</w:t>
      </w:r>
    </w:p>
    <w:p w:rsidR="00BC48FC" w:rsidRPr="00506335" w:rsidRDefault="00BC48FC" w:rsidP="00BC48FC">
      <w:pPr>
        <w:autoSpaceDE w:val="0"/>
        <w:autoSpaceDN w:val="0"/>
        <w:adjustRightInd w:val="0"/>
        <w:snapToGrid w:val="0"/>
        <w:jc w:val="both"/>
        <w:rPr>
          <w:rFonts w:ascii="標楷體" w:eastAsia="標楷體" w:hAnsi="標楷體"/>
          <w:bCs/>
          <w:color w:val="000000"/>
        </w:rPr>
      </w:pPr>
    </w:p>
    <w:p w:rsidR="00BC48FC" w:rsidRPr="00506335" w:rsidRDefault="00BC48FC" w:rsidP="00BC48FC">
      <w:pPr>
        <w:pStyle w:val="2"/>
        <w:adjustRightInd w:val="0"/>
        <w:snapToGrid w:val="0"/>
        <w:spacing w:before="0" w:after="0"/>
        <w:ind w:left="961" w:hangingChars="400" w:hanging="961"/>
        <w:jc w:val="both"/>
        <w:rPr>
          <w:rFonts w:ascii="標楷體" w:eastAsia="標楷體" w:hAnsi="標楷體"/>
          <w:bCs/>
          <w:color w:val="000000"/>
          <w:lang w:eastAsia="zh-TW"/>
        </w:rPr>
      </w:pPr>
      <w:r w:rsidRPr="00506335">
        <w:rPr>
          <w:rFonts w:ascii="標楷體" w:eastAsia="標楷體" w:hAnsi="標楷體" w:hint="eastAsia"/>
          <w:bCs/>
          <w:color w:val="000000"/>
          <w:lang w:eastAsia="zh-TW"/>
        </w:rPr>
        <w:t>第九條（發言人制度之落實）</w:t>
      </w:r>
    </w:p>
    <w:p w:rsidR="00BC48FC" w:rsidRPr="00506335" w:rsidRDefault="00BC48FC" w:rsidP="00BC48FC">
      <w:pPr>
        <w:pStyle w:val="2"/>
        <w:adjustRightInd w:val="0"/>
        <w:snapToGrid w:val="0"/>
        <w:spacing w:before="0" w:after="0"/>
        <w:ind w:firstLineChars="200" w:firstLine="480"/>
        <w:jc w:val="both"/>
        <w:rPr>
          <w:rFonts w:ascii="標楷體" w:eastAsia="標楷體" w:hAnsi="標楷體"/>
          <w:b w:val="0"/>
          <w:bCs/>
          <w:color w:val="000000"/>
          <w:lang w:eastAsia="zh-TW"/>
        </w:rPr>
      </w:pPr>
      <w:r w:rsidRPr="00506335">
        <w:rPr>
          <w:rFonts w:ascii="標楷體" w:eastAsia="標楷體" w:hAnsi="標楷體" w:hint="eastAsia"/>
          <w:b w:val="0"/>
          <w:bCs/>
          <w:color w:val="000000"/>
          <w:lang w:eastAsia="zh-TW"/>
        </w:rPr>
        <w:t>本公司內部重大資訊之揭露，除法律或法令另有規定外，應由本公司發言人或代理發言人處理，並應確認代理順序；必要時，得由本公司負責人直接負責處理。</w:t>
      </w:r>
    </w:p>
    <w:p w:rsidR="00BC48FC" w:rsidRPr="00506335" w:rsidRDefault="00BC48FC" w:rsidP="00BC48FC">
      <w:pPr>
        <w:ind w:firstLineChars="200" w:firstLine="480"/>
        <w:jc w:val="both"/>
        <w:rPr>
          <w:rFonts w:ascii="標楷體" w:eastAsia="標楷體" w:hAnsi="標楷體"/>
          <w:bCs/>
          <w:color w:val="000000"/>
        </w:rPr>
      </w:pPr>
      <w:r w:rsidRPr="00506335">
        <w:rPr>
          <w:rFonts w:ascii="標楷體" w:eastAsia="標楷體" w:hAnsi="標楷體" w:hint="eastAsia"/>
          <w:bCs/>
          <w:color w:val="000000"/>
        </w:rPr>
        <w:t>本公司發言人及代理發言人之發言內容應以本公司授權之範圍為限，且除本公司負責人、發言人及代理發言人外，本公司人員，非經授權不得對外揭露內部重大資訊。</w:t>
      </w:r>
    </w:p>
    <w:p w:rsidR="00BC48FC" w:rsidRPr="00506335" w:rsidRDefault="00BC48FC" w:rsidP="00BC48FC">
      <w:pPr>
        <w:ind w:firstLineChars="200" w:firstLine="480"/>
        <w:jc w:val="both"/>
        <w:rPr>
          <w:rFonts w:ascii="標楷體" w:eastAsia="標楷體" w:hAnsi="標楷體"/>
          <w:bCs/>
          <w:color w:val="000000"/>
        </w:rPr>
      </w:pPr>
    </w:p>
    <w:p w:rsidR="00BC48FC" w:rsidRPr="00506335" w:rsidRDefault="00BC48FC" w:rsidP="00BC48FC">
      <w:pPr>
        <w:pStyle w:val="2"/>
        <w:adjustRightInd w:val="0"/>
        <w:snapToGrid w:val="0"/>
        <w:spacing w:before="0" w:after="0"/>
        <w:ind w:left="961" w:hangingChars="400" w:hanging="961"/>
        <w:jc w:val="both"/>
        <w:rPr>
          <w:rFonts w:ascii="標楷體" w:eastAsia="標楷體" w:hAnsi="標楷體"/>
          <w:bCs/>
          <w:color w:val="000000"/>
          <w:lang w:eastAsia="zh-TW"/>
        </w:rPr>
      </w:pPr>
      <w:r w:rsidRPr="00506335">
        <w:rPr>
          <w:rFonts w:ascii="標楷體" w:eastAsia="標楷體" w:hAnsi="標楷體" w:hint="eastAsia"/>
          <w:bCs/>
          <w:color w:val="000000"/>
          <w:lang w:eastAsia="zh-TW"/>
        </w:rPr>
        <w:t>第十條（內部</w:t>
      </w:r>
      <w:r w:rsidRPr="00506335">
        <w:rPr>
          <w:rFonts w:ascii="標楷體" w:eastAsia="標楷體" w:hAnsi="標楷體" w:hint="eastAsia"/>
          <w:color w:val="000000"/>
          <w:lang w:eastAsia="zh-TW"/>
        </w:rPr>
        <w:t>重大</w:t>
      </w:r>
      <w:r w:rsidRPr="00506335">
        <w:rPr>
          <w:rFonts w:ascii="標楷體" w:eastAsia="標楷體" w:hAnsi="標楷體" w:hint="eastAsia"/>
          <w:bCs/>
          <w:color w:val="000000"/>
          <w:lang w:eastAsia="zh-TW"/>
        </w:rPr>
        <w:t>資訊揭露之記錄）</w:t>
      </w:r>
    </w:p>
    <w:p w:rsidR="00BC48FC" w:rsidRPr="00506335" w:rsidRDefault="00BC48FC" w:rsidP="00BC48FC">
      <w:pPr>
        <w:autoSpaceDE w:val="0"/>
        <w:autoSpaceDN w:val="0"/>
        <w:adjustRightInd w:val="0"/>
        <w:snapToGrid w:val="0"/>
        <w:ind w:firstLine="480"/>
        <w:jc w:val="both"/>
        <w:rPr>
          <w:rFonts w:ascii="標楷體" w:eastAsia="標楷體" w:hAnsi="標楷體"/>
          <w:bCs/>
          <w:color w:val="000000"/>
        </w:rPr>
      </w:pPr>
      <w:r w:rsidRPr="00506335">
        <w:rPr>
          <w:rFonts w:ascii="標楷體" w:eastAsia="標楷體" w:hAnsi="標楷體" w:hint="eastAsia"/>
          <w:bCs/>
          <w:color w:val="000000"/>
        </w:rPr>
        <w:t>公司對外之資訊揭露應留存下列紀錄：</w:t>
      </w:r>
    </w:p>
    <w:p w:rsidR="00BC48FC" w:rsidRPr="00506335" w:rsidRDefault="00BC48FC" w:rsidP="00BC48FC">
      <w:pPr>
        <w:numPr>
          <w:ilvl w:val="0"/>
          <w:numId w:val="3"/>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資訊揭露之人員、日期與時間。</w:t>
      </w:r>
    </w:p>
    <w:p w:rsidR="00BC48FC" w:rsidRPr="00506335" w:rsidRDefault="00BC48FC" w:rsidP="00BC48FC">
      <w:pPr>
        <w:numPr>
          <w:ilvl w:val="0"/>
          <w:numId w:val="3"/>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資訊揭露之方式。</w:t>
      </w:r>
    </w:p>
    <w:p w:rsidR="00BC48FC" w:rsidRPr="00506335" w:rsidRDefault="00BC48FC" w:rsidP="00BC48FC">
      <w:pPr>
        <w:numPr>
          <w:ilvl w:val="0"/>
          <w:numId w:val="3"/>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揭露之資訊內容。</w:t>
      </w:r>
    </w:p>
    <w:p w:rsidR="00BC48FC" w:rsidRPr="00506335" w:rsidRDefault="00BC48FC" w:rsidP="00BC48FC">
      <w:pPr>
        <w:numPr>
          <w:ilvl w:val="0"/>
          <w:numId w:val="3"/>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交付之書面資料內容。</w:t>
      </w:r>
    </w:p>
    <w:p w:rsidR="00BC48FC" w:rsidRPr="00506335" w:rsidRDefault="00BC48FC" w:rsidP="00BC48FC">
      <w:pPr>
        <w:numPr>
          <w:ilvl w:val="0"/>
          <w:numId w:val="3"/>
        </w:numPr>
        <w:autoSpaceDE w:val="0"/>
        <w:autoSpaceDN w:val="0"/>
        <w:adjustRightInd w:val="0"/>
        <w:snapToGrid w:val="0"/>
        <w:ind w:left="482" w:hanging="482"/>
        <w:jc w:val="both"/>
        <w:rPr>
          <w:rFonts w:ascii="標楷體" w:eastAsia="標楷體" w:hAnsi="標楷體"/>
          <w:bCs/>
          <w:color w:val="000000"/>
        </w:rPr>
      </w:pPr>
      <w:r w:rsidRPr="00506335">
        <w:rPr>
          <w:rFonts w:ascii="標楷體" w:eastAsia="標楷體" w:hAnsi="標楷體" w:hint="eastAsia"/>
          <w:bCs/>
          <w:color w:val="000000"/>
        </w:rPr>
        <w:t>其他相關資訊。</w:t>
      </w:r>
    </w:p>
    <w:p w:rsidR="00BC48FC" w:rsidRPr="00506335" w:rsidRDefault="00BC48FC" w:rsidP="00BC48FC">
      <w:pPr>
        <w:autoSpaceDE w:val="0"/>
        <w:autoSpaceDN w:val="0"/>
        <w:adjustRightInd w:val="0"/>
        <w:snapToGrid w:val="0"/>
        <w:ind w:firstLine="480"/>
        <w:jc w:val="both"/>
        <w:rPr>
          <w:rFonts w:ascii="標楷體" w:eastAsia="標楷體" w:hAnsi="標楷體"/>
          <w:bCs/>
          <w:color w:val="000000"/>
        </w:rPr>
      </w:pPr>
    </w:p>
    <w:p w:rsidR="00BC48FC" w:rsidRPr="00506335" w:rsidRDefault="00BC48FC" w:rsidP="00BC48FC">
      <w:pPr>
        <w:pStyle w:val="2"/>
        <w:adjustRightInd w:val="0"/>
        <w:snapToGrid w:val="0"/>
        <w:spacing w:before="0" w:after="0"/>
        <w:ind w:left="961" w:hangingChars="400" w:hanging="961"/>
        <w:jc w:val="both"/>
        <w:rPr>
          <w:rFonts w:ascii="標楷體" w:eastAsia="標楷體" w:hAnsi="標楷體"/>
          <w:bCs/>
          <w:color w:val="000000"/>
          <w:lang w:eastAsia="zh-TW"/>
        </w:rPr>
      </w:pPr>
      <w:r w:rsidRPr="00506335">
        <w:rPr>
          <w:rFonts w:ascii="標楷體" w:eastAsia="標楷體" w:hAnsi="標楷體" w:hint="eastAsia"/>
          <w:bCs/>
          <w:color w:val="000000"/>
          <w:lang w:eastAsia="zh-TW"/>
        </w:rPr>
        <w:t>第十一條（對媒體不實報導之回應）</w:t>
      </w:r>
    </w:p>
    <w:p w:rsidR="00BC48FC" w:rsidRPr="00506335" w:rsidRDefault="00BC48FC" w:rsidP="00BC48FC">
      <w:pPr>
        <w:ind w:firstLineChars="200" w:firstLine="480"/>
        <w:jc w:val="both"/>
        <w:rPr>
          <w:rFonts w:ascii="標楷體" w:eastAsia="標楷體" w:hAnsi="標楷體"/>
          <w:bCs/>
          <w:color w:val="000000"/>
        </w:rPr>
      </w:pPr>
      <w:r w:rsidRPr="00506335">
        <w:rPr>
          <w:rFonts w:ascii="標楷體" w:eastAsia="標楷體" w:hAnsi="標楷體" w:hint="eastAsia"/>
          <w:bCs/>
          <w:color w:val="000000"/>
        </w:rPr>
        <w:t>媒體報導之內容，如與本公司揭露之內容不符時，本公司應即於公開資訊觀測站澄清及向該媒體要求更正。</w:t>
      </w:r>
    </w:p>
    <w:p w:rsidR="00BC48FC" w:rsidRPr="00506335" w:rsidRDefault="00BC48FC" w:rsidP="00BC48FC">
      <w:pPr>
        <w:ind w:firstLineChars="200" w:firstLine="480"/>
        <w:jc w:val="both"/>
        <w:rPr>
          <w:rFonts w:ascii="標楷體" w:eastAsia="標楷體" w:hAnsi="標楷體"/>
          <w:bCs/>
          <w:color w:val="000000"/>
        </w:rPr>
      </w:pPr>
    </w:p>
    <w:p w:rsidR="00BC48FC" w:rsidRPr="00F07744" w:rsidRDefault="00BC48FC" w:rsidP="00BC48FC">
      <w:pPr>
        <w:pStyle w:val="2"/>
        <w:adjustRightInd w:val="0"/>
        <w:snapToGrid w:val="0"/>
        <w:spacing w:before="0" w:after="0"/>
        <w:ind w:left="961" w:hangingChars="400" w:hanging="961"/>
        <w:jc w:val="both"/>
        <w:rPr>
          <w:rFonts w:ascii="標楷體" w:eastAsia="標楷體" w:hAnsi="標楷體"/>
          <w:bCs/>
          <w:color w:val="0000FF"/>
          <w:lang w:eastAsia="zh-TW"/>
        </w:rPr>
      </w:pPr>
      <w:r w:rsidRPr="00F07744">
        <w:rPr>
          <w:rFonts w:ascii="標楷體" w:eastAsia="標楷體" w:hAnsi="標楷體" w:hint="eastAsia"/>
          <w:bCs/>
          <w:color w:val="0000FF"/>
          <w:lang w:eastAsia="zh-TW"/>
        </w:rPr>
        <w:t>第十二條（對內部人轉讓股權之申報及控管）</w:t>
      </w:r>
    </w:p>
    <w:p w:rsidR="00BC48FC" w:rsidRPr="00F07744" w:rsidRDefault="00BC48FC" w:rsidP="00BC48FC">
      <w:pPr>
        <w:autoSpaceDE w:val="0"/>
        <w:autoSpaceDN w:val="0"/>
        <w:adjustRightInd w:val="0"/>
        <w:snapToGrid w:val="0"/>
        <w:ind w:firstLine="480"/>
        <w:jc w:val="both"/>
        <w:rPr>
          <w:rFonts w:ascii="標楷體" w:eastAsia="標楷體" w:hAnsi="標楷體"/>
          <w:bCs/>
          <w:color w:val="0000FF"/>
        </w:rPr>
      </w:pPr>
      <w:r w:rsidRPr="00F07744">
        <w:rPr>
          <w:rFonts w:ascii="標楷體" w:eastAsia="標楷體" w:hAnsi="標楷體" w:hint="eastAsia"/>
          <w:bCs/>
          <w:color w:val="0000FF"/>
        </w:rPr>
        <w:t>公司對內部人轉讓股權之控管如下：</w:t>
      </w:r>
    </w:p>
    <w:p w:rsidR="00BC48FC" w:rsidRPr="00F07744" w:rsidRDefault="00BC48FC" w:rsidP="00BC48FC">
      <w:pPr>
        <w:numPr>
          <w:ilvl w:val="0"/>
          <w:numId w:val="4"/>
        </w:numPr>
        <w:autoSpaceDE w:val="0"/>
        <w:autoSpaceDN w:val="0"/>
        <w:adjustRightInd w:val="0"/>
        <w:snapToGrid w:val="0"/>
        <w:jc w:val="both"/>
        <w:rPr>
          <w:rFonts w:ascii="標楷體" w:eastAsia="標楷體" w:hAnsi="標楷體"/>
          <w:bCs/>
          <w:color w:val="0000FF"/>
        </w:rPr>
      </w:pPr>
      <w:r w:rsidRPr="00F07744">
        <w:rPr>
          <w:rFonts w:ascii="標楷體" w:eastAsia="標楷體" w:hAnsi="標楷體" w:hint="eastAsia"/>
          <w:bCs/>
          <w:color w:val="0000FF"/>
        </w:rPr>
        <w:t>股</w:t>
      </w:r>
      <w:proofErr w:type="gramStart"/>
      <w:r w:rsidRPr="00F07744">
        <w:rPr>
          <w:rFonts w:ascii="標楷體" w:eastAsia="標楷體" w:hAnsi="標楷體" w:hint="eastAsia"/>
          <w:bCs/>
          <w:color w:val="0000FF"/>
        </w:rPr>
        <w:t>務</w:t>
      </w:r>
      <w:proofErr w:type="gramEnd"/>
      <w:r w:rsidRPr="00F07744">
        <w:rPr>
          <w:rFonts w:ascii="標楷體" w:eastAsia="標楷體" w:hAnsi="標楷體" w:hint="eastAsia"/>
          <w:bCs/>
          <w:color w:val="0000FF"/>
        </w:rPr>
        <w:t>單位應建立及維護內部人與持股逾10%之股東資料檔案，並每月統計內部人持股變動情形申報書資料，通知股</w:t>
      </w:r>
      <w:proofErr w:type="gramStart"/>
      <w:r w:rsidRPr="00F07744">
        <w:rPr>
          <w:rFonts w:ascii="標楷體" w:eastAsia="標楷體" w:hAnsi="標楷體" w:hint="eastAsia"/>
          <w:bCs/>
          <w:color w:val="0000FF"/>
        </w:rPr>
        <w:t>務</w:t>
      </w:r>
      <w:proofErr w:type="gramEnd"/>
      <w:r w:rsidRPr="00F07744">
        <w:rPr>
          <w:rFonts w:ascii="標楷體" w:eastAsia="標楷體" w:hAnsi="標楷體" w:hint="eastAsia"/>
          <w:bCs/>
          <w:color w:val="0000FF"/>
        </w:rPr>
        <w:t>代理上傳資料至公開資訊觀測站。</w:t>
      </w:r>
    </w:p>
    <w:p w:rsidR="00BC48FC" w:rsidRPr="00506335" w:rsidRDefault="00BC48FC" w:rsidP="00BC48FC">
      <w:pPr>
        <w:numPr>
          <w:ilvl w:val="0"/>
          <w:numId w:val="4"/>
        </w:numPr>
        <w:autoSpaceDE w:val="0"/>
        <w:autoSpaceDN w:val="0"/>
        <w:adjustRightInd w:val="0"/>
        <w:snapToGrid w:val="0"/>
        <w:ind w:left="482" w:hanging="482"/>
        <w:jc w:val="both"/>
        <w:rPr>
          <w:rFonts w:ascii="標楷體" w:eastAsia="標楷體" w:hAnsi="標楷體"/>
          <w:bCs/>
          <w:color w:val="000000"/>
        </w:rPr>
      </w:pPr>
      <w:r w:rsidRPr="00F07744">
        <w:rPr>
          <w:rFonts w:ascii="標楷體" w:eastAsia="標楷體" w:hAnsi="標楷體" w:hint="eastAsia"/>
          <w:color w:val="0000FF"/>
        </w:rPr>
        <w:t>股</w:t>
      </w:r>
      <w:proofErr w:type="gramStart"/>
      <w:r w:rsidRPr="00F07744">
        <w:rPr>
          <w:rFonts w:ascii="標楷體" w:eastAsia="標楷體" w:hAnsi="標楷體" w:hint="eastAsia"/>
          <w:color w:val="0000FF"/>
        </w:rPr>
        <w:t>務</w:t>
      </w:r>
      <w:proofErr w:type="gramEnd"/>
      <w:r w:rsidRPr="00F07744">
        <w:rPr>
          <w:rFonts w:ascii="標楷體" w:eastAsia="標楷體" w:hAnsi="標楷體" w:hint="eastAsia"/>
          <w:color w:val="0000FF"/>
        </w:rPr>
        <w:t>單位每月請內部人填寫「內部人向公司申報持股變動情形申報書」時，應提醒內部人相關規定，並注意是否依規定辦理持股轉讓申報及轉讓持股。</w:t>
      </w:r>
    </w:p>
    <w:p w:rsidR="00BC48FC" w:rsidRPr="00506335" w:rsidRDefault="00BC48FC" w:rsidP="00BC48FC">
      <w:pPr>
        <w:autoSpaceDE w:val="0"/>
        <w:autoSpaceDN w:val="0"/>
        <w:adjustRightInd w:val="0"/>
        <w:snapToGrid w:val="0"/>
        <w:jc w:val="both"/>
        <w:rPr>
          <w:rFonts w:ascii="標楷體" w:eastAsia="標楷體" w:hAnsi="標楷體"/>
          <w:bCs/>
          <w:color w:val="000000"/>
        </w:rPr>
      </w:pPr>
    </w:p>
    <w:p w:rsidR="00BC48FC" w:rsidRPr="00506335" w:rsidRDefault="00BC48FC" w:rsidP="00BC48FC">
      <w:pPr>
        <w:pStyle w:val="2"/>
        <w:adjustRightInd w:val="0"/>
        <w:snapToGrid w:val="0"/>
        <w:spacing w:before="0" w:after="0"/>
        <w:ind w:left="961" w:hangingChars="400" w:hanging="961"/>
        <w:jc w:val="both"/>
        <w:rPr>
          <w:rFonts w:ascii="標楷體" w:eastAsia="標楷體" w:hAnsi="標楷體"/>
          <w:bCs/>
          <w:color w:val="000000"/>
          <w:lang w:eastAsia="zh-TW"/>
        </w:rPr>
      </w:pPr>
      <w:r w:rsidRPr="00506335">
        <w:rPr>
          <w:rFonts w:ascii="標楷體" w:eastAsia="標楷體" w:hAnsi="標楷體" w:hint="eastAsia"/>
          <w:bCs/>
          <w:color w:val="000000"/>
          <w:lang w:eastAsia="zh-TW"/>
        </w:rPr>
        <w:t xml:space="preserve">第十三條（異常情形之報告） </w:t>
      </w:r>
    </w:p>
    <w:p w:rsidR="00BC48FC" w:rsidRPr="00506335" w:rsidRDefault="00BC48FC" w:rsidP="00BC48FC">
      <w:pPr>
        <w:pStyle w:val="2"/>
        <w:adjustRightInd w:val="0"/>
        <w:snapToGrid w:val="0"/>
        <w:spacing w:before="0" w:after="0"/>
        <w:ind w:firstLine="482"/>
        <w:jc w:val="both"/>
        <w:rPr>
          <w:rFonts w:ascii="標楷體" w:eastAsia="標楷體" w:hAnsi="標楷體"/>
          <w:b w:val="0"/>
          <w:bCs/>
          <w:color w:val="000000"/>
          <w:lang w:eastAsia="zh-TW"/>
        </w:rPr>
      </w:pPr>
      <w:r w:rsidRPr="00506335">
        <w:rPr>
          <w:rFonts w:ascii="標楷體" w:eastAsia="標楷體" w:hAnsi="標楷體" w:hint="eastAsia"/>
          <w:b w:val="0"/>
          <w:color w:val="000000"/>
          <w:lang w:eastAsia="zh-TW"/>
        </w:rPr>
        <w:t>本公司如知悉內部重大資訊有洩漏情事，應儘速向</w:t>
      </w:r>
      <w:r w:rsidRPr="00F07744">
        <w:rPr>
          <w:rFonts w:ascii="標楷體" w:eastAsia="標楷體" w:hAnsi="標楷體" w:hint="eastAsia"/>
          <w:b w:val="0"/>
          <w:color w:val="0000FF"/>
          <w:lang w:eastAsia="zh-TW"/>
        </w:rPr>
        <w:t>董事會</w:t>
      </w:r>
      <w:r w:rsidRPr="00506335">
        <w:rPr>
          <w:rFonts w:ascii="標楷體" w:eastAsia="標楷體" w:hAnsi="標楷體" w:hint="eastAsia"/>
          <w:b w:val="0"/>
          <w:color w:val="000000"/>
          <w:lang w:eastAsia="zh-TW"/>
        </w:rPr>
        <w:t>及內部稽核部門報告。</w:t>
      </w:r>
    </w:p>
    <w:p w:rsidR="00BC48FC" w:rsidRPr="00506335" w:rsidRDefault="00BC48FC" w:rsidP="00BC48FC">
      <w:pPr>
        <w:ind w:firstLineChars="200" w:firstLine="480"/>
        <w:jc w:val="both"/>
        <w:rPr>
          <w:rFonts w:ascii="標楷體" w:eastAsia="標楷體" w:hAnsi="標楷體"/>
          <w:color w:val="000000"/>
        </w:rPr>
      </w:pPr>
      <w:r w:rsidRPr="00F07744">
        <w:rPr>
          <w:rFonts w:ascii="標楷體" w:eastAsia="標楷體" w:hAnsi="標楷體" w:hint="eastAsia"/>
          <w:color w:val="0000FF"/>
        </w:rPr>
        <w:t>董事會</w:t>
      </w:r>
      <w:r w:rsidRPr="00506335">
        <w:rPr>
          <w:rFonts w:ascii="標楷體" w:eastAsia="標楷體" w:hAnsi="標楷體" w:hint="eastAsia"/>
          <w:color w:val="000000"/>
        </w:rPr>
        <w:t>接受前項報告後，應擬定處理對策，必要時並得邀集內部稽核等部門商討處理，並將處理結果做成紀錄備查，內部稽核亦應本於職責進行查核。</w:t>
      </w:r>
    </w:p>
    <w:p w:rsidR="00BC48FC" w:rsidRPr="00506335" w:rsidRDefault="00BC48FC" w:rsidP="00BC48FC">
      <w:pPr>
        <w:ind w:firstLineChars="200" w:firstLine="480"/>
        <w:jc w:val="both"/>
        <w:rPr>
          <w:rFonts w:ascii="標楷體" w:eastAsia="標楷體" w:hAnsi="標楷體"/>
          <w:color w:val="000000"/>
        </w:rPr>
      </w:pPr>
    </w:p>
    <w:p w:rsidR="00BC48FC" w:rsidRPr="00506335" w:rsidRDefault="00BC48FC" w:rsidP="00BC48FC">
      <w:pPr>
        <w:pStyle w:val="2"/>
        <w:adjustRightInd w:val="0"/>
        <w:snapToGrid w:val="0"/>
        <w:spacing w:before="0" w:after="0"/>
        <w:jc w:val="both"/>
        <w:rPr>
          <w:rFonts w:ascii="標楷體" w:eastAsia="標楷體" w:hAnsi="標楷體"/>
          <w:color w:val="000000"/>
          <w:lang w:eastAsia="zh-TW"/>
        </w:rPr>
      </w:pPr>
      <w:r w:rsidRPr="00506335">
        <w:rPr>
          <w:rFonts w:ascii="標楷體" w:eastAsia="標楷體" w:hAnsi="標楷體" w:hint="eastAsia"/>
          <w:color w:val="000000"/>
          <w:lang w:eastAsia="zh-TW"/>
        </w:rPr>
        <w:t>第十四條(違規處理)</w:t>
      </w:r>
    </w:p>
    <w:p w:rsidR="00BC48FC" w:rsidRPr="00506335" w:rsidRDefault="00BC48FC" w:rsidP="00BC48FC">
      <w:pPr>
        <w:adjustRightInd w:val="0"/>
        <w:snapToGrid w:val="0"/>
        <w:ind w:firstLine="480"/>
        <w:jc w:val="both"/>
        <w:rPr>
          <w:rFonts w:ascii="標楷體" w:eastAsia="標楷體" w:hAnsi="標楷體"/>
          <w:color w:val="000000"/>
        </w:rPr>
      </w:pPr>
      <w:r w:rsidRPr="00506335">
        <w:rPr>
          <w:rFonts w:ascii="標楷體" w:eastAsia="標楷體" w:hAnsi="標楷體" w:hint="eastAsia"/>
          <w:color w:val="000000"/>
        </w:rPr>
        <w:t>有下列情事之</w:t>
      </w:r>
      <w:proofErr w:type="gramStart"/>
      <w:r w:rsidRPr="00506335">
        <w:rPr>
          <w:rFonts w:ascii="標楷體" w:eastAsia="標楷體" w:hAnsi="標楷體" w:hint="eastAsia"/>
          <w:color w:val="000000"/>
        </w:rPr>
        <w:t>ㄧ</w:t>
      </w:r>
      <w:proofErr w:type="gramEnd"/>
      <w:r w:rsidRPr="00506335">
        <w:rPr>
          <w:rFonts w:ascii="標楷體" w:eastAsia="標楷體" w:hAnsi="標楷體" w:hint="eastAsia"/>
          <w:color w:val="000000"/>
        </w:rPr>
        <w:t>者，本公司應追究相關人員責任並採取適當法律措施：</w:t>
      </w:r>
    </w:p>
    <w:p w:rsidR="00BC48FC" w:rsidRPr="00506335" w:rsidRDefault="00BC48FC" w:rsidP="00BC48FC">
      <w:pPr>
        <w:adjustRightInd w:val="0"/>
        <w:snapToGrid w:val="0"/>
        <w:ind w:left="482" w:hanging="482"/>
        <w:jc w:val="both"/>
        <w:rPr>
          <w:rFonts w:ascii="標楷體" w:eastAsia="標楷體" w:hAnsi="標楷體"/>
          <w:color w:val="000000"/>
        </w:rPr>
      </w:pPr>
      <w:r w:rsidRPr="00506335">
        <w:rPr>
          <w:rFonts w:ascii="標楷體" w:eastAsia="標楷體" w:hAnsi="標楷體" w:hint="eastAsia"/>
          <w:color w:val="000000"/>
        </w:rPr>
        <w:t>一、本公司人員擅自對外揭露內部重大資訊或違反本作業程序或其他法令規定者。</w:t>
      </w:r>
    </w:p>
    <w:p w:rsidR="00BC48FC" w:rsidRPr="00506335" w:rsidRDefault="00BC48FC" w:rsidP="00BC48FC">
      <w:pPr>
        <w:adjustRightInd w:val="0"/>
        <w:snapToGrid w:val="0"/>
        <w:ind w:left="480" w:hanging="480"/>
        <w:jc w:val="both"/>
        <w:rPr>
          <w:rFonts w:ascii="標楷體" w:eastAsia="標楷體" w:hAnsi="標楷體"/>
          <w:color w:val="000000"/>
        </w:rPr>
      </w:pPr>
      <w:r w:rsidRPr="00506335">
        <w:rPr>
          <w:rFonts w:ascii="標楷體" w:eastAsia="標楷體" w:hAnsi="標楷體" w:hint="eastAsia"/>
          <w:color w:val="000000"/>
        </w:rPr>
        <w:t>二、本公司發言人或代理發言人對外發言之內容超過本公司授權範圍或違反本作</w:t>
      </w:r>
      <w:r w:rsidRPr="00506335">
        <w:rPr>
          <w:rFonts w:ascii="標楷體" w:eastAsia="標楷體" w:hAnsi="標楷體" w:hint="eastAsia"/>
          <w:color w:val="000000"/>
        </w:rPr>
        <w:lastRenderedPageBreak/>
        <w:t>業程序或其他法令規定者。</w:t>
      </w:r>
    </w:p>
    <w:p w:rsidR="00BC48FC" w:rsidRPr="00506335" w:rsidRDefault="00BC48FC" w:rsidP="00BC48FC">
      <w:pPr>
        <w:ind w:firstLineChars="200" w:firstLine="480"/>
        <w:jc w:val="both"/>
        <w:rPr>
          <w:rFonts w:ascii="標楷體" w:eastAsia="標楷體" w:hAnsi="標楷體"/>
          <w:color w:val="000000"/>
        </w:rPr>
      </w:pPr>
      <w:r w:rsidRPr="00506335">
        <w:rPr>
          <w:rFonts w:ascii="標楷體" w:eastAsia="標楷體" w:hAnsi="標楷體" w:hint="eastAsia"/>
          <w:color w:val="000000"/>
        </w:rPr>
        <w:t>本公司以外之人如有洩漏本公司內部重大資訊之情形，致生損害於本公司財產或利益者，本公司應循相關途徑追究其法律責任。</w:t>
      </w:r>
    </w:p>
    <w:p w:rsidR="00BC48FC" w:rsidRPr="00506335" w:rsidRDefault="00BC48FC" w:rsidP="00BC48FC">
      <w:pPr>
        <w:ind w:firstLineChars="200" w:firstLine="480"/>
        <w:jc w:val="both"/>
        <w:rPr>
          <w:rFonts w:ascii="標楷體" w:eastAsia="標楷體" w:hAnsi="標楷體"/>
          <w:color w:val="000000"/>
        </w:rPr>
      </w:pPr>
    </w:p>
    <w:p w:rsidR="00BC48FC" w:rsidRPr="001025CA" w:rsidRDefault="00BC48FC" w:rsidP="00BC48FC">
      <w:pPr>
        <w:pStyle w:val="2"/>
        <w:adjustRightInd w:val="0"/>
        <w:snapToGrid w:val="0"/>
        <w:spacing w:before="0" w:after="0"/>
        <w:jc w:val="both"/>
        <w:rPr>
          <w:rFonts w:ascii="標楷體" w:eastAsia="標楷體" w:hAnsi="標楷體"/>
          <w:color w:val="000000"/>
          <w:lang w:eastAsia="zh-TW"/>
        </w:rPr>
      </w:pPr>
      <w:r w:rsidRPr="001025CA">
        <w:rPr>
          <w:rFonts w:ascii="標楷體" w:eastAsia="標楷體" w:hAnsi="標楷體" w:hint="eastAsia"/>
          <w:color w:val="000000"/>
          <w:lang w:eastAsia="zh-TW"/>
        </w:rPr>
        <w:t>第十五條（內控機制）</w:t>
      </w:r>
    </w:p>
    <w:p w:rsidR="00BC48FC" w:rsidRPr="00506335" w:rsidRDefault="00BC48FC" w:rsidP="00BC48FC">
      <w:pPr>
        <w:ind w:firstLineChars="200" w:firstLine="480"/>
        <w:jc w:val="both"/>
        <w:rPr>
          <w:rFonts w:ascii="標楷體" w:eastAsia="標楷體" w:hAnsi="標楷體"/>
          <w:color w:val="000000"/>
        </w:rPr>
      </w:pPr>
      <w:r w:rsidRPr="00506335">
        <w:rPr>
          <w:rFonts w:ascii="標楷體" w:eastAsia="標楷體" w:hAnsi="標楷體" w:hint="eastAsia"/>
          <w:color w:val="000000"/>
        </w:rPr>
        <w:t>本作業程序納入本公司內部控制制度，內部稽核人員應</w:t>
      </w:r>
      <w:r w:rsidRPr="005E4CB2">
        <w:rPr>
          <w:rFonts w:ascii="標楷體" w:eastAsia="標楷體" w:hAnsi="標楷體" w:hint="eastAsia"/>
          <w:color w:val="000000"/>
        </w:rPr>
        <w:t>視需求</w:t>
      </w:r>
      <w:r w:rsidRPr="00506335">
        <w:rPr>
          <w:rFonts w:ascii="標楷體" w:eastAsia="標楷體" w:hAnsi="標楷體" w:hint="eastAsia"/>
          <w:color w:val="000000"/>
        </w:rPr>
        <w:t>瞭解其遵循情形並作成稽核報告，以落實內部重大資訊處理作業程序之執行。</w:t>
      </w:r>
    </w:p>
    <w:p w:rsidR="00BC48FC" w:rsidRPr="00506335" w:rsidRDefault="00BC48FC" w:rsidP="00BC48FC">
      <w:pPr>
        <w:ind w:firstLineChars="200" w:firstLine="480"/>
        <w:jc w:val="both"/>
        <w:rPr>
          <w:rFonts w:ascii="標楷體" w:eastAsia="標楷體" w:hAnsi="標楷體"/>
          <w:color w:val="000000"/>
        </w:rPr>
      </w:pPr>
    </w:p>
    <w:p w:rsidR="00BC48FC" w:rsidRPr="00506335" w:rsidRDefault="00BC48FC" w:rsidP="00BC48FC">
      <w:pPr>
        <w:pStyle w:val="2"/>
        <w:adjustRightInd w:val="0"/>
        <w:snapToGrid w:val="0"/>
        <w:spacing w:before="0" w:after="0"/>
        <w:jc w:val="both"/>
        <w:rPr>
          <w:rFonts w:ascii="標楷體" w:eastAsia="標楷體" w:hAnsi="標楷體"/>
          <w:color w:val="000000"/>
          <w:lang w:eastAsia="zh-TW"/>
        </w:rPr>
      </w:pPr>
      <w:r w:rsidRPr="00506335">
        <w:rPr>
          <w:rFonts w:ascii="標楷體" w:eastAsia="標楷體" w:hAnsi="標楷體" w:hint="eastAsia"/>
          <w:color w:val="000000"/>
          <w:lang w:eastAsia="zh-TW"/>
        </w:rPr>
        <w:t>第十六條（教育宣導）</w:t>
      </w:r>
    </w:p>
    <w:p w:rsidR="00BC48FC" w:rsidRPr="00506335" w:rsidRDefault="00BC48FC" w:rsidP="00BC48FC">
      <w:pPr>
        <w:ind w:firstLineChars="200" w:firstLine="480"/>
        <w:jc w:val="both"/>
        <w:rPr>
          <w:rFonts w:ascii="標楷體" w:eastAsia="標楷體" w:hAnsi="標楷體"/>
          <w:color w:val="000000"/>
        </w:rPr>
      </w:pPr>
      <w:r w:rsidRPr="00506335">
        <w:rPr>
          <w:rFonts w:ascii="標楷體" w:eastAsia="標楷體" w:hAnsi="標楷體" w:hint="eastAsia"/>
          <w:color w:val="000000"/>
        </w:rPr>
        <w:t>本公司對新任董事、監察人、經理人及受</w:t>
      </w:r>
      <w:proofErr w:type="gramStart"/>
      <w:r w:rsidRPr="00506335">
        <w:rPr>
          <w:rFonts w:ascii="標楷體" w:eastAsia="標楷體" w:hAnsi="標楷體" w:hint="eastAsia"/>
          <w:color w:val="000000"/>
        </w:rPr>
        <w:t>僱</w:t>
      </w:r>
      <w:proofErr w:type="gramEnd"/>
      <w:r w:rsidRPr="00506335">
        <w:rPr>
          <w:rFonts w:ascii="標楷體" w:eastAsia="標楷體" w:hAnsi="標楷體" w:hint="eastAsia"/>
          <w:color w:val="000000"/>
        </w:rPr>
        <w:t>人應適時提供教育宣導，並於每月統計</w:t>
      </w:r>
      <w:r w:rsidRPr="00506335">
        <w:rPr>
          <w:rFonts w:ascii="標楷體" w:eastAsia="標楷體" w:hAnsi="標楷體" w:hint="eastAsia"/>
          <w:bCs/>
          <w:color w:val="000000"/>
        </w:rPr>
        <w:t>內部人持股變動情形申報資料時，提醒</w:t>
      </w:r>
      <w:r w:rsidRPr="00506335">
        <w:rPr>
          <w:rFonts w:ascii="標楷體" w:eastAsia="標楷體" w:hAnsi="標楷體" w:hint="eastAsia"/>
          <w:color w:val="000000"/>
        </w:rPr>
        <w:t>內部人相關規定。</w:t>
      </w:r>
    </w:p>
    <w:p w:rsidR="00BC48FC" w:rsidRPr="00506335" w:rsidRDefault="00BC48FC" w:rsidP="00BC48FC">
      <w:pPr>
        <w:ind w:firstLineChars="200" w:firstLine="480"/>
        <w:jc w:val="both"/>
        <w:rPr>
          <w:rFonts w:ascii="標楷體" w:eastAsia="標楷體" w:hAnsi="標楷體"/>
          <w:color w:val="000000"/>
        </w:rPr>
      </w:pPr>
    </w:p>
    <w:p w:rsidR="00BC48FC" w:rsidRPr="00506335" w:rsidRDefault="00BC48FC" w:rsidP="00BC48FC">
      <w:pPr>
        <w:pStyle w:val="2"/>
        <w:adjustRightInd w:val="0"/>
        <w:snapToGrid w:val="0"/>
        <w:spacing w:before="0" w:after="0"/>
        <w:jc w:val="both"/>
        <w:rPr>
          <w:rFonts w:ascii="標楷體" w:eastAsia="標楷體" w:hAnsi="標楷體"/>
          <w:bCs/>
          <w:color w:val="000000"/>
          <w:lang w:eastAsia="zh-TW"/>
        </w:rPr>
      </w:pPr>
      <w:r w:rsidRPr="00506335">
        <w:rPr>
          <w:rFonts w:ascii="標楷體" w:eastAsia="標楷體" w:hAnsi="標楷體" w:hint="eastAsia"/>
          <w:bCs/>
          <w:color w:val="000000"/>
          <w:lang w:eastAsia="zh-TW"/>
        </w:rPr>
        <w:t>第十七條</w:t>
      </w:r>
    </w:p>
    <w:p w:rsid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新細明體"/>
          <w:kern w:val="0"/>
        </w:rPr>
      </w:pPr>
      <w:r w:rsidRPr="00506335">
        <w:rPr>
          <w:rFonts w:ascii="標楷體" w:eastAsia="標楷體" w:hAnsi="標楷體" w:hint="eastAsia"/>
          <w:color w:val="000000"/>
        </w:rPr>
        <w:t>本作業程序經董事會通過後實施，修正時亦同。</w:t>
      </w:r>
    </w:p>
    <w:p w:rsidR="00BC48FC" w:rsidRPr="00541A8A" w:rsidRDefault="00BC48FC" w:rsidP="00BC48FC">
      <w:pPr>
        <w:rPr>
          <w:rFonts w:ascii="新細明體" w:hAnsi="新細明體"/>
        </w:rPr>
      </w:pPr>
    </w:p>
    <w:p w:rsidR="00AE3E8A" w:rsidRDefault="00AE3E8A" w:rsidP="00BC48FC"/>
    <w:sectPr w:rsidR="00AE3E8A" w:rsidSect="000967E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364" w:rsidRDefault="00563364" w:rsidP="00F50F76">
      <w:r>
        <w:separator/>
      </w:r>
    </w:p>
  </w:endnote>
  <w:endnote w:type="continuationSeparator" w:id="0">
    <w:p w:rsidR="00563364" w:rsidRDefault="00563364" w:rsidP="00F5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364" w:rsidRDefault="00563364" w:rsidP="00F50F76">
      <w:r>
        <w:separator/>
      </w:r>
    </w:p>
  </w:footnote>
  <w:footnote w:type="continuationSeparator" w:id="0">
    <w:p w:rsidR="00563364" w:rsidRDefault="00563364" w:rsidP="00F50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53628"/>
    <w:multiLevelType w:val="hybridMultilevel"/>
    <w:tmpl w:val="8A869776"/>
    <w:lvl w:ilvl="0" w:tplc="82FA125A">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CB76A81"/>
    <w:multiLevelType w:val="hybridMultilevel"/>
    <w:tmpl w:val="66961C06"/>
    <w:lvl w:ilvl="0" w:tplc="04090015">
      <w:start w:val="1"/>
      <w:numFmt w:val="taiwaneseCountingThousand"/>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46B54E44"/>
    <w:multiLevelType w:val="hybridMultilevel"/>
    <w:tmpl w:val="A9AA6314"/>
    <w:lvl w:ilvl="0" w:tplc="04090015">
      <w:start w:val="1"/>
      <w:numFmt w:val="taiwaneseCountingThousand"/>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71452F30"/>
    <w:multiLevelType w:val="hybridMultilevel"/>
    <w:tmpl w:val="F4BA47C2"/>
    <w:lvl w:ilvl="0" w:tplc="5394C422">
      <w:start w:val="1"/>
      <w:numFmt w:val="taiwaneseCountingThousand"/>
      <w:lvlText w:val="第%1條"/>
      <w:lvlJc w:val="left"/>
      <w:pPr>
        <w:tabs>
          <w:tab w:val="num" w:pos="964"/>
        </w:tabs>
        <w:ind w:left="1304" w:hanging="1304"/>
      </w:pPr>
      <w:rPr>
        <w:rFonts w:hint="eastAsia"/>
        <w:b/>
        <w:lang w:val="en-US"/>
      </w:rPr>
    </w:lvl>
    <w:lvl w:ilvl="1" w:tplc="04090019">
      <w:start w:val="1"/>
      <w:numFmt w:val="decimal"/>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8FC"/>
    <w:rsid w:val="000967E9"/>
    <w:rsid w:val="00563364"/>
    <w:rsid w:val="00AE3E8A"/>
    <w:rsid w:val="00BC3EEF"/>
    <w:rsid w:val="00BC48FC"/>
    <w:rsid w:val="00BE3EB6"/>
    <w:rsid w:val="00F50F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8FC"/>
    <w:pPr>
      <w:widowControl w:val="0"/>
    </w:pPr>
    <w:rPr>
      <w:rFonts w:ascii="Times New Roman" w:eastAsia="新細明體" w:hAnsi="Times New Roman" w:cs="Times New Roman"/>
      <w:szCs w:val="24"/>
    </w:rPr>
  </w:style>
  <w:style w:type="paragraph" w:styleId="2">
    <w:name w:val="heading 2"/>
    <w:aliases w:val="H2,h2"/>
    <w:basedOn w:val="a"/>
    <w:next w:val="a"/>
    <w:link w:val="20"/>
    <w:qFormat/>
    <w:rsid w:val="00BC48FC"/>
    <w:pPr>
      <w:widowControl/>
      <w:spacing w:before="120" w:after="80"/>
      <w:outlineLvl w:val="1"/>
    </w:pPr>
    <w:rPr>
      <w:rFonts w:ascii="Arial" w:hAnsi="Arial"/>
      <w:b/>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aliases w:val="H2 字元,h2 字元"/>
    <w:basedOn w:val="a0"/>
    <w:link w:val="2"/>
    <w:rsid w:val="00BC48FC"/>
    <w:rPr>
      <w:rFonts w:ascii="Arial" w:eastAsia="新細明體" w:hAnsi="Arial" w:cs="Times New Roman"/>
      <w:b/>
      <w:szCs w:val="24"/>
      <w:lang w:eastAsia="en-US"/>
    </w:rPr>
  </w:style>
  <w:style w:type="paragraph" w:styleId="HTML">
    <w:name w:val="HTML Preformatted"/>
    <w:basedOn w:val="a"/>
    <w:link w:val="HTML0"/>
    <w:rsid w:val="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color w:val="333333"/>
      <w:kern w:val="0"/>
    </w:rPr>
  </w:style>
  <w:style w:type="character" w:customStyle="1" w:styleId="HTML0">
    <w:name w:val="HTML 預設格式 字元"/>
    <w:basedOn w:val="a0"/>
    <w:link w:val="HTML"/>
    <w:rsid w:val="00BC48FC"/>
    <w:rPr>
      <w:rFonts w:ascii="細明體" w:eastAsia="細明體" w:hAnsi="細明體" w:cs="細明體"/>
      <w:color w:val="333333"/>
      <w:kern w:val="0"/>
      <w:szCs w:val="24"/>
    </w:rPr>
  </w:style>
  <w:style w:type="paragraph" w:customStyle="1" w:styleId="Default">
    <w:name w:val="Default"/>
    <w:rsid w:val="00BC48FC"/>
    <w:pPr>
      <w:widowControl w:val="0"/>
      <w:autoSpaceDE w:val="0"/>
      <w:autoSpaceDN w:val="0"/>
      <w:adjustRightInd w:val="0"/>
    </w:pPr>
    <w:rPr>
      <w:rFonts w:ascii="Arial" w:eastAsia="新細明體" w:hAnsi="Arial" w:cs="Arial"/>
      <w:color w:val="000000"/>
      <w:kern w:val="0"/>
      <w:szCs w:val="24"/>
    </w:rPr>
  </w:style>
  <w:style w:type="paragraph" w:styleId="a3">
    <w:name w:val="header"/>
    <w:basedOn w:val="a"/>
    <w:link w:val="a4"/>
    <w:uiPriority w:val="99"/>
    <w:unhideWhenUsed/>
    <w:rsid w:val="00F50F76"/>
    <w:pPr>
      <w:tabs>
        <w:tab w:val="center" w:pos="4153"/>
        <w:tab w:val="right" w:pos="8306"/>
      </w:tabs>
      <w:snapToGrid w:val="0"/>
    </w:pPr>
    <w:rPr>
      <w:sz w:val="20"/>
      <w:szCs w:val="20"/>
    </w:rPr>
  </w:style>
  <w:style w:type="character" w:customStyle="1" w:styleId="a4">
    <w:name w:val="頁首 字元"/>
    <w:basedOn w:val="a0"/>
    <w:link w:val="a3"/>
    <w:uiPriority w:val="99"/>
    <w:rsid w:val="00F50F76"/>
    <w:rPr>
      <w:rFonts w:ascii="Times New Roman" w:eastAsia="新細明體" w:hAnsi="Times New Roman" w:cs="Times New Roman"/>
      <w:sz w:val="20"/>
      <w:szCs w:val="20"/>
    </w:rPr>
  </w:style>
  <w:style w:type="paragraph" w:styleId="a5">
    <w:name w:val="footer"/>
    <w:basedOn w:val="a"/>
    <w:link w:val="a6"/>
    <w:uiPriority w:val="99"/>
    <w:unhideWhenUsed/>
    <w:rsid w:val="00F50F76"/>
    <w:pPr>
      <w:tabs>
        <w:tab w:val="center" w:pos="4153"/>
        <w:tab w:val="right" w:pos="8306"/>
      </w:tabs>
      <w:snapToGrid w:val="0"/>
    </w:pPr>
    <w:rPr>
      <w:sz w:val="20"/>
      <w:szCs w:val="20"/>
    </w:rPr>
  </w:style>
  <w:style w:type="character" w:customStyle="1" w:styleId="a6">
    <w:name w:val="頁尾 字元"/>
    <w:basedOn w:val="a0"/>
    <w:link w:val="a5"/>
    <w:uiPriority w:val="99"/>
    <w:rsid w:val="00F50F76"/>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8FC"/>
    <w:pPr>
      <w:widowControl w:val="0"/>
    </w:pPr>
    <w:rPr>
      <w:rFonts w:ascii="Times New Roman" w:eastAsia="新細明體" w:hAnsi="Times New Roman" w:cs="Times New Roman"/>
      <w:szCs w:val="24"/>
    </w:rPr>
  </w:style>
  <w:style w:type="paragraph" w:styleId="2">
    <w:name w:val="heading 2"/>
    <w:aliases w:val="H2,h2"/>
    <w:basedOn w:val="a"/>
    <w:next w:val="a"/>
    <w:link w:val="20"/>
    <w:qFormat/>
    <w:rsid w:val="00BC48FC"/>
    <w:pPr>
      <w:widowControl/>
      <w:spacing w:before="120" w:after="80"/>
      <w:outlineLvl w:val="1"/>
    </w:pPr>
    <w:rPr>
      <w:rFonts w:ascii="Arial" w:hAnsi="Arial"/>
      <w:b/>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aliases w:val="H2 字元,h2 字元"/>
    <w:basedOn w:val="a0"/>
    <w:link w:val="2"/>
    <w:rsid w:val="00BC48FC"/>
    <w:rPr>
      <w:rFonts w:ascii="Arial" w:eastAsia="新細明體" w:hAnsi="Arial" w:cs="Times New Roman"/>
      <w:b/>
      <w:szCs w:val="24"/>
      <w:lang w:eastAsia="en-US"/>
    </w:rPr>
  </w:style>
  <w:style w:type="paragraph" w:styleId="HTML">
    <w:name w:val="HTML Preformatted"/>
    <w:basedOn w:val="a"/>
    <w:link w:val="HTML0"/>
    <w:rsid w:val="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color w:val="333333"/>
      <w:kern w:val="0"/>
    </w:rPr>
  </w:style>
  <w:style w:type="character" w:customStyle="1" w:styleId="HTML0">
    <w:name w:val="HTML 預設格式 字元"/>
    <w:basedOn w:val="a0"/>
    <w:link w:val="HTML"/>
    <w:rsid w:val="00BC48FC"/>
    <w:rPr>
      <w:rFonts w:ascii="細明體" w:eastAsia="細明體" w:hAnsi="細明體" w:cs="細明體"/>
      <w:color w:val="333333"/>
      <w:kern w:val="0"/>
      <w:szCs w:val="24"/>
    </w:rPr>
  </w:style>
  <w:style w:type="paragraph" w:customStyle="1" w:styleId="Default">
    <w:name w:val="Default"/>
    <w:rsid w:val="00BC48FC"/>
    <w:pPr>
      <w:widowControl w:val="0"/>
      <w:autoSpaceDE w:val="0"/>
      <w:autoSpaceDN w:val="0"/>
      <w:adjustRightInd w:val="0"/>
    </w:pPr>
    <w:rPr>
      <w:rFonts w:ascii="Arial" w:eastAsia="新細明體" w:hAnsi="Arial" w:cs="Arial"/>
      <w:color w:val="000000"/>
      <w:kern w:val="0"/>
      <w:szCs w:val="24"/>
    </w:rPr>
  </w:style>
  <w:style w:type="paragraph" w:styleId="a3">
    <w:name w:val="header"/>
    <w:basedOn w:val="a"/>
    <w:link w:val="a4"/>
    <w:uiPriority w:val="99"/>
    <w:unhideWhenUsed/>
    <w:rsid w:val="00F50F76"/>
    <w:pPr>
      <w:tabs>
        <w:tab w:val="center" w:pos="4153"/>
        <w:tab w:val="right" w:pos="8306"/>
      </w:tabs>
      <w:snapToGrid w:val="0"/>
    </w:pPr>
    <w:rPr>
      <w:sz w:val="20"/>
      <w:szCs w:val="20"/>
    </w:rPr>
  </w:style>
  <w:style w:type="character" w:customStyle="1" w:styleId="a4">
    <w:name w:val="頁首 字元"/>
    <w:basedOn w:val="a0"/>
    <w:link w:val="a3"/>
    <w:uiPriority w:val="99"/>
    <w:rsid w:val="00F50F76"/>
    <w:rPr>
      <w:rFonts w:ascii="Times New Roman" w:eastAsia="新細明體" w:hAnsi="Times New Roman" w:cs="Times New Roman"/>
      <w:sz w:val="20"/>
      <w:szCs w:val="20"/>
    </w:rPr>
  </w:style>
  <w:style w:type="paragraph" w:styleId="a5">
    <w:name w:val="footer"/>
    <w:basedOn w:val="a"/>
    <w:link w:val="a6"/>
    <w:uiPriority w:val="99"/>
    <w:unhideWhenUsed/>
    <w:rsid w:val="00F50F76"/>
    <w:pPr>
      <w:tabs>
        <w:tab w:val="center" w:pos="4153"/>
        <w:tab w:val="right" w:pos="8306"/>
      </w:tabs>
      <w:snapToGrid w:val="0"/>
    </w:pPr>
    <w:rPr>
      <w:sz w:val="20"/>
      <w:szCs w:val="20"/>
    </w:rPr>
  </w:style>
  <w:style w:type="character" w:customStyle="1" w:styleId="a6">
    <w:name w:val="頁尾 字元"/>
    <w:basedOn w:val="a0"/>
    <w:link w:val="a5"/>
    <w:uiPriority w:val="99"/>
    <w:rsid w:val="00F50F76"/>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1611</Characters>
  <Application>Microsoft Office Word</Application>
  <DocSecurity>0</DocSecurity>
  <Lines>13</Lines>
  <Paragraphs>3</Paragraphs>
  <ScaleCrop>false</ScaleCrop>
  <Company>SYNNEX</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hsiho</dc:creator>
  <cp:lastModifiedBy>shiawyi</cp:lastModifiedBy>
  <cp:revision>2</cp:revision>
  <dcterms:created xsi:type="dcterms:W3CDTF">2019-01-17T02:05:00Z</dcterms:created>
  <dcterms:modified xsi:type="dcterms:W3CDTF">2019-01-17T02:05:00Z</dcterms:modified>
</cp:coreProperties>
</file>