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spacing w:val="0"/>
          <w:shd w:val="clear" w:fill="FFFFFF"/>
        </w:rPr>
        <w:t>Apache RocketMQ架构及核心概念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  <w:shd w:val="clear" w:fill="FFFFFF"/>
        </w:rPr>
        <w:t>概述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RocketMQ是一个消息与流处理平台，具有低延时、高性能、高可靠、万亿级消息储存以及可扩展性灵活等特性，系统架构图如下： 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133465" cy="2729865"/>
            <wp:effectExtent l="0" t="0" r="635" b="13335"/>
            <wp:docPr id="1" name="图片 1" descr="RocketMQ系统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ocketMQ系统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RocketMQ主要由4个核心部分组成：name servers, brokers, producers and consumers，每一部分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都能集群部署避免单点故障。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  <w:shd w:val="clear" w:fill="FFFFFF"/>
        </w:rPr>
        <w:t>核心概念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  <w:shd w:val="clear" w:fill="FFFFFF"/>
        </w:rPr>
        <w:t>Producer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消息生产者，通过业务应用系统发送消息给brokers，RocketMQ提供了多种消息发送范例：synchronous（同步）, asynchronous（异步） and one-way（一站式）。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Producer与Name Server集群中的其中一个节点（随机选择）建立长连接，定期从Name Server取Topic路由信息，并向提供Topic服务的Master建立长连接，且定时向Master发送心跳。Producer完全无状态，可集群部署。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  <w:shd w:val="clear" w:fill="FFFFFF"/>
        </w:rPr>
        <w:t>Producer Group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标识发送同一类消息的Producer，通常发送逻辑一致。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  <w:shd w:val="clear" w:fill="FFFFFF"/>
        </w:rPr>
        <w:t>Consumer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消息消费者，从brokers中获取消息进行处理，RocketMQ提供了两种消费者实现：PullConsumer和PushConsumer。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Consumer与Name Server集群中的其中一个节点（随机选择）建立长连接，定期从Name Server取Topic路由信息，并向提供Topic服务的Master、Slave建立长连接，且定时向Master、Slave发送心跳。Consumer既可以从Master订阅消息，也可以从Slave订阅消息，订阅规则由Broker配置决定。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  <w:shd w:val="clear" w:fill="FFFFFF"/>
        </w:rPr>
        <w:t>PullConsumer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拉取模式的消费者。应用主动控制拉取的时机，怎么拉取，怎么消费等，主动权更高，但要自己处理各种场景。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  <w:shd w:val="clear" w:fill="FFFFFF"/>
        </w:rPr>
        <w:t>PushConsumer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推送模式的消费者。RocketMQ使用的是长轮询，此模式本质是在内部封装了消息拉取、消费处理以及其他维护逻辑，预留回调接口给用户以便处理消息到达后的逻辑。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  <w:shd w:val="clear" w:fill="FFFFFF"/>
        </w:rPr>
        <w:t>Consumer Group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标识处理同一类消息的Consumer,通常处理逻辑一致。对于同一消费组的消费者实例，其订阅的topic要完全一致。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  <w:shd w:val="clear" w:fill="FFFFFF"/>
        </w:rPr>
        <w:t>Topic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可以理解为消息分组的粒度，消息的逻辑管理单位。无论消息生产还是消费，都需要指定Topic。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  <w:shd w:val="clear" w:fill="FFFFFF"/>
        </w:rPr>
        <w:t>Message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被发送额信息。一个Message必须包含有一个topic，也有可选的属性tag和自定义的键值对信息，比如你可以把业务主键放入到Message中，方便后续消费消息时的业务处理。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  <w:shd w:val="clear" w:fill="FFFFFF"/>
        </w:rPr>
        <w:t>Message Queue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消息队列，消息的物理管理单位，理解成Topic的子集分区。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  <w:shd w:val="clear" w:fill="FFFFFF"/>
        </w:rPr>
        <w:t>Tag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消息标签。RocketMQ支持给在发送的时候给topic打tag，因此消费时刻根据不同tag进行不同逻辑处理。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  <w:shd w:val="clear" w:fill="FFFFFF"/>
        </w:rPr>
        <w:t>Broker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Broker是RocketMQ的主要部件，它从生产者接收消息、储存消息并处理消费者拉取消息的请求，它也保存消息元数据，消费者组、消费进程指标以及topic/queue等信息。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  <w:shd w:val="clear" w:fill="FFFFFF"/>
        </w:rPr>
        <w:t>Name Server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Name server作为路由信息提供者，Producer/Consumer客户端查找主题得到相应broker列表信息。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  <w:shd w:val="clear" w:fill="FFFFFF"/>
        </w:rPr>
        <w:t>Message Model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Clustering（集群，消息被一个Customer消费）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Broadcasting（广播，消息被所有Customer消费）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27"/>
          <w:szCs w:val="27"/>
          <w:shd w:val="clear" w:fill="FFFFFF"/>
        </w:rPr>
        <w:t>Message Order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消息有序指的是一类消息消费时，能按照发送的顺序来消费。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8D1B0"/>
    <w:multiLevelType w:val="multilevel"/>
    <w:tmpl w:val="4E28D1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977AE"/>
    <w:rsid w:val="65477040"/>
    <w:rsid w:val="6CFF55E0"/>
    <w:rsid w:val="7CED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2019-03-11T02:48:35Z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