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i w:val="0"/>
          <w:color w:val="0F2942"/>
          <w:sz w:val="32"/>
        </w:rPr>
        <w:t>WIRP  —  World Interest Rate Probabilities</w:t>
      </w:r>
    </w:p>
    <w:p>
      <w:pPr>
        <w:spacing w:before="40" w:after="200"/>
      </w:pPr>
      <w:r>
        <w:rPr>
          <w:b w:val="0"/>
          <w:i/>
          <w:color w:val="475669"/>
          <w:sz w:val="18"/>
        </w:rPr>
        <w:t>Methodology Note  ·  G10 Core  ·  5 Central Banks  ·  Real OIS / Futures Data</w:t>
      </w:r>
    </w:p>
    <w:p>
      <w:pPr>
        <w:spacing w:before="0" w:after="200"/>
        <w:pBdr>
          <w:bottom w:val="single" w:sz="6" w:space="1" w:color="B45309"/>
        </w:pBdr>
      </w:pPr>
    </w:p>
    <w:p>
      <w:pPr>
        <w:spacing w:before="160" w:after="60"/>
      </w:pPr>
      <w:r>
        <w:rPr>
          <w:b/>
          <w:i w:val="0"/>
          <w:color w:val="B45309"/>
          <w:sz w:val="17"/>
        </w:rPr>
        <w:t>1.  PURPOSE</w:t>
      </w:r>
    </w:p>
    <w:p>
      <w:pPr>
        <w:spacing w:before="0" w:after="80"/>
      </w:pPr>
      <w:r>
        <w:rPr>
          <w:color w:val="1E293B"/>
          <w:sz w:val="19"/>
        </w:rPr>
        <w:t>WIRP (World Interest Rate Probabilities) is a real-time dashboard that replicates the analytical logic of the Bloomberg Terminal WIRP function. It extracts market-implied probability distributions over future central bank policy rate decisions from overnight indexed swap (OIS) curves and short-term interest rate futures, and presents them in an interactive, single-file HTML application.</w:t>
      </w:r>
    </w:p>
    <w:p>
      <w:pPr>
        <w:spacing w:before="160" w:after="60"/>
      </w:pPr>
      <w:r>
        <w:rPr>
          <w:b/>
          <w:i w:val="0"/>
          <w:color w:val="B45309"/>
          <w:sz w:val="17"/>
        </w:rPr>
        <w:t>2.  COVERAGE</w:t>
      </w:r>
    </w:p>
    <w:p>
      <w:pPr>
        <w:spacing w:before="0" w:after="60"/>
      </w:pPr>
      <w:r>
        <w:rPr>
          <w:color w:val="1E293B"/>
          <w:sz w:val="19"/>
        </w:rPr>
        <w:t>Five central banks are covered, each with real market-derived implied rates. Meeting dates and current policy rates are sourced as follows: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F294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Region</w:t>
            </w:r>
          </w:p>
        </w:tc>
        <w:tc>
          <w:tcPr>
            <w:tcW w:type="dxa" w:w="2436"/>
            <w:shd w:val="clear" w:color="auto" w:fill="0F294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Bank</w:t>
            </w:r>
          </w:p>
        </w:tc>
        <w:tc>
          <w:tcPr>
            <w:tcW w:type="dxa" w:w="2436"/>
            <w:shd w:val="clear" w:color="auto" w:fill="0F294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Abbr.</w:t>
            </w:r>
          </w:p>
        </w:tc>
        <w:tc>
          <w:tcPr>
            <w:tcW w:type="dxa" w:w="2436"/>
            <w:shd w:val="clear" w:color="auto" w:fill="0F2942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Implied Rate Source</w:t>
            </w:r>
          </w:p>
        </w:tc>
      </w:tr>
      <w:tr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Americas</w:t>
            </w:r>
          </w:p>
        </w:tc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Federal Reserve</w:t>
            </w:r>
          </w:p>
        </w:tc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FOMC</w:t>
            </w:r>
          </w:p>
        </w:tc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CME 30-day Fed Funds futures via TradingView scanner (Yahoo Finance fallback); base rate = EFFR (FRED DFF)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293B"/>
                <w:sz w:val="17"/>
              </w:rPr>
              <w:t>Americas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293B"/>
                <w:sz w:val="17"/>
              </w:rPr>
              <w:t>Bank of Canada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293B"/>
                <w:sz w:val="17"/>
              </w:rPr>
              <w:t>BOC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293B"/>
                <w:sz w:val="17"/>
              </w:rPr>
              <w:t>BOC Valet API — CORRA overnight + 2Y gov't bond</w:t>
            </w:r>
          </w:p>
        </w:tc>
      </w:tr>
      <w:tr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Europe</w:t>
            </w:r>
          </w:p>
        </w:tc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European Central Bank</w:t>
            </w:r>
          </w:p>
        </w:tc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ECB GC</w:t>
            </w:r>
          </w:p>
        </w:tc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Eurex 3M EURIBOR futures (FEU3) via TradingView, DFR-anchored; ECB SDW YC fallback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293B"/>
                <w:sz w:val="17"/>
              </w:rPr>
              <w:t>Europe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293B"/>
                <w:sz w:val="17"/>
              </w:rPr>
              <w:t>Bank of England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293B"/>
                <w:sz w:val="17"/>
              </w:rPr>
              <w:t>MPC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 w:val="0"/>
                <w:i w:val="0"/>
                <w:color w:val="1E293B"/>
                <w:sz w:val="17"/>
              </w:rPr>
              <w:t>BOE SONIA OIS instantaneous forward curve</w:t>
            </w:r>
          </w:p>
        </w:tc>
      </w:tr>
      <w:tr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Asia-Pac</w:t>
            </w:r>
          </w:p>
        </w:tc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Reserve Bank of Australia</w:t>
            </w:r>
          </w:p>
        </w:tc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RBA</w:t>
            </w:r>
          </w:p>
        </w:tc>
        <w:tc>
          <w:tcPr>
            <w:tcW w:type="dxa" w:w="2436"/>
            <w:shd w:val="clear" w:color="auto" w:fill="F8FAFC"/>
          </w:tcPr>
          <w:p>
            <w:r>
              <w:rPr>
                <w:b w:val="0"/>
                <w:i w:val="0"/>
                <w:color w:val="1E293B"/>
                <w:sz w:val="17"/>
              </w:rPr>
              <w:t>RBA F01 BABs/NCDs (1M/3M/6M), BBSW-OIS adjusted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i w:val="0"/>
          <w:color w:val="B45309"/>
          <w:sz w:val="17"/>
        </w:rPr>
        <w:t>3.  IMPLIED RATE METHODOLOGY</w:t>
      </w:r>
    </w:p>
    <w:p>
      <w:pPr>
        <w:spacing w:before="0" w:after="80"/>
      </w:pPr>
      <w:r>
        <w:rPr>
          <w:color w:val="1E293B"/>
          <w:sz w:val="19"/>
        </w:rPr>
        <w:t>For each upcoming central bank meeting, the tool derives an OIS-implied policy rate and computes hike/cut probabilities using the following approach: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US (FOMC):  CME 30-day Fed Funds futures (ZQ) fetched via TradingView scanner API (CBOT:ZQ{M}{YYYY}, field "close").  For a meeting in month M the month M+1 contract captures the post-decision rate — mirrors CME FedWatch methodology.  implied_rate = 100 − price.  Yahoo Finance serves as per-contract fallback.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EU (ECB):  Eurex 3-month EURIBOR futures (FEU3{M}{YYYY}) fetched via TradingView.  implied_euribor = 100 − price.  A EURIBOR-OIS spread is calibrated dynamically: spread = nearest_contract_implied_euribor − current_DFR.  ECB implied = implied_euribor − spread, so the curve is anchored to DFR at the near end and preserves the market-implied shape for subsequent meetings.  Falls back to the ECB SDW AAA government bond yield curve if futures are unavailable.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UK (MPC):  ICE 3-Month SONIA futures (ICEEUR:SO3{M}{YYYY}) via TradingView.  Same anchoring as ECB: spread = nearest_contract_SONIA − BOE Bank Rate.  Falls back to the BOE SONIA OIS instantaneous forward curve (daily ZIP, 60 tenors).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CA (BOC):  TMX 3-Month CORRA futures (TMX:CRA{M}{YYYY}) via TradingView.  Quarterly contracts only (Mar/Jun/Sep/Dec).  Same spread-anchoring approach.  Falls back to BOC Valet CORRA overnight + 2Y government bond interpolation.  Meetings in non-quarterly months are interpolated between adjacent contracts and marked with "~" in the dashboard.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AU (RBA):  ASX 30-day Interbank Cash Rate futures (ASX24:IB{M}{YYYY}) via TradingView.  Settlement = average RBA cash rate over the calendar month; month M+1 contract used for a meeting in month M (same convention as US ZQ).  No spread adjustment.  Falls back to RBA F01 BABs/NCDs with BBSW-OIS spread adjustment.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Implied Change (bps):  Δ = Implied Rate − Base Rate, expressed in basis points.  For the US, the base rate is the Effective Fed Funds Rate (EFFR, FRED series DFF) — the same basis Bloomberg WIRP uses — not the target-range midpoint.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Step size of 25 bps is assumed throughout (standard for G10 central banks).</w:t>
      </w:r>
    </w:p>
    <w:p>
      <w:pPr>
        <w:spacing w:before="0" w:after="120"/>
      </w:pPr>
      <w:r>
        <w:rPr>
          <w:color w:val="1E293B"/>
          <w:sz w:val="19"/>
        </w:rPr>
        <w:t>Colour convention:  positive Δ (hikes priced) shown in green; negative Δ (cuts priced) shown in red; exactly zero in grey.</w:t>
      </w:r>
    </w:p>
    <w:p>
      <w:pPr>
        <w:spacing w:before="160" w:after="60"/>
      </w:pPr>
      <w:r>
        <w:rPr>
          <w:b/>
          <w:i w:val="0"/>
          <w:color w:val="B45309"/>
          <w:sz w:val="17"/>
        </w:rPr>
        <w:t>4.  MARKET STANCE CLASSIFICATION</w:t>
      </w:r>
    </w:p>
    <w:p>
      <w:pPr>
        <w:spacing w:before="0" w:after="60"/>
      </w:pPr>
      <w:r>
        <w:rPr>
          <w:color w:val="1E293B"/>
          <w:sz w:val="19"/>
        </w:rPr>
        <w:t>Each central bank is assigned a market stance badge based on the cumulative implied change across all displayed meetings: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F2942"/>
          </w:tcPr>
          <w:p>
            <w:r>
              <w:rPr>
                <w:b/>
                <w:i w:val="0"/>
                <w:color w:val="FFFFFF"/>
                <w:sz w:val="17"/>
              </w:rPr>
              <w:t>Stance</w:t>
            </w:r>
          </w:p>
        </w:tc>
        <w:tc>
          <w:tcPr>
            <w:tcW w:type="dxa" w:w="3249"/>
            <w:shd w:val="clear" w:color="auto" w:fill="0F2942"/>
          </w:tcPr>
          <w:p>
            <w:r>
              <w:rPr>
                <w:b/>
                <w:i w:val="0"/>
                <w:color w:val="FFFFFF"/>
                <w:sz w:val="17"/>
              </w:rPr>
              <w:t>Threshold (cumulative bps)</w:t>
            </w:r>
          </w:p>
        </w:tc>
        <w:tc>
          <w:tcPr>
            <w:tcW w:type="dxa" w:w="3249"/>
            <w:shd w:val="clear" w:color="auto" w:fill="0F2942"/>
          </w:tcPr>
          <w:p>
            <w:r>
              <w:rPr>
                <w:b/>
                <w:i w:val="0"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Very Dovish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≤ −50 bps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Markets price ≥2 cuts within the meeting window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Dovish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−49 to −15 bps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Markets lean toward one or more cuts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Neutral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−14 to +14 bps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No meaningful directional tilt priced in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Hawkish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≥ +15 bps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color w:val="1E293B"/>
                <w:sz w:val="17"/>
              </w:rPr>
              <w:t>Markets lean toward one or more hikes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i w:val="0"/>
          <w:color w:val="B45309"/>
          <w:sz w:val="17"/>
        </w:rPr>
        <w:t>5.  MEETING REPRICING HISTORY</w:t>
      </w:r>
    </w:p>
    <w:p>
      <w:pPr>
        <w:spacing w:before="0" w:after="80"/>
      </w:pPr>
      <w:r>
        <w:rPr>
          <w:color w:val="1E293B"/>
          <w:sz w:val="19"/>
        </w:rPr>
        <w:t>The repricing history chart shows how OIS-implied expectations for a specific future meeting have evolved over the preceding 12 months.  The methodology is as follows: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For each month t going back up to 12 months, the estimated implied rate for meeting M is: Implied(t) = ImpliedToday + α × (SpotThen − SpotNow) + ε(t)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SpotThen is estimated by reverse-extrapolating the current policy rate via the drift coefficient: SpotThen ≈ Spot − Drift × (t / 12) × 1.35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α = 0.72 captures how tightly forward meeting pricing tracks the evolving spot rate. ε(t) is deterministic pseudo-noise, stable across page loads, that increases with t to reflect greater uncertainty further back in time.</w:t>
      </w:r>
    </w:p>
    <w:p>
      <w:pPr>
        <w:spacing w:before="0" w:after="120"/>
      </w:pPr>
      <w:r>
        <w:rPr>
          <w:color w:val="1E293B"/>
          <w:sz w:val="19"/>
        </w:rPr>
        <w:t>In production, this panel would be populated from a time-series database of daily OIS snapshots, showing the actual evolution of market pricing for each specific meeting date.</w:t>
      </w:r>
    </w:p>
    <w:p>
      <w:pPr>
        <w:spacing w:before="160" w:after="60"/>
      </w:pPr>
      <w:r>
        <w:rPr>
          <w:b/>
          <w:i w:val="0"/>
          <w:color w:val="B45309"/>
          <w:sz w:val="17"/>
        </w:rPr>
        <w:t>6.  DATA PIPELINE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update_data.py fetches live policy rates, meeting calendars, and implied rates for all five markets and injects results into wirp.html between &lt;!-- WIRP_DATA_BEGIN --&gt; and &lt;!-- WIRP_DATA_END --&gt; markers.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Primary implied-rate sources use the TradingView scanner API (no key required): CBOT:ZQ{M}{YYYY} for US Fed Funds futures and EUREX:FEU3{M}{YYYY} for ECB EURIBOR futures.  Yahoo Finance is the per-contract fallback for US; ECB SDW YC is the fallback for EU.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US base rate is fetched from FRED API (series DFF — daily EFFR), matching Bloomberg's WIRP methodology.  Falls back to the Fed target-range midpoint if FRED is unavailable.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Data is also persisted to wirp_data.json; per-market graceful degradation ensures a fetch failure for one bank does not block the others.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Automation is via cron on an Oracle Cloud VM (hourly, 0 * * * *).  The script logs to wirp_update.log.</w:t>
      </w:r>
    </w:p>
    <w:p>
      <w:pPr>
        <w:spacing w:before="160" w:after="60"/>
      </w:pPr>
      <w:r>
        <w:rPr>
          <w:b/>
          <w:i w:val="0"/>
          <w:color w:val="B45309"/>
          <w:sz w:val="17"/>
        </w:rPr>
        <w:t>7.  LIMITATIONS &amp; ASSUMPTIONS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No convexity adjustment is applied to OIS or futures-implied rates.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Probability calculations assume a binary 25 bps step; multi-step pricing (e.g. 50 bps) is not modelled.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ECB implied rates use Eurex EURIBOR futures anchored to the DFR.  The EURIBOR-OIS spread is calibrated daily to the nearest available contract; its level and term structure vary over time and are not explicitly modelled.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For ECB meetings within the same calendar month as the nearest EURIBOR contract, the implied rate equals the DFR by construction (the anchor point); no independent market signal is available for that meeting from this source.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US ±bps figures are relative to the EFFR (daily fixing), which trades within the Fed's target range and may differ slightly from the target midpoint.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TradingView scanner API is an unofficial endpoint; availability and field names may change without notice.  Yahoo Finance (US), BOE OIS ZIP (UK), BOC Valet (CA), and RBA F01 BABs (AU) are maintained as fallbacks for each market.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CA implied rates between quarterly CORRA contract months are linearly interpolated; these meetings are marked with "~" in the Implied Rate column.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CA implied rates are interpolated from two points only (overnight CORRA + 2Y bond); the curve shape is linear.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AU implied rates use BABs/NCDs with a fixed BBSW-OIS spread adjustment; the spread varies over time.</w:t>
      </w:r>
    </w:p>
    <w:p>
      <w:pPr>
        <w:pStyle w:val="ListBullet"/>
        <w:spacing w:before="0" w:after="40"/>
        <w:ind w:left="227"/>
      </w:pPr>
      <w:r>
        <w:rPr>
          <w:b w:val="0"/>
          <w:i w:val="0"/>
          <w:color w:val="1E293B"/>
          <w:sz w:val="19"/>
        </w:rPr>
        <w:t>Historical repricing series are simulated; they are illustrative and not based on live OIS time-series data.</w:t>
      </w:r>
    </w:p>
    <w:p/>
    <w:p>
      <w:pPr>
        <w:jc w:val="center"/>
        <w:pBdr>
          <w:top w:val="single" w:sz="4" w:space="1" w:color="CBD5E1"/>
        </w:pBdr>
      </w:pPr>
      <w:r>
        <w:rPr>
          <w:b w:val="0"/>
          <w:i/>
          <w:color w:val="475669"/>
          <w:sz w:val="15"/>
        </w:rPr>
        <w:t>WIRP v2.1  ·  For internal research use only  ·  OIS / Futures-implied estimates; not investment advice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