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F7F" w:rsidRPr="00FF5A0B" w:rsidRDefault="00FF5A0B">
      <w:pPr>
        <w:rPr>
          <w:b/>
          <w:sz w:val="28"/>
        </w:rPr>
      </w:pPr>
      <w:r w:rsidRPr="00FF5A0B">
        <w:rPr>
          <w:b/>
          <w:sz w:val="28"/>
        </w:rPr>
        <w:t>Appendix</w:t>
      </w:r>
    </w:p>
    <w:p w:rsidR="00FC3F40" w:rsidRDefault="00FC3F40"/>
    <w:p w:rsidR="00FC3F40" w:rsidRDefault="00FC3F40" w:rsidP="00FC3F40">
      <w:pPr>
        <w:spacing w:line="360" w:lineRule="auto"/>
        <w:rPr>
          <w:rFonts w:ascii="Arial" w:hAnsi="Arial" w:cs="Arial"/>
          <w:sz w:val="22"/>
          <w:szCs w:val="22"/>
        </w:rPr>
      </w:pPr>
      <w:r w:rsidRPr="00A43B36">
        <w:rPr>
          <w:rFonts w:ascii="Arial" w:hAnsi="Arial" w:cs="Arial"/>
          <w:sz w:val="22"/>
          <w:szCs w:val="22"/>
        </w:rPr>
        <w:t>We used data from multiple national VHA data sources, as well as VA/CMS data and the National Death Index.</w:t>
      </w:r>
      <w:r>
        <w:rPr>
          <w:rFonts w:ascii="Arial" w:hAnsi="Arial" w:cs="Arial"/>
          <w:sz w:val="22"/>
          <w:szCs w:val="22"/>
        </w:rPr>
        <w:t xml:space="preserve"> </w:t>
      </w:r>
      <w:r w:rsidRPr="00A43B36">
        <w:rPr>
          <w:rFonts w:ascii="Arial" w:hAnsi="Arial" w:cs="Arial"/>
          <w:sz w:val="22"/>
          <w:szCs w:val="22"/>
        </w:rPr>
        <w:t>We used VHA outpatient data (Medical SAS datasets) to define our cohort and inpatient data (Medical SAS datasets, non-VA inpatient, CMS inpatient) to define outcome events. Patients were eligible for inclusion based on age during CY2006 (45 – 80 years old), having at least two NEXIS (primary care, cardiology/hypertension, endocrine/diabetes, chronic infectious disease care, and mental health) outpatient visits during CY2006, and if they we</w:t>
      </w:r>
      <w:r>
        <w:rPr>
          <w:rFonts w:ascii="Arial" w:hAnsi="Arial" w:cs="Arial"/>
          <w:sz w:val="22"/>
          <w:szCs w:val="22"/>
        </w:rPr>
        <w:t xml:space="preserve">re alive as of January 1, 2007. </w:t>
      </w:r>
      <w:r w:rsidRPr="00A43B36">
        <w:rPr>
          <w:rFonts w:ascii="Arial" w:hAnsi="Arial" w:cs="Arial"/>
          <w:sz w:val="22"/>
          <w:szCs w:val="22"/>
        </w:rPr>
        <w:t>Outpatient and inpatient data sources were used to identify prior history of events, comorbidities, and demographic measures</w:t>
      </w:r>
      <w:r>
        <w:rPr>
          <w:rFonts w:ascii="Arial" w:hAnsi="Arial" w:cs="Arial"/>
          <w:sz w:val="22"/>
          <w:szCs w:val="22"/>
        </w:rPr>
        <w:t xml:space="preserve"> (see </w:t>
      </w:r>
      <w:proofErr w:type="spellStart"/>
      <w:r>
        <w:rPr>
          <w:rFonts w:ascii="Arial" w:hAnsi="Arial" w:cs="Arial"/>
          <w:sz w:val="22"/>
          <w:szCs w:val="22"/>
        </w:rPr>
        <w:t>eTable</w:t>
      </w:r>
      <w:proofErr w:type="spellEnd"/>
      <w:r>
        <w:rPr>
          <w:rFonts w:ascii="Arial" w:hAnsi="Arial" w:cs="Arial"/>
          <w:sz w:val="22"/>
          <w:szCs w:val="22"/>
        </w:rPr>
        <w:t xml:space="preserve"> 1 for list of ICD9 diagnosis codes)</w:t>
      </w:r>
      <w:r w:rsidRPr="00A43B36">
        <w:rPr>
          <w:rFonts w:ascii="Arial" w:hAnsi="Arial" w:cs="Arial"/>
          <w:sz w:val="22"/>
          <w:szCs w:val="22"/>
        </w:rPr>
        <w:t>.</w:t>
      </w:r>
      <w:r>
        <w:rPr>
          <w:rFonts w:ascii="Arial" w:hAnsi="Arial" w:cs="Arial"/>
          <w:sz w:val="22"/>
          <w:szCs w:val="22"/>
        </w:rPr>
        <w:t xml:space="preserve"> W</w:t>
      </w:r>
      <w:r w:rsidRPr="00A43B36">
        <w:rPr>
          <w:rFonts w:ascii="Arial" w:hAnsi="Arial" w:cs="Arial"/>
          <w:sz w:val="22"/>
          <w:szCs w:val="22"/>
        </w:rPr>
        <w:t xml:space="preserve">e used the full array of diagnosis and procedure codes to identify </w:t>
      </w:r>
      <w:r>
        <w:rPr>
          <w:rFonts w:ascii="Arial" w:hAnsi="Arial" w:cs="Arial"/>
          <w:sz w:val="22"/>
          <w:szCs w:val="22"/>
        </w:rPr>
        <w:t>comorbidities</w:t>
      </w:r>
      <w:r w:rsidRPr="00A43B36">
        <w:rPr>
          <w:rFonts w:ascii="Arial" w:hAnsi="Arial" w:cs="Arial"/>
          <w:sz w:val="22"/>
          <w:szCs w:val="22"/>
        </w:rPr>
        <w:t xml:space="preserve">. </w:t>
      </w:r>
    </w:p>
    <w:p w:rsidR="00FC3F40" w:rsidRDefault="00FC3F40"/>
    <w:p w:rsidR="00FC3F40" w:rsidRPr="00FC3F40" w:rsidRDefault="00FC3F40">
      <w:pPr>
        <w:rPr>
          <w:b/>
        </w:rPr>
      </w:pPr>
      <w:proofErr w:type="spellStart"/>
      <w:proofErr w:type="gramStart"/>
      <w:r>
        <w:rPr>
          <w:b/>
        </w:rPr>
        <w:t>e</w:t>
      </w:r>
      <w:r w:rsidRPr="00FC3F40">
        <w:rPr>
          <w:b/>
        </w:rPr>
        <w:t>Table</w:t>
      </w:r>
      <w:proofErr w:type="spellEnd"/>
      <w:proofErr w:type="gramEnd"/>
      <w:r w:rsidRPr="00FC3F40">
        <w:rPr>
          <w:b/>
        </w:rPr>
        <w:t xml:space="preserve"> </w:t>
      </w:r>
      <w:r>
        <w:rPr>
          <w:b/>
        </w:rPr>
        <w:t>1</w:t>
      </w:r>
      <w:r w:rsidRPr="00FC3F40">
        <w:rPr>
          <w:b/>
        </w:rPr>
        <w:t>.</w:t>
      </w:r>
      <w:r>
        <w:rPr>
          <w:b/>
        </w:rPr>
        <w:t xml:space="preserve"> Comorbidity Coding</w:t>
      </w:r>
      <w:r w:rsidRPr="00FC3F40">
        <w:rPr>
          <w:b/>
        </w:rPr>
        <w:t xml:space="preserve"> </w:t>
      </w:r>
    </w:p>
    <w:tbl>
      <w:tblPr>
        <w:tblW w:w="9390" w:type="dxa"/>
        <w:tblInd w:w="93" w:type="dxa"/>
        <w:tblLook w:val="04A0" w:firstRow="1" w:lastRow="0" w:firstColumn="1" w:lastColumn="0" w:noHBand="0" w:noVBand="1"/>
      </w:tblPr>
      <w:tblGrid>
        <w:gridCol w:w="1905"/>
        <w:gridCol w:w="7485"/>
      </w:tblGrid>
      <w:tr w:rsidR="00FC3F40" w:rsidRPr="00FC3F40" w:rsidTr="00FC3F40">
        <w:trPr>
          <w:trHeight w:val="300"/>
        </w:trPr>
        <w:tc>
          <w:tcPr>
            <w:tcW w:w="1905" w:type="dxa"/>
            <w:tcBorders>
              <w:top w:val="single" w:sz="4" w:space="0" w:color="auto"/>
              <w:left w:val="nil"/>
              <w:bottom w:val="single" w:sz="4" w:space="0" w:color="auto"/>
              <w:right w:val="nil"/>
            </w:tcBorders>
            <w:shd w:val="clear" w:color="auto" w:fill="auto"/>
            <w:vAlign w:val="center"/>
            <w:hideMark/>
          </w:tcPr>
          <w:p w:rsidR="00FC3F40" w:rsidRPr="00FC3F40" w:rsidRDefault="00FC3F40" w:rsidP="00FC3F40">
            <w:pPr>
              <w:rPr>
                <w:rFonts w:ascii="Arial" w:eastAsia="Times New Roman" w:hAnsi="Arial" w:cs="Arial"/>
                <w:b/>
                <w:bCs/>
                <w:color w:val="000000"/>
                <w:sz w:val="22"/>
                <w:szCs w:val="22"/>
              </w:rPr>
            </w:pPr>
            <w:r w:rsidRPr="00FC3F40">
              <w:rPr>
                <w:rFonts w:ascii="Arial" w:eastAsia="Times New Roman" w:hAnsi="Arial" w:cs="Arial"/>
                <w:b/>
                <w:bCs/>
                <w:color w:val="000000"/>
                <w:sz w:val="22"/>
                <w:szCs w:val="22"/>
              </w:rPr>
              <w:t>Description</w:t>
            </w:r>
          </w:p>
        </w:tc>
        <w:tc>
          <w:tcPr>
            <w:tcW w:w="7485" w:type="dxa"/>
            <w:tcBorders>
              <w:top w:val="single" w:sz="4" w:space="0" w:color="auto"/>
              <w:left w:val="nil"/>
              <w:bottom w:val="single" w:sz="4" w:space="0" w:color="auto"/>
              <w:right w:val="nil"/>
            </w:tcBorders>
            <w:shd w:val="clear" w:color="auto" w:fill="auto"/>
            <w:vAlign w:val="center"/>
            <w:hideMark/>
          </w:tcPr>
          <w:p w:rsidR="00FC3F40" w:rsidRPr="00FC3F40" w:rsidRDefault="00FC3F40" w:rsidP="00FC3F40">
            <w:pPr>
              <w:rPr>
                <w:rFonts w:ascii="Arial" w:eastAsia="Times New Roman" w:hAnsi="Arial" w:cs="Arial"/>
                <w:b/>
                <w:bCs/>
                <w:color w:val="000000"/>
                <w:sz w:val="22"/>
                <w:szCs w:val="22"/>
              </w:rPr>
            </w:pPr>
            <w:r w:rsidRPr="00FC3F40">
              <w:rPr>
                <w:rFonts w:ascii="Arial" w:eastAsia="Times New Roman" w:hAnsi="Arial" w:cs="Arial"/>
                <w:b/>
                <w:bCs/>
                <w:color w:val="000000"/>
                <w:sz w:val="22"/>
                <w:szCs w:val="22"/>
              </w:rPr>
              <w:t>Coding</w:t>
            </w:r>
          </w:p>
        </w:tc>
      </w:tr>
      <w:tr w:rsidR="00FC3F40" w:rsidRPr="00FC3F40" w:rsidTr="00FC3F40">
        <w:trPr>
          <w:trHeight w:val="300"/>
        </w:trPr>
        <w:tc>
          <w:tcPr>
            <w:tcW w:w="1905" w:type="dxa"/>
            <w:tcBorders>
              <w:top w:val="single" w:sz="4" w:space="0" w:color="auto"/>
              <w:left w:val="nil"/>
              <w:bottom w:val="single" w:sz="4" w:space="0" w:color="BFBFBF" w:themeColor="background1" w:themeShade="BF"/>
              <w:right w:val="nil"/>
            </w:tcBorders>
            <w:shd w:val="clear" w:color="auto" w:fill="auto"/>
            <w:vAlign w:val="center"/>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CHF</w:t>
            </w:r>
          </w:p>
        </w:tc>
        <w:tc>
          <w:tcPr>
            <w:tcW w:w="7485" w:type="dxa"/>
            <w:tcBorders>
              <w:top w:val="single" w:sz="4" w:space="0" w:color="auto"/>
              <w:left w:val="nil"/>
              <w:bottom w:val="single" w:sz="4" w:space="0" w:color="BFBFBF" w:themeColor="background1" w:themeShade="BF"/>
              <w:right w:val="nil"/>
            </w:tcBorders>
            <w:shd w:val="clear" w:color="auto" w:fill="auto"/>
            <w:noWrap/>
            <w:vAlign w:val="center"/>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ICD9 dx: 428.xx, 398.91</w:t>
            </w:r>
          </w:p>
        </w:tc>
      </w:tr>
      <w:tr w:rsidR="00FC3F40" w:rsidRPr="00FC3F40" w:rsidTr="00FC3F40">
        <w:trPr>
          <w:trHeight w:val="300"/>
        </w:trPr>
        <w:tc>
          <w:tcPr>
            <w:tcW w:w="190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COPD</w:t>
            </w:r>
          </w:p>
        </w:tc>
        <w:tc>
          <w:tcPr>
            <w:tcW w:w="748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ICD9 dx: 490.xx, 491.xx, 496.xx</w:t>
            </w:r>
          </w:p>
        </w:tc>
      </w:tr>
      <w:tr w:rsidR="00FC3F40" w:rsidRPr="00FC3F40" w:rsidTr="00FC3F40">
        <w:trPr>
          <w:trHeight w:val="300"/>
        </w:trPr>
        <w:tc>
          <w:tcPr>
            <w:tcW w:w="190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Atrial Fibrillation</w:t>
            </w:r>
          </w:p>
        </w:tc>
        <w:tc>
          <w:tcPr>
            <w:tcW w:w="748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ICD9 dx: 427.31</w:t>
            </w:r>
          </w:p>
        </w:tc>
      </w:tr>
      <w:tr w:rsidR="00FC3F40" w:rsidRPr="00FC3F40" w:rsidTr="00FC3F40">
        <w:trPr>
          <w:trHeight w:val="300"/>
        </w:trPr>
        <w:tc>
          <w:tcPr>
            <w:tcW w:w="190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Diabetes</w:t>
            </w:r>
          </w:p>
        </w:tc>
        <w:tc>
          <w:tcPr>
            <w:tcW w:w="748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ICD9 dx*: 250.xx, 366.41, E9323, 357.2x, 962.3, 362.0x</w:t>
            </w:r>
          </w:p>
        </w:tc>
      </w:tr>
      <w:tr w:rsidR="00FC3F40" w:rsidRPr="00FC3F40" w:rsidTr="00FC3F40">
        <w:trPr>
          <w:trHeight w:val="300"/>
        </w:trPr>
        <w:tc>
          <w:tcPr>
            <w:tcW w:w="190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Depression</w:t>
            </w:r>
          </w:p>
        </w:tc>
        <w:tc>
          <w:tcPr>
            <w:tcW w:w="7485" w:type="dxa"/>
            <w:tcBorders>
              <w:top w:val="single" w:sz="4" w:space="0" w:color="BFBFBF" w:themeColor="background1" w:themeShade="BF"/>
              <w:left w:val="nil"/>
              <w:bottom w:val="single" w:sz="4" w:space="0" w:color="BFBFBF" w:themeColor="background1" w:themeShade="BF"/>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ICD9 dx: 293.83, 296.2x, 296.3x, 296.9, 296.99, 298.0x, 300.4x, 301.12, 309.0x, 309.1x, 311.xx</w:t>
            </w:r>
          </w:p>
        </w:tc>
      </w:tr>
      <w:tr w:rsidR="00FC3F40" w:rsidRPr="00FC3F40" w:rsidTr="00FC3F40">
        <w:trPr>
          <w:trHeight w:val="300"/>
        </w:trPr>
        <w:tc>
          <w:tcPr>
            <w:tcW w:w="1905" w:type="dxa"/>
            <w:tcBorders>
              <w:top w:val="single" w:sz="4" w:space="0" w:color="BFBFBF" w:themeColor="background1" w:themeShade="BF"/>
              <w:left w:val="nil"/>
              <w:bottom w:val="single" w:sz="4" w:space="0" w:color="auto"/>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Smoking</w:t>
            </w:r>
          </w:p>
        </w:tc>
        <w:tc>
          <w:tcPr>
            <w:tcW w:w="7485" w:type="dxa"/>
            <w:tcBorders>
              <w:top w:val="single" w:sz="4" w:space="0" w:color="BFBFBF" w:themeColor="background1" w:themeShade="BF"/>
              <w:left w:val="nil"/>
              <w:bottom w:val="single" w:sz="4" w:space="0" w:color="auto"/>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2"/>
                <w:szCs w:val="22"/>
              </w:rPr>
            </w:pPr>
            <w:r w:rsidRPr="00FC3F40">
              <w:rPr>
                <w:rFonts w:ascii="Arial" w:eastAsia="Times New Roman" w:hAnsi="Arial" w:cs="Arial"/>
                <w:color w:val="000000"/>
                <w:sz w:val="22"/>
                <w:szCs w:val="22"/>
              </w:rPr>
              <w:t>CDW Health Factors or ICD9 dx: 305.1</w:t>
            </w:r>
          </w:p>
        </w:tc>
      </w:tr>
      <w:tr w:rsidR="00FC3F40" w:rsidRPr="00FC3F40" w:rsidTr="00FC3F40">
        <w:trPr>
          <w:trHeight w:val="300"/>
        </w:trPr>
        <w:tc>
          <w:tcPr>
            <w:tcW w:w="9390" w:type="dxa"/>
            <w:gridSpan w:val="2"/>
            <w:tcBorders>
              <w:top w:val="nil"/>
              <w:left w:val="nil"/>
              <w:bottom w:val="nil"/>
              <w:right w:val="nil"/>
            </w:tcBorders>
            <w:shd w:val="clear" w:color="auto" w:fill="auto"/>
            <w:noWrap/>
            <w:vAlign w:val="bottom"/>
            <w:hideMark/>
          </w:tcPr>
          <w:p w:rsidR="00FC3F40" w:rsidRPr="00FC3F40" w:rsidRDefault="00FC3F40" w:rsidP="00FC3F40">
            <w:pPr>
              <w:rPr>
                <w:rFonts w:ascii="Arial" w:eastAsia="Times New Roman" w:hAnsi="Arial" w:cs="Arial"/>
                <w:color w:val="000000"/>
                <w:sz w:val="20"/>
                <w:szCs w:val="20"/>
              </w:rPr>
            </w:pPr>
            <w:r>
              <w:rPr>
                <w:rFonts w:ascii="Arial" w:eastAsia="Times New Roman" w:hAnsi="Arial" w:cs="Arial"/>
                <w:color w:val="000000"/>
                <w:sz w:val="20"/>
                <w:szCs w:val="20"/>
              </w:rPr>
              <w:t>*</w:t>
            </w:r>
            <w:r w:rsidRPr="00FC3F40">
              <w:rPr>
                <w:rFonts w:ascii="Arial" w:eastAsia="Times New Roman" w:hAnsi="Arial" w:cs="Arial"/>
                <w:color w:val="000000"/>
                <w:sz w:val="20"/>
                <w:szCs w:val="20"/>
              </w:rPr>
              <w:t>Patients were coded as having diabetes if they had one inpatient or two or more outpatient visits from CY2001 – 2006 with any of the listed ICD9 dx codes.</w:t>
            </w:r>
          </w:p>
        </w:tc>
      </w:tr>
    </w:tbl>
    <w:p w:rsidR="00FC3F40" w:rsidRDefault="00FC3F40"/>
    <w:p w:rsidR="00FC3F40" w:rsidRDefault="00FC3F40"/>
    <w:p w:rsidR="00FC3F40" w:rsidRDefault="00FC3F40" w:rsidP="00FC3F40">
      <w:pPr>
        <w:spacing w:line="360" w:lineRule="auto"/>
        <w:rPr>
          <w:rFonts w:ascii="Arial" w:hAnsi="Arial" w:cs="Arial"/>
          <w:sz w:val="22"/>
          <w:szCs w:val="22"/>
        </w:rPr>
      </w:pPr>
      <w:r w:rsidRPr="00A43B36">
        <w:rPr>
          <w:rFonts w:ascii="Arial" w:hAnsi="Arial" w:cs="Arial"/>
          <w:sz w:val="22"/>
          <w:szCs w:val="22"/>
        </w:rPr>
        <w:t xml:space="preserve">We assessed smoking status by combining information from inpatient and outpatient data sources using ICD9 codes for smoking and the CDW’s Health Factors table. The Health Factors data tables contain information from the clinical reminders utilized in the VA’s Electronic Health Record (EHR). Clinical reminders are automatically displayed in the EHR to prompt providers to complete specific information on their patients. For smoking, the clinical reminder prompts providers to ask patients about tobacco use and the specific clinical reminder is recorded and uploaded into the CDW Health Factors table. We used established methods to code for “current smoker” status during CY2006 </w:t>
      </w:r>
      <w:r w:rsidR="00FF5A0B">
        <w:rPr>
          <w:rFonts w:ascii="Arial" w:hAnsi="Arial" w:cs="Arial"/>
          <w:sz w:val="22"/>
          <w:szCs w:val="22"/>
        </w:rPr>
        <w:t xml:space="preserve">(McGinnis et al. </w:t>
      </w:r>
      <w:r w:rsidR="00FF5A0B" w:rsidRPr="00FF5A0B">
        <w:rPr>
          <w:rFonts w:ascii="Arial" w:hAnsi="Arial" w:cs="Arial"/>
          <w:i/>
          <w:sz w:val="22"/>
          <w:szCs w:val="22"/>
        </w:rPr>
        <w:t>Nicotine and Tobacco Research</w:t>
      </w:r>
      <w:r w:rsidR="00FF5A0B">
        <w:rPr>
          <w:rFonts w:ascii="Arial" w:hAnsi="Arial" w:cs="Arial"/>
          <w:sz w:val="22"/>
          <w:szCs w:val="22"/>
        </w:rPr>
        <w:t xml:space="preserve"> 2011)</w:t>
      </w:r>
      <w:r w:rsidRPr="00A43B36">
        <w:rPr>
          <w:rFonts w:ascii="Arial" w:hAnsi="Arial" w:cs="Arial"/>
          <w:sz w:val="22"/>
          <w:szCs w:val="22"/>
        </w:rPr>
        <w:t xml:space="preserve">. We supplemented the health factors smoking data using ICD9 codes for smoking recorded during visits or hospitalizations during CY2006. </w:t>
      </w:r>
    </w:p>
    <w:p w:rsidR="00FC3F40" w:rsidRDefault="00FC3F40" w:rsidP="00FC3F40">
      <w:pPr>
        <w:spacing w:line="360" w:lineRule="auto"/>
        <w:rPr>
          <w:rFonts w:ascii="Arial" w:hAnsi="Arial" w:cs="Arial"/>
          <w:sz w:val="22"/>
          <w:szCs w:val="22"/>
        </w:rPr>
      </w:pPr>
    </w:p>
    <w:p w:rsidR="00FC3F40" w:rsidRDefault="00FC3F40" w:rsidP="00FC3F40">
      <w:pPr>
        <w:spacing w:line="360" w:lineRule="auto"/>
        <w:rPr>
          <w:rFonts w:ascii="Arial" w:hAnsi="Arial" w:cs="Arial"/>
        </w:rPr>
      </w:pPr>
      <w:r w:rsidRPr="00A43B36">
        <w:rPr>
          <w:rFonts w:ascii="Arial" w:hAnsi="Arial" w:cs="Arial"/>
        </w:rPr>
        <w:lastRenderedPageBreak/>
        <w:t>We used prescri</w:t>
      </w:r>
      <w:bookmarkStart w:id="0" w:name="_GoBack"/>
      <w:bookmarkEnd w:id="0"/>
      <w:r w:rsidRPr="00A43B36">
        <w:rPr>
          <w:rFonts w:ascii="Arial" w:hAnsi="Arial" w:cs="Arial"/>
        </w:rPr>
        <w:t xml:space="preserve">ption fills for medications listed in </w:t>
      </w:r>
      <w:proofErr w:type="spellStart"/>
      <w:r w:rsidRPr="00A43B36">
        <w:rPr>
          <w:rFonts w:ascii="Arial" w:hAnsi="Arial" w:cs="Arial"/>
        </w:rPr>
        <w:t>eTable</w:t>
      </w:r>
      <w:proofErr w:type="spellEnd"/>
      <w:r w:rsidRPr="00A43B36">
        <w:rPr>
          <w:rFonts w:ascii="Arial" w:hAnsi="Arial" w:cs="Arial"/>
        </w:rPr>
        <w:t xml:space="preserve"> </w:t>
      </w:r>
      <w:r>
        <w:rPr>
          <w:rFonts w:ascii="Arial" w:hAnsi="Arial" w:cs="Arial"/>
        </w:rPr>
        <w:t>2</w:t>
      </w:r>
      <w:r w:rsidRPr="00A43B36">
        <w:rPr>
          <w:rFonts w:ascii="Arial" w:hAnsi="Arial" w:cs="Arial"/>
        </w:rPr>
        <w:t xml:space="preserve"> to code for hypertension medication use during the baseline year (2006). We required at least one medication fill for more than 1 day supply in order to qualify as being on a hypertension medication.</w:t>
      </w:r>
    </w:p>
    <w:p w:rsidR="00FC3F40" w:rsidRDefault="00FC3F40" w:rsidP="00FC3F40">
      <w:pPr>
        <w:spacing w:line="360" w:lineRule="auto"/>
        <w:rPr>
          <w:rFonts w:ascii="Arial" w:hAnsi="Arial" w:cs="Arial"/>
          <w:sz w:val="22"/>
          <w:szCs w:val="22"/>
        </w:rPr>
      </w:pPr>
    </w:p>
    <w:tbl>
      <w:tblPr>
        <w:tblW w:w="9280" w:type="dxa"/>
        <w:tblInd w:w="93" w:type="dxa"/>
        <w:tblLook w:val="04A0" w:firstRow="1" w:lastRow="0" w:firstColumn="1" w:lastColumn="0" w:noHBand="0" w:noVBand="1"/>
      </w:tblPr>
      <w:tblGrid>
        <w:gridCol w:w="266"/>
        <w:gridCol w:w="1674"/>
        <w:gridCol w:w="2700"/>
        <w:gridCol w:w="280"/>
        <w:gridCol w:w="1660"/>
        <w:gridCol w:w="380"/>
        <w:gridCol w:w="970"/>
        <w:gridCol w:w="1350"/>
      </w:tblGrid>
      <w:tr w:rsidR="00FC3F40" w:rsidRPr="00A43B36" w:rsidTr="00A359BD">
        <w:trPr>
          <w:trHeight w:val="332"/>
        </w:trPr>
        <w:tc>
          <w:tcPr>
            <w:tcW w:w="6580" w:type="dxa"/>
            <w:gridSpan w:val="5"/>
            <w:tcBorders>
              <w:left w:val="nil"/>
              <w:bottom w:val="single" w:sz="4" w:space="0" w:color="auto"/>
              <w:right w:val="nil"/>
            </w:tcBorders>
            <w:shd w:val="clear" w:color="auto" w:fill="auto"/>
            <w:vAlign w:val="bottom"/>
          </w:tcPr>
          <w:p w:rsidR="00FC3F40" w:rsidRPr="00A43B36" w:rsidRDefault="00A359BD" w:rsidP="00BB3438">
            <w:pPr>
              <w:spacing w:line="276" w:lineRule="auto"/>
              <w:rPr>
                <w:rFonts w:ascii="Arial" w:eastAsia="Times New Roman" w:hAnsi="Arial" w:cs="Arial"/>
                <w:b/>
                <w:bCs/>
                <w:color w:val="000000"/>
                <w:sz w:val="22"/>
                <w:szCs w:val="22"/>
              </w:rPr>
            </w:pPr>
            <w:proofErr w:type="spellStart"/>
            <w:proofErr w:type="gramStart"/>
            <w:r>
              <w:rPr>
                <w:rFonts w:ascii="Arial" w:hAnsi="Arial" w:cs="Arial"/>
                <w:b/>
                <w:sz w:val="22"/>
                <w:szCs w:val="22"/>
              </w:rPr>
              <w:t>eTable</w:t>
            </w:r>
            <w:proofErr w:type="spellEnd"/>
            <w:proofErr w:type="gramEnd"/>
            <w:r>
              <w:rPr>
                <w:rFonts w:ascii="Arial" w:hAnsi="Arial" w:cs="Arial"/>
                <w:b/>
                <w:sz w:val="22"/>
                <w:szCs w:val="22"/>
              </w:rPr>
              <w:t xml:space="preserve"> 2</w:t>
            </w:r>
            <w:r w:rsidR="00FC3F40" w:rsidRPr="00A43B36">
              <w:rPr>
                <w:rFonts w:ascii="Arial" w:hAnsi="Arial" w:cs="Arial"/>
                <w:b/>
                <w:sz w:val="22"/>
                <w:szCs w:val="22"/>
              </w:rPr>
              <w:t>. Hypertension Medications</w:t>
            </w:r>
          </w:p>
        </w:tc>
        <w:tc>
          <w:tcPr>
            <w:tcW w:w="2700" w:type="dxa"/>
            <w:gridSpan w:val="3"/>
            <w:tcBorders>
              <w:left w:val="nil"/>
              <w:bottom w:val="single" w:sz="4" w:space="0" w:color="auto"/>
              <w:right w:val="nil"/>
            </w:tcBorders>
            <w:shd w:val="clear" w:color="auto" w:fill="auto"/>
            <w:noWrap/>
            <w:vAlign w:val="bottom"/>
          </w:tcPr>
          <w:p w:rsidR="00FC3F40" w:rsidRPr="00A43B36" w:rsidRDefault="00FC3F40" w:rsidP="00BB3438">
            <w:pPr>
              <w:rPr>
                <w:rFonts w:ascii="Arial" w:eastAsia="Times New Roman" w:hAnsi="Arial" w:cs="Arial"/>
                <w:b/>
                <w:bCs/>
                <w:color w:val="000000"/>
                <w:sz w:val="22"/>
                <w:szCs w:val="22"/>
              </w:rPr>
            </w:pPr>
          </w:p>
        </w:tc>
      </w:tr>
      <w:tr w:rsidR="00FC3F40" w:rsidRPr="00A43B36" w:rsidTr="00BB3438">
        <w:trPr>
          <w:trHeight w:val="585"/>
        </w:trPr>
        <w:tc>
          <w:tcPr>
            <w:tcW w:w="1940" w:type="dxa"/>
            <w:gridSpan w:val="2"/>
            <w:tcBorders>
              <w:top w:val="single" w:sz="4" w:space="0" w:color="auto"/>
              <w:left w:val="nil"/>
              <w:bottom w:val="single" w:sz="4" w:space="0" w:color="auto"/>
              <w:right w:val="nil"/>
            </w:tcBorders>
            <w:shd w:val="clear" w:color="auto" w:fill="auto"/>
            <w:vAlign w:val="bottom"/>
            <w:hideMark/>
          </w:tcPr>
          <w:p w:rsidR="00FC3F40" w:rsidRPr="00A43B36" w:rsidRDefault="00FC3F40" w:rsidP="00BB3438">
            <w:pPr>
              <w:rPr>
                <w:rFonts w:ascii="Arial" w:eastAsia="Times New Roman" w:hAnsi="Arial" w:cs="Arial"/>
                <w:b/>
                <w:bCs/>
                <w:color w:val="000000"/>
                <w:sz w:val="22"/>
                <w:szCs w:val="22"/>
              </w:rPr>
            </w:pPr>
            <w:r w:rsidRPr="00A43B36">
              <w:rPr>
                <w:rFonts w:ascii="Arial" w:eastAsia="Times New Roman" w:hAnsi="Arial" w:cs="Arial"/>
                <w:b/>
                <w:bCs/>
                <w:color w:val="000000"/>
                <w:sz w:val="22"/>
                <w:szCs w:val="22"/>
              </w:rPr>
              <w:t>Medication Category</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FC3F40" w:rsidRPr="00A43B36" w:rsidRDefault="00FC3F40" w:rsidP="00BB3438">
            <w:pPr>
              <w:rPr>
                <w:rFonts w:ascii="Arial" w:eastAsia="Times New Roman" w:hAnsi="Arial" w:cs="Arial"/>
                <w:b/>
                <w:bCs/>
                <w:color w:val="000000"/>
                <w:sz w:val="22"/>
                <w:szCs w:val="22"/>
              </w:rPr>
            </w:pPr>
            <w:r w:rsidRPr="00A43B36">
              <w:rPr>
                <w:rFonts w:ascii="Arial" w:eastAsia="Times New Roman" w:hAnsi="Arial" w:cs="Arial"/>
                <w:b/>
                <w:bCs/>
                <w:color w:val="000000"/>
                <w:sz w:val="22"/>
                <w:szCs w:val="22"/>
              </w:rPr>
              <w:t>Drug Name</w:t>
            </w:r>
          </w:p>
        </w:tc>
        <w:tc>
          <w:tcPr>
            <w:tcW w:w="1940" w:type="dxa"/>
            <w:gridSpan w:val="2"/>
            <w:tcBorders>
              <w:top w:val="single" w:sz="4" w:space="0" w:color="auto"/>
              <w:left w:val="nil"/>
              <w:bottom w:val="single" w:sz="4" w:space="0" w:color="auto"/>
              <w:right w:val="nil"/>
            </w:tcBorders>
            <w:shd w:val="clear" w:color="auto" w:fill="auto"/>
            <w:vAlign w:val="bottom"/>
            <w:hideMark/>
          </w:tcPr>
          <w:p w:rsidR="00FC3F40" w:rsidRPr="00A43B36" w:rsidRDefault="00FC3F40" w:rsidP="00BB3438">
            <w:pPr>
              <w:rPr>
                <w:rFonts w:ascii="Arial" w:eastAsia="Times New Roman" w:hAnsi="Arial" w:cs="Arial"/>
                <w:b/>
                <w:bCs/>
                <w:color w:val="000000"/>
                <w:sz w:val="22"/>
                <w:szCs w:val="22"/>
              </w:rPr>
            </w:pPr>
            <w:r w:rsidRPr="00A43B36">
              <w:rPr>
                <w:rFonts w:ascii="Arial" w:eastAsia="Times New Roman" w:hAnsi="Arial" w:cs="Arial"/>
                <w:b/>
                <w:bCs/>
                <w:color w:val="000000"/>
                <w:sz w:val="22"/>
                <w:szCs w:val="22"/>
              </w:rPr>
              <w:t>Medication Category</w:t>
            </w:r>
          </w:p>
        </w:tc>
        <w:tc>
          <w:tcPr>
            <w:tcW w:w="2700" w:type="dxa"/>
            <w:gridSpan w:val="3"/>
            <w:tcBorders>
              <w:top w:val="single" w:sz="4" w:space="0" w:color="auto"/>
              <w:left w:val="nil"/>
              <w:bottom w:val="single" w:sz="4" w:space="0" w:color="auto"/>
              <w:right w:val="nil"/>
            </w:tcBorders>
            <w:shd w:val="clear" w:color="auto" w:fill="auto"/>
            <w:noWrap/>
            <w:vAlign w:val="bottom"/>
            <w:hideMark/>
          </w:tcPr>
          <w:p w:rsidR="00FC3F40" w:rsidRPr="00A43B36" w:rsidRDefault="00FC3F40" w:rsidP="00BB3438">
            <w:pPr>
              <w:rPr>
                <w:rFonts w:ascii="Arial" w:eastAsia="Times New Roman" w:hAnsi="Arial" w:cs="Arial"/>
                <w:b/>
                <w:bCs/>
                <w:color w:val="000000"/>
                <w:sz w:val="22"/>
                <w:szCs w:val="22"/>
              </w:rPr>
            </w:pPr>
            <w:r w:rsidRPr="00A43B36">
              <w:rPr>
                <w:rFonts w:ascii="Arial" w:eastAsia="Times New Roman" w:hAnsi="Arial" w:cs="Arial"/>
                <w:b/>
                <w:bCs/>
                <w:color w:val="000000"/>
                <w:sz w:val="22"/>
                <w:szCs w:val="22"/>
              </w:rPr>
              <w:t>Drug Name</w:t>
            </w:r>
          </w:p>
        </w:tc>
      </w:tr>
      <w:tr w:rsidR="00FC3F40" w:rsidRPr="00A43B36" w:rsidTr="00BB3438">
        <w:trPr>
          <w:trHeight w:val="300"/>
        </w:trPr>
        <w:tc>
          <w:tcPr>
            <w:tcW w:w="1940" w:type="dxa"/>
            <w:gridSpan w:val="2"/>
            <w:tcBorders>
              <w:top w:val="single" w:sz="4" w:space="0" w:color="auto"/>
              <w:left w:val="nil"/>
              <w:bottom w:val="single" w:sz="4" w:space="0" w:color="BFBFBF"/>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Hypertension</w:t>
            </w:r>
          </w:p>
        </w:tc>
        <w:tc>
          <w:tcPr>
            <w:tcW w:w="2700" w:type="dxa"/>
            <w:tcBorders>
              <w:top w:val="single" w:sz="4" w:space="0" w:color="auto"/>
              <w:left w:val="nil"/>
              <w:bottom w:val="single" w:sz="4" w:space="0" w:color="BFBFBF"/>
              <w:right w:val="single" w:sz="4" w:space="0" w:color="auto"/>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940" w:type="dxa"/>
            <w:gridSpan w:val="2"/>
            <w:tcBorders>
              <w:top w:val="single" w:sz="4" w:space="0" w:color="auto"/>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Hypertension</w:t>
            </w:r>
          </w:p>
        </w:tc>
        <w:tc>
          <w:tcPr>
            <w:tcW w:w="2700" w:type="dxa"/>
            <w:gridSpan w:val="3"/>
            <w:tcBorders>
              <w:top w:val="single" w:sz="4" w:space="0" w:color="auto"/>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r>
      <w:tr w:rsidR="00FC3F40" w:rsidRPr="00A43B36" w:rsidTr="00BB3438">
        <w:trPr>
          <w:trHeight w:val="300"/>
        </w:trPr>
        <w:tc>
          <w:tcPr>
            <w:tcW w:w="266" w:type="dxa"/>
            <w:vMerge w:val="restart"/>
            <w:tcBorders>
              <w:top w:val="nil"/>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674"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ACE-Inhibitors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Benazepril</w:t>
            </w:r>
          </w:p>
        </w:tc>
        <w:tc>
          <w:tcPr>
            <w:tcW w:w="280" w:type="dxa"/>
            <w:vMerge w:val="restart"/>
            <w:tcBorders>
              <w:top w:val="nil"/>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660"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Alpha Blockers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Doxazosin</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Captopril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Guanabenz</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Enalapril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Guanfacine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Fosinopril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Prazosin</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Lisinopril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Tamsulosin</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Moexipril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Terazosin</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Quinapril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Vasodilators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Hydralazine</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Ramipril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Isoxsuprine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Beta-Blockers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Acebutolol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Minoxidil</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Atenolol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Papaverine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Bisoprolol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Angiotensin Receptor Blockers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Candesartan</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Carvedilol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Irbesartan</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Labetalol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Losartan</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Metoprolol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Telmisartan</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Nadolol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Valsartan</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Pindolol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Sympathetic Blockers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Clonidine</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Propranolol</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Methyldopa</w:t>
            </w:r>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Sotalol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Reserpine</w:t>
            </w:r>
          </w:p>
        </w:tc>
      </w:tr>
      <w:tr w:rsidR="00FC3F40" w:rsidRPr="00A43B36" w:rsidTr="00BB3438">
        <w:trPr>
          <w:trHeight w:val="300"/>
        </w:trPr>
        <w:tc>
          <w:tcPr>
            <w:tcW w:w="266" w:type="dxa"/>
            <w:vMerge/>
            <w:tcBorders>
              <w:left w:val="nil"/>
              <w:bottom w:val="single" w:sz="4" w:space="0" w:color="BFBFBF"/>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Timolol</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Thiazides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Bendroflumethiazide</w:t>
            </w:r>
            <w:proofErr w:type="spellEnd"/>
          </w:p>
        </w:tc>
      </w:tr>
      <w:tr w:rsidR="00FC3F40" w:rsidRPr="00A43B36" w:rsidTr="00BB3438">
        <w:trPr>
          <w:trHeight w:val="300"/>
        </w:trPr>
        <w:tc>
          <w:tcPr>
            <w:tcW w:w="266" w:type="dxa"/>
            <w:vMerge w:val="restart"/>
            <w:tcBorders>
              <w:top w:val="nil"/>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674"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Calcium-Channel Blockers</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Amlodipine</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Chlorothiazide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Diltiazem</w:t>
            </w:r>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Chlorthalidone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Felodipine</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Indapamide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Isradipine</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Methyclothiazide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Nicardipine</w:t>
            </w:r>
            <w:proofErr w:type="spellEnd"/>
          </w:p>
        </w:tc>
        <w:tc>
          <w:tcPr>
            <w:tcW w:w="28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gridSpan w:val="3"/>
            <w:tcBorders>
              <w:top w:val="nil"/>
              <w:left w:val="nil"/>
              <w:bottom w:val="single" w:sz="4" w:space="0" w:color="BFBFBF"/>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Metolazone</w:t>
            </w:r>
            <w:proofErr w:type="spellEnd"/>
          </w:p>
        </w:tc>
      </w:tr>
      <w:tr w:rsidR="00FC3F40" w:rsidRPr="00A43B36" w:rsidTr="00BB3438">
        <w:trPr>
          <w:trHeight w:val="300"/>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Nifedipine</w:t>
            </w:r>
            <w:proofErr w:type="spellEnd"/>
          </w:p>
        </w:tc>
        <w:tc>
          <w:tcPr>
            <w:tcW w:w="280"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1660" w:type="dxa"/>
            <w:vMerge/>
            <w:tcBorders>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p>
        </w:tc>
        <w:tc>
          <w:tcPr>
            <w:tcW w:w="1350" w:type="dxa"/>
            <w:gridSpan w:val="2"/>
            <w:tcBorders>
              <w:top w:val="nil"/>
              <w:left w:val="nil"/>
              <w:right w:val="nil"/>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350" w:type="dxa"/>
            <w:tcBorders>
              <w:top w:val="nil"/>
              <w:left w:val="nil"/>
              <w:right w:val="nil"/>
            </w:tcBorders>
            <w:shd w:val="clear" w:color="auto" w:fill="auto"/>
          </w:tcPr>
          <w:p w:rsidR="00FC3F40" w:rsidRPr="00A43B36" w:rsidRDefault="00FC3F40" w:rsidP="00BB3438">
            <w:pPr>
              <w:rPr>
                <w:rFonts w:ascii="Arial" w:eastAsia="Times New Roman" w:hAnsi="Arial" w:cs="Arial"/>
                <w:color w:val="000000"/>
                <w:sz w:val="22"/>
                <w:szCs w:val="22"/>
              </w:rPr>
            </w:pPr>
          </w:p>
        </w:tc>
      </w:tr>
      <w:tr w:rsidR="00FC3F40" w:rsidRPr="00A43B36" w:rsidTr="00A359BD">
        <w:trPr>
          <w:trHeight w:val="300"/>
        </w:trPr>
        <w:tc>
          <w:tcPr>
            <w:tcW w:w="266" w:type="dxa"/>
            <w:vMerge/>
            <w:tcBorders>
              <w:left w:val="nil"/>
              <w:bottom w:val="single" w:sz="4" w:space="0" w:color="BFBFBF"/>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bottom w:val="single" w:sz="4" w:space="0" w:color="BFBFBF"/>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Verapamil</w:t>
            </w:r>
          </w:p>
        </w:tc>
        <w:tc>
          <w:tcPr>
            <w:tcW w:w="2320" w:type="dxa"/>
            <w:gridSpan w:val="3"/>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320" w:type="dxa"/>
            <w:gridSpan w:val="2"/>
            <w:vMerge w:val="restart"/>
            <w:tcBorders>
              <w:top w:val="nil"/>
              <w:left w:val="nil"/>
              <w:right w:val="nil"/>
            </w:tcBorders>
            <w:shd w:val="clear" w:color="auto" w:fill="auto"/>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r>
      <w:tr w:rsidR="00FC3F40" w:rsidRPr="00A43B36" w:rsidTr="00A359BD">
        <w:trPr>
          <w:trHeight w:val="300"/>
        </w:trPr>
        <w:tc>
          <w:tcPr>
            <w:tcW w:w="266" w:type="dxa"/>
            <w:vMerge w:val="restart"/>
            <w:tcBorders>
              <w:top w:val="single" w:sz="4" w:space="0" w:color="BFBFBF"/>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674" w:type="dxa"/>
            <w:vMerge w:val="restart"/>
            <w:tcBorders>
              <w:top w:val="nil"/>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K</w:t>
            </w:r>
            <w:r w:rsidRPr="00A43B36">
              <w:rPr>
                <w:rFonts w:ascii="Arial" w:eastAsia="Times New Roman" w:hAnsi="Arial" w:cs="Arial"/>
                <w:color w:val="000000"/>
                <w:sz w:val="22"/>
                <w:szCs w:val="22"/>
                <w:vertAlign w:val="superscript"/>
              </w:rPr>
              <w:t>+</w:t>
            </w:r>
            <w:r w:rsidRPr="00A43B36">
              <w:rPr>
                <w:rFonts w:ascii="Arial" w:eastAsia="Times New Roman" w:hAnsi="Arial" w:cs="Arial"/>
                <w:color w:val="000000"/>
                <w:sz w:val="22"/>
                <w:szCs w:val="22"/>
              </w:rPr>
              <w:t>sparing</w:t>
            </w:r>
            <w:proofErr w:type="spellEnd"/>
          </w:p>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tcBorders>
              <w:top w:val="nil"/>
              <w:left w:val="nil"/>
              <w:bottom w:val="single" w:sz="4" w:space="0" w:color="BFBF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proofErr w:type="spellStart"/>
            <w:r w:rsidRPr="00A43B36">
              <w:rPr>
                <w:rFonts w:ascii="Arial" w:eastAsia="Times New Roman" w:hAnsi="Arial" w:cs="Arial"/>
                <w:color w:val="000000"/>
                <w:sz w:val="22"/>
                <w:szCs w:val="22"/>
              </w:rPr>
              <w:t>Amiloride</w:t>
            </w:r>
            <w:proofErr w:type="spellEnd"/>
          </w:p>
        </w:tc>
        <w:tc>
          <w:tcPr>
            <w:tcW w:w="2320" w:type="dxa"/>
            <w:gridSpan w:val="3"/>
            <w:vMerge/>
            <w:tcBorders>
              <w:left w:val="nil"/>
              <w:right w:val="nil"/>
            </w:tcBorders>
            <w:shd w:val="clear" w:color="auto" w:fill="auto"/>
            <w:vAlign w:val="bottom"/>
            <w:hideMark/>
          </w:tcPr>
          <w:p w:rsidR="00FC3F40" w:rsidRPr="00A43B36" w:rsidRDefault="00FC3F40" w:rsidP="00BB3438">
            <w:pPr>
              <w:rPr>
                <w:rFonts w:ascii="Arial" w:eastAsia="Times New Roman" w:hAnsi="Arial" w:cs="Arial"/>
                <w:color w:val="000000"/>
                <w:sz w:val="22"/>
                <w:szCs w:val="22"/>
              </w:rPr>
            </w:pPr>
          </w:p>
        </w:tc>
        <w:tc>
          <w:tcPr>
            <w:tcW w:w="2320" w:type="dxa"/>
            <w:gridSpan w:val="2"/>
            <w:vMerge/>
            <w:tcBorders>
              <w:left w:val="nil"/>
              <w:right w:val="nil"/>
            </w:tcBorders>
            <w:shd w:val="clear" w:color="auto" w:fill="auto"/>
            <w:vAlign w:val="bottom"/>
          </w:tcPr>
          <w:p w:rsidR="00FC3F40" w:rsidRPr="00A43B36" w:rsidRDefault="00FC3F40" w:rsidP="00BB3438">
            <w:pPr>
              <w:rPr>
                <w:rFonts w:ascii="Arial" w:eastAsia="Times New Roman" w:hAnsi="Arial" w:cs="Arial"/>
                <w:color w:val="000000"/>
                <w:sz w:val="22"/>
                <w:szCs w:val="22"/>
              </w:rPr>
            </w:pPr>
          </w:p>
        </w:tc>
      </w:tr>
      <w:tr w:rsidR="00FC3F40" w:rsidRPr="00A43B36" w:rsidTr="00A359BD">
        <w:trPr>
          <w:trHeight w:val="314"/>
        </w:trPr>
        <w:tc>
          <w:tcPr>
            <w:tcW w:w="266" w:type="dxa"/>
            <w:vMerge/>
            <w:tcBorders>
              <w:left w:val="nil"/>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p>
        </w:tc>
        <w:tc>
          <w:tcPr>
            <w:tcW w:w="1674" w:type="dxa"/>
            <w:vMerge/>
            <w:tcBorders>
              <w:left w:val="nil"/>
              <w:right w:val="nil"/>
            </w:tcBorders>
            <w:shd w:val="clear" w:color="auto" w:fill="auto"/>
            <w:hideMark/>
          </w:tcPr>
          <w:p w:rsidR="00FC3F40" w:rsidRPr="00A43B36" w:rsidRDefault="00FC3F40" w:rsidP="00BB3438">
            <w:pPr>
              <w:rPr>
                <w:rFonts w:ascii="Arial" w:eastAsia="Times New Roman" w:hAnsi="Arial" w:cs="Arial"/>
                <w:color w:val="000000"/>
                <w:sz w:val="22"/>
                <w:szCs w:val="22"/>
              </w:rPr>
            </w:pPr>
          </w:p>
        </w:tc>
        <w:tc>
          <w:tcPr>
            <w:tcW w:w="2700" w:type="dxa"/>
            <w:tcBorders>
              <w:top w:val="single" w:sz="4" w:space="0" w:color="BFBFBF"/>
              <w:left w:val="nil"/>
              <w:bottom w:val="single" w:sz="4" w:space="0" w:color="BFBFBF" w:themeColor="background1" w:themeShade="BF"/>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Spironolactone</w:t>
            </w:r>
          </w:p>
        </w:tc>
        <w:tc>
          <w:tcPr>
            <w:tcW w:w="2320" w:type="dxa"/>
            <w:gridSpan w:val="3"/>
            <w:vMerge/>
            <w:tcBorders>
              <w:left w:val="nil"/>
              <w:right w:val="nil"/>
            </w:tcBorders>
            <w:shd w:val="clear" w:color="auto" w:fill="auto"/>
            <w:vAlign w:val="bottom"/>
            <w:hideMark/>
          </w:tcPr>
          <w:p w:rsidR="00FC3F40" w:rsidRPr="00A43B36" w:rsidRDefault="00FC3F40" w:rsidP="00BB3438">
            <w:pPr>
              <w:rPr>
                <w:rFonts w:ascii="Arial" w:eastAsia="Times New Roman" w:hAnsi="Arial" w:cs="Arial"/>
                <w:color w:val="000000"/>
                <w:sz w:val="22"/>
                <w:szCs w:val="22"/>
              </w:rPr>
            </w:pPr>
          </w:p>
        </w:tc>
        <w:tc>
          <w:tcPr>
            <w:tcW w:w="2320" w:type="dxa"/>
            <w:gridSpan w:val="2"/>
            <w:vMerge/>
            <w:tcBorders>
              <w:left w:val="nil"/>
              <w:right w:val="nil"/>
            </w:tcBorders>
            <w:shd w:val="clear" w:color="auto" w:fill="auto"/>
            <w:vAlign w:val="bottom"/>
          </w:tcPr>
          <w:p w:rsidR="00FC3F40" w:rsidRPr="00A43B36" w:rsidRDefault="00FC3F40" w:rsidP="00BB3438">
            <w:pPr>
              <w:rPr>
                <w:rFonts w:ascii="Arial" w:eastAsia="Times New Roman" w:hAnsi="Arial" w:cs="Arial"/>
                <w:color w:val="000000"/>
                <w:sz w:val="22"/>
                <w:szCs w:val="22"/>
              </w:rPr>
            </w:pPr>
          </w:p>
        </w:tc>
      </w:tr>
      <w:tr w:rsidR="00FC3F40" w:rsidRPr="00A43B36" w:rsidTr="00A359BD">
        <w:trPr>
          <w:trHeight w:val="300"/>
        </w:trPr>
        <w:tc>
          <w:tcPr>
            <w:tcW w:w="266" w:type="dxa"/>
            <w:tcBorders>
              <w:left w:val="nil"/>
              <w:bottom w:val="single" w:sz="4" w:space="0" w:color="auto"/>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674" w:type="dxa"/>
            <w:tcBorders>
              <w:top w:val="nil"/>
              <w:left w:val="nil"/>
              <w:bottom w:val="single" w:sz="4" w:space="0" w:color="auto"/>
              <w:right w:val="nil"/>
            </w:tcBorders>
            <w:shd w:val="clear" w:color="auto" w:fill="auto"/>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tcBorders>
              <w:top w:val="single" w:sz="4" w:space="0" w:color="BFBFBF" w:themeColor="background1" w:themeShade="BF"/>
              <w:left w:val="nil"/>
              <w:bottom w:val="single" w:sz="4" w:space="0" w:color="auto"/>
              <w:right w:val="single" w:sz="4" w:space="0" w:color="auto"/>
            </w:tcBorders>
            <w:shd w:val="clear" w:color="auto" w:fill="auto"/>
            <w:noWrap/>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Triamterene</w:t>
            </w:r>
          </w:p>
        </w:tc>
        <w:tc>
          <w:tcPr>
            <w:tcW w:w="280" w:type="dxa"/>
            <w:tcBorders>
              <w:top w:val="nil"/>
              <w:left w:val="nil"/>
              <w:bottom w:val="single" w:sz="4" w:space="0" w:color="auto"/>
              <w:right w:val="nil"/>
            </w:tcBorders>
            <w:shd w:val="clear" w:color="auto" w:fill="auto"/>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1660" w:type="dxa"/>
            <w:tcBorders>
              <w:top w:val="nil"/>
              <w:left w:val="nil"/>
              <w:bottom w:val="single" w:sz="4" w:space="0" w:color="auto"/>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c>
          <w:tcPr>
            <w:tcW w:w="2700" w:type="dxa"/>
            <w:gridSpan w:val="3"/>
            <w:tcBorders>
              <w:top w:val="nil"/>
              <w:left w:val="nil"/>
              <w:bottom w:val="single" w:sz="4" w:space="0" w:color="auto"/>
              <w:right w:val="nil"/>
            </w:tcBorders>
            <w:shd w:val="clear" w:color="auto" w:fill="auto"/>
            <w:noWrap/>
            <w:vAlign w:val="bottom"/>
            <w:hideMark/>
          </w:tcPr>
          <w:p w:rsidR="00FC3F40" w:rsidRPr="00A43B36" w:rsidRDefault="00FC3F40" w:rsidP="00BB3438">
            <w:pPr>
              <w:rPr>
                <w:rFonts w:ascii="Arial" w:eastAsia="Times New Roman" w:hAnsi="Arial" w:cs="Arial"/>
                <w:color w:val="000000"/>
                <w:sz w:val="22"/>
                <w:szCs w:val="22"/>
              </w:rPr>
            </w:pPr>
            <w:r w:rsidRPr="00A43B36">
              <w:rPr>
                <w:rFonts w:ascii="Arial" w:eastAsia="Times New Roman" w:hAnsi="Arial" w:cs="Arial"/>
                <w:color w:val="000000"/>
                <w:sz w:val="22"/>
                <w:szCs w:val="22"/>
              </w:rPr>
              <w:t xml:space="preserve"> </w:t>
            </w:r>
          </w:p>
        </w:tc>
      </w:tr>
    </w:tbl>
    <w:p w:rsidR="00FC3F40" w:rsidRDefault="00FC3F40"/>
    <w:sectPr w:rsidR="00FC3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w:altName w:val="Minio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40"/>
    <w:rsid w:val="007B2D6E"/>
    <w:rsid w:val="00870F9D"/>
    <w:rsid w:val="00A359BD"/>
    <w:rsid w:val="00FB5F7F"/>
    <w:rsid w:val="00FC3F40"/>
    <w:rsid w:val="00FF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59BD"/>
    <w:rPr>
      <w:sz w:val="16"/>
      <w:szCs w:val="16"/>
    </w:rPr>
  </w:style>
  <w:style w:type="paragraph" w:styleId="CommentText">
    <w:name w:val="annotation text"/>
    <w:basedOn w:val="Normal"/>
    <w:link w:val="CommentTextChar"/>
    <w:uiPriority w:val="99"/>
    <w:semiHidden/>
    <w:unhideWhenUsed/>
    <w:rsid w:val="00A359BD"/>
    <w:rPr>
      <w:sz w:val="20"/>
      <w:szCs w:val="20"/>
    </w:rPr>
  </w:style>
  <w:style w:type="character" w:customStyle="1" w:styleId="CommentTextChar">
    <w:name w:val="Comment Text Char"/>
    <w:basedOn w:val="DefaultParagraphFont"/>
    <w:link w:val="CommentText"/>
    <w:uiPriority w:val="99"/>
    <w:semiHidden/>
    <w:rsid w:val="00A359B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359BD"/>
    <w:rPr>
      <w:b/>
      <w:bCs/>
    </w:rPr>
  </w:style>
  <w:style w:type="character" w:customStyle="1" w:styleId="CommentSubjectChar">
    <w:name w:val="Comment Subject Char"/>
    <w:basedOn w:val="CommentTextChar"/>
    <w:link w:val="CommentSubject"/>
    <w:uiPriority w:val="99"/>
    <w:semiHidden/>
    <w:rsid w:val="00A359BD"/>
    <w:rPr>
      <w:rFonts w:eastAsiaTheme="minorEastAsia"/>
      <w:b/>
      <w:bCs/>
      <w:sz w:val="20"/>
      <w:szCs w:val="20"/>
    </w:rPr>
  </w:style>
  <w:style w:type="paragraph" w:styleId="BalloonText">
    <w:name w:val="Balloon Text"/>
    <w:basedOn w:val="Normal"/>
    <w:link w:val="BalloonTextChar"/>
    <w:uiPriority w:val="99"/>
    <w:semiHidden/>
    <w:unhideWhenUsed/>
    <w:rsid w:val="00A359BD"/>
    <w:rPr>
      <w:rFonts w:ascii="Tahoma" w:hAnsi="Tahoma" w:cs="Tahoma"/>
      <w:sz w:val="16"/>
      <w:szCs w:val="16"/>
    </w:rPr>
  </w:style>
  <w:style w:type="character" w:customStyle="1" w:styleId="BalloonTextChar">
    <w:name w:val="Balloon Text Char"/>
    <w:basedOn w:val="DefaultParagraphFont"/>
    <w:link w:val="BalloonText"/>
    <w:uiPriority w:val="99"/>
    <w:semiHidden/>
    <w:rsid w:val="00A359BD"/>
    <w:rPr>
      <w:rFonts w:ascii="Tahoma" w:eastAsiaTheme="minorEastAsia" w:hAnsi="Tahoma" w:cs="Tahoma"/>
      <w:sz w:val="16"/>
      <w:szCs w:val="16"/>
    </w:rPr>
  </w:style>
  <w:style w:type="paragraph" w:customStyle="1" w:styleId="Default">
    <w:name w:val="Default"/>
    <w:rsid w:val="007B2D6E"/>
    <w:pPr>
      <w:autoSpaceDE w:val="0"/>
      <w:autoSpaceDN w:val="0"/>
      <w:adjustRightInd w:val="0"/>
      <w:spacing w:after="0" w:line="240" w:lineRule="auto"/>
    </w:pPr>
    <w:rPr>
      <w:rFonts w:ascii="Minion" w:hAnsi="Minion" w:cs="Minion"/>
      <w:color w:val="000000"/>
      <w:sz w:val="24"/>
      <w:szCs w:val="24"/>
    </w:rPr>
  </w:style>
  <w:style w:type="paragraph" w:customStyle="1" w:styleId="Pa2">
    <w:name w:val="Pa2"/>
    <w:basedOn w:val="Default"/>
    <w:next w:val="Default"/>
    <w:uiPriority w:val="99"/>
    <w:rsid w:val="007B2D6E"/>
    <w:pPr>
      <w:spacing w:line="18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59BD"/>
    <w:rPr>
      <w:sz w:val="16"/>
      <w:szCs w:val="16"/>
    </w:rPr>
  </w:style>
  <w:style w:type="paragraph" w:styleId="CommentText">
    <w:name w:val="annotation text"/>
    <w:basedOn w:val="Normal"/>
    <w:link w:val="CommentTextChar"/>
    <w:uiPriority w:val="99"/>
    <w:semiHidden/>
    <w:unhideWhenUsed/>
    <w:rsid w:val="00A359BD"/>
    <w:rPr>
      <w:sz w:val="20"/>
      <w:szCs w:val="20"/>
    </w:rPr>
  </w:style>
  <w:style w:type="character" w:customStyle="1" w:styleId="CommentTextChar">
    <w:name w:val="Comment Text Char"/>
    <w:basedOn w:val="DefaultParagraphFont"/>
    <w:link w:val="CommentText"/>
    <w:uiPriority w:val="99"/>
    <w:semiHidden/>
    <w:rsid w:val="00A359B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359BD"/>
    <w:rPr>
      <w:b/>
      <w:bCs/>
    </w:rPr>
  </w:style>
  <w:style w:type="character" w:customStyle="1" w:styleId="CommentSubjectChar">
    <w:name w:val="Comment Subject Char"/>
    <w:basedOn w:val="CommentTextChar"/>
    <w:link w:val="CommentSubject"/>
    <w:uiPriority w:val="99"/>
    <w:semiHidden/>
    <w:rsid w:val="00A359BD"/>
    <w:rPr>
      <w:rFonts w:eastAsiaTheme="minorEastAsia"/>
      <w:b/>
      <w:bCs/>
      <w:sz w:val="20"/>
      <w:szCs w:val="20"/>
    </w:rPr>
  </w:style>
  <w:style w:type="paragraph" w:styleId="BalloonText">
    <w:name w:val="Balloon Text"/>
    <w:basedOn w:val="Normal"/>
    <w:link w:val="BalloonTextChar"/>
    <w:uiPriority w:val="99"/>
    <w:semiHidden/>
    <w:unhideWhenUsed/>
    <w:rsid w:val="00A359BD"/>
    <w:rPr>
      <w:rFonts w:ascii="Tahoma" w:hAnsi="Tahoma" w:cs="Tahoma"/>
      <w:sz w:val="16"/>
      <w:szCs w:val="16"/>
    </w:rPr>
  </w:style>
  <w:style w:type="character" w:customStyle="1" w:styleId="BalloonTextChar">
    <w:name w:val="Balloon Text Char"/>
    <w:basedOn w:val="DefaultParagraphFont"/>
    <w:link w:val="BalloonText"/>
    <w:uiPriority w:val="99"/>
    <w:semiHidden/>
    <w:rsid w:val="00A359BD"/>
    <w:rPr>
      <w:rFonts w:ascii="Tahoma" w:eastAsiaTheme="minorEastAsia" w:hAnsi="Tahoma" w:cs="Tahoma"/>
      <w:sz w:val="16"/>
      <w:szCs w:val="16"/>
    </w:rPr>
  </w:style>
  <w:style w:type="paragraph" w:customStyle="1" w:styleId="Default">
    <w:name w:val="Default"/>
    <w:rsid w:val="007B2D6E"/>
    <w:pPr>
      <w:autoSpaceDE w:val="0"/>
      <w:autoSpaceDN w:val="0"/>
      <w:adjustRightInd w:val="0"/>
      <w:spacing w:after="0" w:line="240" w:lineRule="auto"/>
    </w:pPr>
    <w:rPr>
      <w:rFonts w:ascii="Minion" w:hAnsi="Minion" w:cs="Minion"/>
      <w:color w:val="000000"/>
      <w:sz w:val="24"/>
      <w:szCs w:val="24"/>
    </w:rPr>
  </w:style>
  <w:style w:type="paragraph" w:customStyle="1" w:styleId="Pa2">
    <w:name w:val="Pa2"/>
    <w:basedOn w:val="Default"/>
    <w:next w:val="Default"/>
    <w:uiPriority w:val="99"/>
    <w:rsid w:val="007B2D6E"/>
    <w:pPr>
      <w:spacing w:line="18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41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Wyndy Wiitala</dc:creator>
  <cp:lastModifiedBy>Matt</cp:lastModifiedBy>
  <cp:revision>3</cp:revision>
  <dcterms:created xsi:type="dcterms:W3CDTF">2016-04-20T13:35:00Z</dcterms:created>
  <dcterms:modified xsi:type="dcterms:W3CDTF">2016-05-06T17:27:00Z</dcterms:modified>
</cp:coreProperties>
</file>