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C0AA2" w14:textId="247F1899" w:rsidR="0034162E" w:rsidRPr="00683EB3" w:rsidRDefault="008F2842" w:rsidP="0034162E">
      <w:pPr>
        <w:spacing w:after="120" w:line="360" w:lineRule="auto"/>
        <w:rPr>
          <w:rFonts w:ascii="Times New Roman" w:hAnsi="Times New Roman" w:cs="Times New Roman"/>
          <w:b/>
          <w:bCs/>
          <w:sz w:val="28"/>
          <w:szCs w:val="36"/>
        </w:rPr>
      </w:pPr>
      <w:r>
        <w:rPr>
          <w:rFonts w:ascii="Times New Roman" w:hAnsi="Times New Roman" w:cs="Times New Roman"/>
          <w:b/>
          <w:bCs/>
          <w:sz w:val="28"/>
          <w:szCs w:val="36"/>
        </w:rPr>
        <w:t>Cost-Effectiveness of Propeller Health System for Adults in the United States</w:t>
      </w:r>
    </w:p>
    <w:p w14:paraId="2850AF96" w14:textId="7D606F95" w:rsidR="0034162E" w:rsidRPr="00683EB3" w:rsidRDefault="00FB269A" w:rsidP="0034162E">
      <w:pPr>
        <w:spacing w:after="120" w:line="360" w:lineRule="auto"/>
        <w:rPr>
          <w:rFonts w:ascii="Times New Roman" w:hAnsi="Times New Roman" w:cs="Times New Roman"/>
        </w:rPr>
      </w:pPr>
      <w:r w:rsidRPr="00683EB3">
        <w:rPr>
          <w:rFonts w:ascii="Times New Roman" w:hAnsi="Times New Roman" w:cs="Times New Roman"/>
        </w:rPr>
        <w:t>Ciong H. Kim MPH</w:t>
      </w:r>
      <w:r w:rsidRPr="00683EB3">
        <w:rPr>
          <w:rFonts w:ascii="Times New Roman" w:hAnsi="Times New Roman" w:cs="Times New Roman"/>
          <w:vertAlign w:val="superscript"/>
        </w:rPr>
        <w:t>1</w:t>
      </w:r>
      <w:r w:rsidRPr="00683EB3">
        <w:rPr>
          <w:rFonts w:ascii="Times New Roman" w:hAnsi="Times New Roman" w:cs="Times New Roman"/>
        </w:rPr>
        <w:t xml:space="preserve">; </w:t>
      </w:r>
      <w:r w:rsidR="0034162E" w:rsidRPr="00683EB3">
        <w:rPr>
          <w:rFonts w:ascii="Times New Roman" w:hAnsi="Times New Roman" w:cs="Times New Roman"/>
        </w:rPr>
        <w:t>Jonathan D. Campbell PhD</w:t>
      </w:r>
      <w:r w:rsidRPr="00683EB3">
        <w:rPr>
          <w:rFonts w:ascii="Times New Roman" w:hAnsi="Times New Roman" w:cs="Times New Roman"/>
          <w:vertAlign w:val="superscript"/>
        </w:rPr>
        <w:t>1</w:t>
      </w:r>
    </w:p>
    <w:p w14:paraId="62376700" w14:textId="3A75F83B" w:rsidR="00E06B96" w:rsidRPr="00683EB3" w:rsidRDefault="00FB269A" w:rsidP="00E06B96">
      <w:pPr>
        <w:spacing w:after="120" w:line="360" w:lineRule="auto"/>
        <w:rPr>
          <w:rFonts w:ascii="Times New Roman" w:hAnsi="Times New Roman" w:cs="Times New Roman"/>
          <w:szCs w:val="22"/>
        </w:rPr>
      </w:pPr>
      <w:r w:rsidRPr="00683EB3">
        <w:rPr>
          <w:rFonts w:ascii="Times New Roman" w:hAnsi="Times New Roman" w:cs="Times New Roman"/>
          <w:szCs w:val="22"/>
          <w:vertAlign w:val="superscript"/>
        </w:rPr>
        <w:t>1</w:t>
      </w:r>
      <w:r w:rsidR="00E06B96" w:rsidRPr="00683EB3">
        <w:rPr>
          <w:rFonts w:ascii="Times New Roman" w:hAnsi="Times New Roman" w:cs="Times New Roman"/>
          <w:szCs w:val="22"/>
        </w:rPr>
        <w:t>Center for Pharmaceutical Outcomes Research, Skaggs School of Pharmacy and Pharmaceutical</w:t>
      </w:r>
      <w:r w:rsidRPr="00683EB3">
        <w:rPr>
          <w:rFonts w:ascii="Times New Roman" w:hAnsi="Times New Roman" w:cs="Times New Roman"/>
          <w:szCs w:val="22"/>
        </w:rPr>
        <w:t xml:space="preserve"> Sciences, University of Colorado, Denver, USA</w:t>
      </w:r>
    </w:p>
    <w:p w14:paraId="30280FDC" w14:textId="77777777" w:rsidR="00FB269A" w:rsidRPr="00683EB3" w:rsidRDefault="00FB269A" w:rsidP="00E06B96">
      <w:pPr>
        <w:spacing w:after="120" w:line="360" w:lineRule="auto"/>
        <w:rPr>
          <w:rFonts w:ascii="Times New Roman" w:hAnsi="Times New Roman" w:cs="Times New Roman"/>
        </w:rPr>
      </w:pPr>
    </w:p>
    <w:p w14:paraId="6B95672B" w14:textId="77777777" w:rsidR="00740F33" w:rsidRDefault="00740F33">
      <w:pPr>
        <w:rPr>
          <w:rFonts w:ascii="Times New Roman" w:hAnsi="Times New Roman" w:cs="Times New Roman"/>
          <w:b/>
          <w:bCs/>
        </w:rPr>
      </w:pPr>
    </w:p>
    <w:p w14:paraId="5DA3CA9D" w14:textId="77777777" w:rsidR="00740F33" w:rsidRDefault="00740F33">
      <w:pPr>
        <w:rPr>
          <w:rFonts w:ascii="Times New Roman" w:hAnsi="Times New Roman" w:cs="Times New Roman"/>
          <w:b/>
          <w:bCs/>
        </w:rPr>
      </w:pPr>
    </w:p>
    <w:p w14:paraId="6FA0DBBF" w14:textId="77777777" w:rsidR="00740F33" w:rsidRDefault="00740F33">
      <w:pPr>
        <w:rPr>
          <w:rFonts w:ascii="Times New Roman" w:hAnsi="Times New Roman" w:cs="Times New Roman"/>
          <w:b/>
          <w:bCs/>
        </w:rPr>
      </w:pPr>
    </w:p>
    <w:p w14:paraId="091B321D" w14:textId="77777777" w:rsidR="00740F33" w:rsidRDefault="00740F33">
      <w:pPr>
        <w:rPr>
          <w:rFonts w:ascii="Times New Roman" w:hAnsi="Times New Roman" w:cs="Times New Roman"/>
          <w:b/>
          <w:bCs/>
        </w:rPr>
      </w:pPr>
    </w:p>
    <w:p w14:paraId="735E4299" w14:textId="77777777" w:rsidR="00740F33" w:rsidRDefault="00740F33">
      <w:pPr>
        <w:rPr>
          <w:rFonts w:ascii="Times New Roman" w:hAnsi="Times New Roman" w:cs="Times New Roman"/>
          <w:b/>
          <w:bCs/>
        </w:rPr>
      </w:pPr>
    </w:p>
    <w:p w14:paraId="4EB7B5FE" w14:textId="77777777" w:rsidR="004D78CF" w:rsidRPr="00683EB3" w:rsidRDefault="004D78CF">
      <w:pPr>
        <w:rPr>
          <w:rFonts w:ascii="Times New Roman" w:hAnsi="Times New Roman" w:cs="Times New Roman"/>
          <w:b/>
          <w:bCs/>
        </w:rPr>
      </w:pPr>
      <w:r w:rsidRPr="00683EB3">
        <w:rPr>
          <w:rFonts w:ascii="Times New Roman" w:hAnsi="Times New Roman" w:cs="Times New Roman"/>
          <w:b/>
          <w:bCs/>
        </w:rPr>
        <w:t>Corresponding author:</w:t>
      </w:r>
    </w:p>
    <w:p w14:paraId="477BFCB9" w14:textId="77777777" w:rsidR="004D78CF" w:rsidRPr="00683EB3" w:rsidRDefault="004D78CF">
      <w:pPr>
        <w:rPr>
          <w:rFonts w:ascii="Times New Roman" w:hAnsi="Times New Roman" w:cs="Times New Roman"/>
        </w:rPr>
      </w:pPr>
      <w:r w:rsidRPr="00683EB3">
        <w:rPr>
          <w:rFonts w:ascii="Times New Roman" w:hAnsi="Times New Roman" w:cs="Times New Roman"/>
        </w:rPr>
        <w:t>Jonathan D. Campbell PhD</w:t>
      </w:r>
    </w:p>
    <w:p w14:paraId="2D6FF09C" w14:textId="3A6E517C" w:rsidR="004D78CF" w:rsidRPr="00683EB3" w:rsidRDefault="004D78CF" w:rsidP="004D78CF">
      <w:pPr>
        <w:spacing w:after="120" w:line="360" w:lineRule="auto"/>
        <w:rPr>
          <w:rFonts w:ascii="Times New Roman" w:hAnsi="Times New Roman" w:cs="Times New Roman"/>
          <w:szCs w:val="22"/>
        </w:rPr>
      </w:pPr>
      <w:r w:rsidRPr="00683EB3">
        <w:rPr>
          <w:rFonts w:ascii="Times New Roman" w:hAnsi="Times New Roman" w:cs="Times New Roman"/>
          <w:szCs w:val="22"/>
        </w:rPr>
        <w:t>Center for Pharmaceutical Outcomes Research, Skaggs School of Pharmacy and Pharmaceutical Sciences, University of Colorado, Denver, USA</w:t>
      </w:r>
    </w:p>
    <w:p w14:paraId="06791DB1" w14:textId="77777777" w:rsidR="002E7E49" w:rsidRPr="00683EB3" w:rsidRDefault="002E7E49">
      <w:pPr>
        <w:rPr>
          <w:rFonts w:ascii="Times New Roman" w:hAnsi="Times New Roman" w:cs="Times New Roman"/>
          <w:b/>
          <w:bCs/>
        </w:rPr>
      </w:pPr>
    </w:p>
    <w:p w14:paraId="0A2F2C00" w14:textId="0E3D4F65" w:rsidR="004D78CF" w:rsidRPr="00683EB3" w:rsidRDefault="004D78CF">
      <w:pPr>
        <w:rPr>
          <w:rFonts w:ascii="Times New Roman" w:hAnsi="Times New Roman" w:cs="Times New Roman"/>
          <w:b/>
          <w:bCs/>
        </w:rPr>
      </w:pPr>
      <w:r w:rsidRPr="00683EB3">
        <w:rPr>
          <w:rFonts w:ascii="Times New Roman" w:hAnsi="Times New Roman" w:cs="Times New Roman"/>
          <w:b/>
          <w:bCs/>
        </w:rPr>
        <w:t>Words:</w:t>
      </w:r>
      <w:r w:rsidR="005F5970" w:rsidRPr="00683EB3">
        <w:rPr>
          <w:rFonts w:ascii="Times New Roman" w:hAnsi="Times New Roman" w:cs="Times New Roman"/>
          <w:b/>
          <w:bCs/>
        </w:rPr>
        <w:t xml:space="preserve"> </w:t>
      </w:r>
      <w:r w:rsidR="005F5970" w:rsidRPr="00683EB3">
        <w:rPr>
          <w:rFonts w:ascii="Times New Roman" w:hAnsi="Times New Roman" w:cs="Times New Roman"/>
          <w:bCs/>
        </w:rPr>
        <w:t xml:space="preserve">asthma, cost, effectiveness, cost-effectiveness, </w:t>
      </w:r>
      <w:r w:rsidR="008F2842">
        <w:rPr>
          <w:rFonts w:ascii="Times New Roman" w:hAnsi="Times New Roman" w:cs="Times New Roman"/>
          <w:bCs/>
        </w:rPr>
        <w:t>bluetooth sensor, health technology</w:t>
      </w:r>
      <w:r w:rsidRPr="00683EB3">
        <w:rPr>
          <w:rFonts w:ascii="Times New Roman" w:hAnsi="Times New Roman" w:cs="Times New Roman"/>
          <w:b/>
          <w:bCs/>
        </w:rPr>
        <w:br w:type="page"/>
      </w:r>
    </w:p>
    <w:p w14:paraId="7527181A" w14:textId="16099F41" w:rsidR="004D78CF" w:rsidRPr="00683EB3" w:rsidRDefault="004D78CF" w:rsidP="0034162E">
      <w:pPr>
        <w:spacing w:after="120" w:line="360" w:lineRule="auto"/>
        <w:rPr>
          <w:rFonts w:ascii="Times New Roman" w:hAnsi="Times New Roman" w:cs="Times New Roman"/>
          <w:b/>
          <w:bCs/>
          <w:sz w:val="28"/>
        </w:rPr>
      </w:pPr>
      <w:r w:rsidRPr="00683EB3">
        <w:rPr>
          <w:rFonts w:ascii="Times New Roman" w:hAnsi="Times New Roman" w:cs="Times New Roman"/>
          <w:b/>
          <w:bCs/>
          <w:sz w:val="28"/>
        </w:rPr>
        <w:lastRenderedPageBreak/>
        <w:t>Abstract</w:t>
      </w:r>
    </w:p>
    <w:p w14:paraId="3501F12F" w14:textId="5CA0500D" w:rsidR="0034162E" w:rsidRPr="00683EB3" w:rsidRDefault="0034162E" w:rsidP="001A4606">
      <w:pPr>
        <w:spacing w:after="120" w:line="360" w:lineRule="auto"/>
        <w:rPr>
          <w:rFonts w:ascii="Times New Roman" w:hAnsi="Times New Roman" w:cs="Times New Roman"/>
        </w:rPr>
      </w:pPr>
      <w:r w:rsidRPr="00683EB3">
        <w:rPr>
          <w:rFonts w:ascii="Times New Roman" w:hAnsi="Times New Roman" w:cs="Times New Roman"/>
          <w:b/>
          <w:bCs/>
        </w:rPr>
        <w:t>Background:</w:t>
      </w:r>
      <w:r w:rsidRPr="00683EB3">
        <w:rPr>
          <w:rFonts w:ascii="Times New Roman" w:hAnsi="Times New Roman" w:cs="Times New Roman"/>
        </w:rPr>
        <w:t xml:space="preserve"> </w:t>
      </w:r>
      <w:r w:rsidR="00601E45">
        <w:rPr>
          <w:rFonts w:ascii="Times New Roman" w:hAnsi="Times New Roman" w:cs="Times New Roman"/>
        </w:rPr>
        <w:t>Propeller health system</w:t>
      </w:r>
      <w:r w:rsidR="00A374D9">
        <w:rPr>
          <w:rFonts w:ascii="Times New Roman" w:hAnsi="Times New Roman" w:cs="Times New Roman"/>
        </w:rPr>
        <w:t xml:space="preserve"> (PHS)</w:t>
      </w:r>
      <w:r w:rsidR="00601E45">
        <w:rPr>
          <w:rFonts w:ascii="Times New Roman" w:hAnsi="Times New Roman" w:cs="Times New Roman"/>
        </w:rPr>
        <w:t xml:space="preserve">, a </w:t>
      </w:r>
      <w:r w:rsidR="00EB48B1">
        <w:rPr>
          <w:rFonts w:ascii="Times New Roman" w:hAnsi="Times New Roman" w:cs="Times New Roman"/>
        </w:rPr>
        <w:t>tele health</w:t>
      </w:r>
      <w:r w:rsidR="00601E45">
        <w:rPr>
          <w:rFonts w:ascii="Times New Roman" w:hAnsi="Times New Roman" w:cs="Times New Roman"/>
        </w:rPr>
        <w:t xml:space="preserve"> </w:t>
      </w:r>
      <w:r w:rsidR="001E3E31">
        <w:rPr>
          <w:rFonts w:ascii="Times New Roman" w:hAnsi="Times New Roman" w:cs="Times New Roman"/>
        </w:rPr>
        <w:t>asthma management system</w:t>
      </w:r>
      <w:r w:rsidR="00601E45">
        <w:rPr>
          <w:rFonts w:ascii="Times New Roman" w:hAnsi="Times New Roman" w:cs="Times New Roman"/>
        </w:rPr>
        <w:t xml:space="preserve"> for asthma medication overuse monitoring, reduces exacerbations and symptoms in adults with asthma. The study objective was to estimate the cost-effectiveness of </w:t>
      </w:r>
      <w:r w:rsidR="00A374D9">
        <w:rPr>
          <w:rFonts w:ascii="Times New Roman" w:hAnsi="Times New Roman" w:cs="Times New Roman"/>
        </w:rPr>
        <w:t>PHS</w:t>
      </w:r>
      <w:r w:rsidR="00601E45">
        <w:rPr>
          <w:rFonts w:ascii="Times New Roman" w:hAnsi="Times New Roman" w:cs="Times New Roman"/>
        </w:rPr>
        <w:t xml:space="preserve"> </w:t>
      </w:r>
      <w:r w:rsidR="00A374D9">
        <w:rPr>
          <w:rFonts w:ascii="Times New Roman" w:hAnsi="Times New Roman" w:cs="Times New Roman"/>
        </w:rPr>
        <w:t xml:space="preserve">and usual care </w:t>
      </w:r>
      <w:r w:rsidR="00601E45">
        <w:rPr>
          <w:rFonts w:ascii="Times New Roman" w:hAnsi="Times New Roman" w:cs="Times New Roman"/>
        </w:rPr>
        <w:t>compared to usual care from a US payer perspective.</w:t>
      </w:r>
      <w:r w:rsidR="00601E45" w:rsidRPr="00683EB3" w:rsidDel="00601E45">
        <w:rPr>
          <w:rFonts w:ascii="Times New Roman" w:hAnsi="Times New Roman" w:cs="Times New Roman"/>
        </w:rPr>
        <w:t xml:space="preserve"> </w:t>
      </w:r>
    </w:p>
    <w:p w14:paraId="268E6999" w14:textId="1E2DBA18" w:rsidR="00D5468D" w:rsidRPr="00683EB3" w:rsidRDefault="0034162E" w:rsidP="00FD065D">
      <w:pPr>
        <w:spacing w:after="120" w:line="360" w:lineRule="auto"/>
        <w:rPr>
          <w:rFonts w:ascii="Times New Roman" w:hAnsi="Times New Roman" w:cs="Times New Roman"/>
          <w:szCs w:val="22"/>
        </w:rPr>
      </w:pPr>
      <w:r w:rsidRPr="00683EB3">
        <w:rPr>
          <w:rFonts w:ascii="Times New Roman" w:hAnsi="Times New Roman" w:cs="Times New Roman"/>
          <w:b/>
          <w:bCs/>
        </w:rPr>
        <w:t>Methods:</w:t>
      </w:r>
      <w:r w:rsidRPr="00683EB3">
        <w:rPr>
          <w:rFonts w:ascii="Times New Roman" w:hAnsi="Times New Roman" w:cs="Times New Roman"/>
        </w:rPr>
        <w:t xml:space="preserve"> </w:t>
      </w:r>
      <w:r w:rsidR="00601E45">
        <w:rPr>
          <w:rFonts w:ascii="Times New Roman" w:hAnsi="Times New Roman" w:cs="Times New Roman"/>
        </w:rPr>
        <w:t xml:space="preserve">We estimated payer costs, quality-adjusted life years (QALYs), and the incremental cost-effectiveness ratio (ICER) of </w:t>
      </w:r>
      <w:r w:rsidR="00A374D9">
        <w:rPr>
          <w:rFonts w:ascii="Times New Roman" w:hAnsi="Times New Roman" w:cs="Times New Roman"/>
        </w:rPr>
        <w:t>PHS and usual care</w:t>
      </w:r>
      <w:r w:rsidR="00601E45">
        <w:rPr>
          <w:rFonts w:ascii="Times New Roman" w:hAnsi="Times New Roman" w:cs="Times New Roman"/>
        </w:rPr>
        <w:t xml:space="preserve"> compared to usual care using a state-transition simulation model that included sensitivity analyses. Every 2 weeks, patients transition between controlled/uncontrolled asthma and exacerbation health states. The best available evidence informed the clinical and cost input estimates. Life time use of </w:t>
      </w:r>
      <w:r w:rsidR="00A374D9">
        <w:rPr>
          <w:rFonts w:ascii="Times New Roman" w:hAnsi="Times New Roman" w:cs="Times New Roman"/>
        </w:rPr>
        <w:t>PHS</w:t>
      </w:r>
      <w:r w:rsidR="00601E45">
        <w:rPr>
          <w:rFonts w:ascii="Times New Roman" w:hAnsi="Times New Roman" w:cs="Times New Roman"/>
        </w:rPr>
        <w:t xml:space="preserve"> use was assumed to estimate a lifetime horizon. </w:t>
      </w:r>
    </w:p>
    <w:p w14:paraId="59031F0B" w14:textId="12A92188" w:rsidR="00601E45" w:rsidRDefault="00D5468D" w:rsidP="0034162E">
      <w:pPr>
        <w:spacing w:after="120" w:line="360" w:lineRule="auto"/>
        <w:rPr>
          <w:rFonts w:ascii="Times New Roman" w:hAnsi="Times New Roman" w:cs="Times New Roman"/>
          <w:szCs w:val="22"/>
          <w:lang w:eastAsia="ko-KR"/>
        </w:rPr>
      </w:pPr>
      <w:r w:rsidRPr="00683EB3">
        <w:rPr>
          <w:rFonts w:ascii="Times New Roman" w:hAnsi="Times New Roman" w:cs="Times New Roman"/>
          <w:b/>
          <w:bCs/>
          <w:szCs w:val="22"/>
        </w:rPr>
        <w:t>Results:</w:t>
      </w:r>
      <w:r w:rsidR="00437B50" w:rsidRPr="00683EB3">
        <w:rPr>
          <w:rFonts w:ascii="Times New Roman" w:hAnsi="Times New Roman" w:cs="Times New Roman"/>
          <w:szCs w:val="22"/>
        </w:rPr>
        <w:t xml:space="preserve"> </w:t>
      </w:r>
      <w:r w:rsidR="00A374D9">
        <w:rPr>
          <w:rFonts w:ascii="Times New Roman" w:hAnsi="Times New Roman" w:cs="Times New Roman"/>
          <w:szCs w:val="22"/>
        </w:rPr>
        <w:t>The mean lifetime discounted costs and QALYs for men (women) were $5</w:t>
      </w:r>
      <w:r w:rsidR="00B64045">
        <w:rPr>
          <w:rFonts w:ascii="Times New Roman" w:hAnsi="Times New Roman" w:cs="Times New Roman"/>
          <w:szCs w:val="22"/>
        </w:rPr>
        <w:t>8,540</w:t>
      </w:r>
      <w:r w:rsidR="00A374D9">
        <w:rPr>
          <w:rFonts w:ascii="Times New Roman" w:hAnsi="Times New Roman" w:cs="Times New Roman"/>
          <w:szCs w:val="22"/>
        </w:rPr>
        <w:t xml:space="preserve"> ($5</w:t>
      </w:r>
      <w:r w:rsidR="00B64045">
        <w:rPr>
          <w:rFonts w:ascii="Times New Roman" w:hAnsi="Times New Roman" w:cs="Times New Roman"/>
          <w:szCs w:val="22"/>
        </w:rPr>
        <w:t>9</w:t>
      </w:r>
      <w:r w:rsidR="00A374D9">
        <w:rPr>
          <w:rFonts w:ascii="Times New Roman" w:hAnsi="Times New Roman" w:cs="Times New Roman"/>
          <w:szCs w:val="22"/>
        </w:rPr>
        <w:t>,</w:t>
      </w:r>
      <w:r w:rsidR="00B64045">
        <w:rPr>
          <w:rFonts w:ascii="Times New Roman" w:hAnsi="Times New Roman" w:cs="Times New Roman"/>
          <w:szCs w:val="22"/>
        </w:rPr>
        <w:t>999</w:t>
      </w:r>
      <w:r w:rsidR="00A374D9">
        <w:rPr>
          <w:rFonts w:ascii="Times New Roman" w:hAnsi="Times New Roman" w:cs="Times New Roman"/>
          <w:szCs w:val="22"/>
        </w:rPr>
        <w:t>) and 1</w:t>
      </w:r>
      <w:r w:rsidR="00B64045">
        <w:rPr>
          <w:rFonts w:ascii="Times New Roman" w:hAnsi="Times New Roman" w:cs="Times New Roman"/>
          <w:szCs w:val="22"/>
        </w:rPr>
        <w:t>4</w:t>
      </w:r>
      <w:r w:rsidR="00A374D9">
        <w:rPr>
          <w:rFonts w:ascii="Times New Roman" w:hAnsi="Times New Roman" w:cs="Times New Roman"/>
          <w:szCs w:val="22"/>
        </w:rPr>
        <w:t>.</w:t>
      </w:r>
      <w:r w:rsidR="00B64045">
        <w:rPr>
          <w:rFonts w:ascii="Times New Roman" w:hAnsi="Times New Roman" w:cs="Times New Roman"/>
          <w:szCs w:val="22"/>
        </w:rPr>
        <w:t>28</w:t>
      </w:r>
      <w:r w:rsidR="00A374D9">
        <w:rPr>
          <w:rFonts w:ascii="Times New Roman" w:hAnsi="Times New Roman" w:cs="Times New Roman"/>
          <w:szCs w:val="22"/>
        </w:rPr>
        <w:t xml:space="preserve"> (1</w:t>
      </w:r>
      <w:r w:rsidR="00B64045">
        <w:rPr>
          <w:rFonts w:ascii="Times New Roman" w:hAnsi="Times New Roman" w:cs="Times New Roman"/>
          <w:szCs w:val="22"/>
        </w:rPr>
        <w:t>5.06</w:t>
      </w:r>
      <w:r w:rsidR="00A374D9">
        <w:rPr>
          <w:rFonts w:ascii="Times New Roman" w:hAnsi="Times New Roman" w:cs="Times New Roman"/>
          <w:szCs w:val="22"/>
        </w:rPr>
        <w:t>) for usual care and $</w:t>
      </w:r>
      <w:r w:rsidR="00B64045">
        <w:rPr>
          <w:rFonts w:ascii="Times New Roman" w:hAnsi="Times New Roman" w:cs="Times New Roman"/>
          <w:szCs w:val="22"/>
        </w:rPr>
        <w:t>61</w:t>
      </w:r>
      <w:r w:rsidR="00A374D9">
        <w:rPr>
          <w:rFonts w:ascii="Times New Roman" w:hAnsi="Times New Roman" w:cs="Times New Roman"/>
          <w:szCs w:val="22"/>
        </w:rPr>
        <w:t>,</w:t>
      </w:r>
      <w:r w:rsidR="00B64045">
        <w:rPr>
          <w:rFonts w:ascii="Times New Roman" w:hAnsi="Times New Roman" w:cs="Times New Roman"/>
          <w:szCs w:val="22"/>
        </w:rPr>
        <w:t>236</w:t>
      </w:r>
      <w:r w:rsidR="00A374D9">
        <w:rPr>
          <w:rFonts w:ascii="Times New Roman" w:hAnsi="Times New Roman" w:cs="Times New Roman"/>
          <w:szCs w:val="22"/>
        </w:rPr>
        <w:t xml:space="preserve"> ($6</w:t>
      </w:r>
      <w:r w:rsidR="00B64045">
        <w:rPr>
          <w:rFonts w:ascii="Times New Roman" w:hAnsi="Times New Roman" w:cs="Times New Roman"/>
          <w:szCs w:val="22"/>
        </w:rPr>
        <w:t>2</w:t>
      </w:r>
      <w:r w:rsidR="00A374D9">
        <w:rPr>
          <w:rFonts w:ascii="Times New Roman" w:hAnsi="Times New Roman" w:cs="Times New Roman"/>
          <w:szCs w:val="22"/>
        </w:rPr>
        <w:t>,</w:t>
      </w:r>
      <w:r w:rsidR="00B64045">
        <w:rPr>
          <w:rFonts w:ascii="Times New Roman" w:hAnsi="Times New Roman" w:cs="Times New Roman"/>
          <w:szCs w:val="22"/>
        </w:rPr>
        <w:t>786</w:t>
      </w:r>
      <w:r w:rsidR="00A374D9">
        <w:rPr>
          <w:rFonts w:ascii="Times New Roman" w:hAnsi="Times New Roman" w:cs="Times New Roman"/>
          <w:szCs w:val="22"/>
        </w:rPr>
        <w:t>) and 14.</w:t>
      </w:r>
      <w:r w:rsidR="00B64045">
        <w:rPr>
          <w:rFonts w:ascii="Times New Roman" w:hAnsi="Times New Roman" w:cs="Times New Roman"/>
          <w:szCs w:val="22"/>
        </w:rPr>
        <w:t>80</w:t>
      </w:r>
      <w:r w:rsidR="00A374D9">
        <w:rPr>
          <w:rFonts w:ascii="Times New Roman" w:hAnsi="Times New Roman" w:cs="Times New Roman"/>
          <w:szCs w:val="22"/>
        </w:rPr>
        <w:t xml:space="preserve"> (1</w:t>
      </w:r>
      <w:r w:rsidR="00B64045">
        <w:rPr>
          <w:rFonts w:ascii="Times New Roman" w:hAnsi="Times New Roman" w:cs="Times New Roman"/>
          <w:szCs w:val="22"/>
        </w:rPr>
        <w:t>5</w:t>
      </w:r>
      <w:r w:rsidR="00A374D9">
        <w:rPr>
          <w:rFonts w:ascii="Times New Roman" w:hAnsi="Times New Roman" w:cs="Times New Roman"/>
          <w:szCs w:val="22"/>
        </w:rPr>
        <w:t>.</w:t>
      </w:r>
      <w:r w:rsidR="00B64045">
        <w:rPr>
          <w:rFonts w:ascii="Times New Roman" w:hAnsi="Times New Roman" w:cs="Times New Roman"/>
          <w:szCs w:val="22"/>
        </w:rPr>
        <w:t>63</w:t>
      </w:r>
      <w:r w:rsidR="00A374D9">
        <w:rPr>
          <w:rFonts w:ascii="Times New Roman" w:hAnsi="Times New Roman" w:cs="Times New Roman"/>
          <w:szCs w:val="22"/>
        </w:rPr>
        <w:t>) for PHS resulting in $5,</w:t>
      </w:r>
      <w:r w:rsidR="00B64045">
        <w:rPr>
          <w:rFonts w:ascii="Times New Roman" w:hAnsi="Times New Roman" w:cs="Times New Roman"/>
          <w:szCs w:val="22"/>
        </w:rPr>
        <w:t>216</w:t>
      </w:r>
      <w:r w:rsidR="00A374D9">
        <w:rPr>
          <w:rFonts w:ascii="Times New Roman" w:hAnsi="Times New Roman" w:cs="Times New Roman"/>
          <w:szCs w:val="22"/>
        </w:rPr>
        <w:t xml:space="preserve"> ($</w:t>
      </w:r>
      <w:r w:rsidR="00B64045">
        <w:rPr>
          <w:rFonts w:ascii="Times New Roman" w:hAnsi="Times New Roman" w:cs="Times New Roman"/>
          <w:szCs w:val="22"/>
        </w:rPr>
        <w:t>4</w:t>
      </w:r>
      <w:r w:rsidR="00A374D9">
        <w:rPr>
          <w:rFonts w:ascii="Times New Roman" w:hAnsi="Times New Roman" w:cs="Times New Roman"/>
          <w:szCs w:val="22"/>
        </w:rPr>
        <w:t>,</w:t>
      </w:r>
      <w:r w:rsidR="00B64045">
        <w:rPr>
          <w:rFonts w:ascii="Times New Roman" w:hAnsi="Times New Roman" w:cs="Times New Roman"/>
          <w:szCs w:val="22"/>
        </w:rPr>
        <w:t>931</w:t>
      </w:r>
      <w:r w:rsidR="00A374D9">
        <w:rPr>
          <w:rFonts w:ascii="Times New Roman" w:hAnsi="Times New Roman" w:cs="Times New Roman"/>
          <w:szCs w:val="22"/>
        </w:rPr>
        <w:t xml:space="preserve">) /QALY. One way sensitivity analyses indicated that the results were sensitive to the cost of hospitalization, probability of subjects having oral corticosteroid (OC) burst for uncontrolled asthmatics, and probability of emergency room visit for the uncontrolled asthmatics. </w:t>
      </w:r>
    </w:p>
    <w:p w14:paraId="04D3D5BE" w14:textId="03C7BC6A" w:rsidR="004D78CF" w:rsidRPr="00683EB3" w:rsidRDefault="00A374D9" w:rsidP="001A4606">
      <w:pPr>
        <w:spacing w:after="120" w:line="360" w:lineRule="auto"/>
        <w:rPr>
          <w:rFonts w:ascii="Times New Roman" w:hAnsi="Times New Roman" w:cs="Times New Roman"/>
          <w:szCs w:val="22"/>
        </w:rPr>
      </w:pPr>
      <w:r>
        <w:rPr>
          <w:rFonts w:ascii="Times New Roman" w:hAnsi="Times New Roman" w:cs="Times New Roman"/>
          <w:szCs w:val="22"/>
        </w:rPr>
        <w:t>\</w:t>
      </w:r>
      <w:r w:rsidR="00AF27F8" w:rsidRPr="00683EB3">
        <w:rPr>
          <w:rFonts w:ascii="Times New Roman" w:hAnsi="Times New Roman" w:cs="Times New Roman"/>
          <w:b/>
          <w:bCs/>
          <w:szCs w:val="22"/>
        </w:rPr>
        <w:t>Conclusion:</w:t>
      </w:r>
      <w:r w:rsidR="00AF27F8" w:rsidRPr="00683EB3">
        <w:rPr>
          <w:rFonts w:ascii="Times New Roman" w:hAnsi="Times New Roman" w:cs="Times New Roman"/>
          <w:szCs w:val="22"/>
        </w:rPr>
        <w:t xml:space="preserve"> The </w:t>
      </w:r>
      <w:r>
        <w:rPr>
          <w:rFonts w:ascii="Times New Roman" w:hAnsi="Times New Roman" w:cs="Times New Roman"/>
          <w:szCs w:val="22"/>
        </w:rPr>
        <w:t>results suggest that PHS and usual care compared to usual care alone improves QALYs at an increase in direct medical costs. Even so, the probability of cost-effectiveness at a willingness to pay threshold of $50,000/QALY is 97.6%.</w:t>
      </w:r>
    </w:p>
    <w:p w14:paraId="72B17855" w14:textId="77777777" w:rsidR="004D78CF" w:rsidRPr="00683EB3" w:rsidRDefault="004D78CF">
      <w:pPr>
        <w:rPr>
          <w:rFonts w:ascii="Times New Roman" w:hAnsi="Times New Roman" w:cs="Times New Roman"/>
          <w:szCs w:val="22"/>
        </w:rPr>
      </w:pPr>
      <w:r w:rsidRPr="00683EB3">
        <w:rPr>
          <w:rFonts w:ascii="Times New Roman" w:hAnsi="Times New Roman" w:cs="Times New Roman"/>
          <w:szCs w:val="22"/>
        </w:rPr>
        <w:br w:type="page"/>
      </w:r>
    </w:p>
    <w:p w14:paraId="3C222B73" w14:textId="1D6257DB" w:rsidR="00AF27F8" w:rsidRPr="00683EB3" w:rsidRDefault="004D78CF" w:rsidP="0034162E">
      <w:pPr>
        <w:spacing w:after="120" w:line="360" w:lineRule="auto"/>
        <w:rPr>
          <w:rFonts w:ascii="Times New Roman" w:hAnsi="Times New Roman" w:cs="Times New Roman"/>
          <w:b/>
          <w:sz w:val="28"/>
        </w:rPr>
      </w:pPr>
      <w:r w:rsidRPr="00683EB3">
        <w:rPr>
          <w:rFonts w:ascii="Times New Roman" w:hAnsi="Times New Roman" w:cs="Times New Roman"/>
          <w:b/>
          <w:sz w:val="28"/>
        </w:rPr>
        <w:lastRenderedPageBreak/>
        <w:t>Introduction</w:t>
      </w:r>
    </w:p>
    <w:p w14:paraId="36BB75EF" w14:textId="13DDA60B" w:rsidR="00B520A3" w:rsidRDefault="00B520A3" w:rsidP="009D6225">
      <w:pPr>
        <w:spacing w:after="120" w:line="360" w:lineRule="auto"/>
        <w:rPr>
          <w:rFonts w:ascii="Times New Roman" w:hAnsi="Times New Roman" w:cs="Times New Roman"/>
          <w:szCs w:val="22"/>
        </w:rPr>
      </w:pPr>
      <w:r>
        <w:rPr>
          <w:rFonts w:ascii="Times New Roman" w:hAnsi="Times New Roman" w:cs="Times New Roman"/>
          <w:szCs w:val="22"/>
        </w:rPr>
        <w:t xml:space="preserve">Asthma is a respiratory disease characterized by chronic symptoms such as airflow obstruction, bronchial hyper-responsiveness, and inflammation of the airways. In the United States, 8.6% of children and 7.4% of adults </w:t>
      </w:r>
      <w:r w:rsidR="007F5451">
        <w:rPr>
          <w:rFonts w:ascii="Times New Roman" w:hAnsi="Times New Roman" w:cs="Times New Roman"/>
          <w:szCs w:val="22"/>
        </w:rPr>
        <w:t>currently have asthma</w:t>
      </w:r>
      <w:r w:rsidR="007F5451">
        <w:rPr>
          <w:rFonts w:ascii="Times New Roman" w:hAnsi="Times New Roman" w:cs="Times New Roman"/>
          <w:szCs w:val="22"/>
        </w:rPr>
        <w:fldChar w:fldCharType="begin">
          <w:fldData xml:space="preserve">PEVuZE5vdGU+PENpdGU+PEF1dGhvcj5QYXRlbDwvQXV0aG9yPjxZZWFyPjIwMTU8L1llYXI+PFJl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</w:fldData>
        </w:fldChar>
      </w:r>
      <w:r w:rsidR="007F5451">
        <w:rPr>
          <w:rFonts w:ascii="Times New Roman" w:hAnsi="Times New Roman" w:cs="Times New Roman"/>
          <w:szCs w:val="22"/>
        </w:rPr>
        <w:instrText xml:space="preserve"> ADDIN EN.CITE </w:instrText>
      </w:r>
      <w:r w:rsidR="007F5451">
        <w:rPr>
          <w:rFonts w:ascii="Times New Roman" w:hAnsi="Times New Roman" w:cs="Times New Roman"/>
          <w:szCs w:val="22"/>
        </w:rPr>
        <w:fldChar w:fldCharType="begin">
          <w:fldData xml:space="preserve">PEVuZE5vdGU+PENpdGU+PEF1dGhvcj5QYXRlbDwvQXV0aG9yPjxZZWFyPjIwMTU8L1llYXI+PFJl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</w:fldData>
        </w:fldChar>
      </w:r>
      <w:r w:rsidR="007F5451">
        <w:rPr>
          <w:rFonts w:ascii="Times New Roman" w:hAnsi="Times New Roman" w:cs="Times New Roman"/>
          <w:szCs w:val="22"/>
        </w:rPr>
        <w:instrText xml:space="preserve"> ADDIN EN.CITE.DATA </w:instrText>
      </w:r>
      <w:r w:rsidR="007F5451">
        <w:rPr>
          <w:rFonts w:ascii="Times New Roman" w:hAnsi="Times New Roman" w:cs="Times New Roman"/>
          <w:szCs w:val="22"/>
        </w:rPr>
      </w:r>
      <w:r w:rsidR="007F5451">
        <w:rPr>
          <w:rFonts w:ascii="Times New Roman" w:hAnsi="Times New Roman" w:cs="Times New Roman"/>
          <w:szCs w:val="22"/>
        </w:rPr>
        <w:fldChar w:fldCharType="end"/>
      </w:r>
      <w:r w:rsidR="007F5451">
        <w:rPr>
          <w:rFonts w:ascii="Times New Roman" w:hAnsi="Times New Roman" w:cs="Times New Roman"/>
          <w:szCs w:val="22"/>
        </w:rPr>
      </w:r>
      <w:r w:rsidR="007F5451">
        <w:rPr>
          <w:rFonts w:ascii="Times New Roman" w:hAnsi="Times New Roman" w:cs="Times New Roman"/>
          <w:szCs w:val="22"/>
        </w:rPr>
        <w:fldChar w:fldCharType="separate"/>
      </w:r>
      <w:r w:rsidR="007F5451" w:rsidRPr="007F5451">
        <w:rPr>
          <w:rFonts w:ascii="Times New Roman" w:hAnsi="Times New Roman" w:cs="Times New Roman"/>
          <w:noProof/>
          <w:szCs w:val="22"/>
          <w:vertAlign w:val="superscript"/>
        </w:rPr>
        <w:t>1</w:t>
      </w:r>
      <w:r w:rsidR="007F5451">
        <w:rPr>
          <w:rFonts w:ascii="Times New Roman" w:hAnsi="Times New Roman" w:cs="Times New Roman"/>
          <w:szCs w:val="22"/>
        </w:rPr>
        <w:fldChar w:fldCharType="end"/>
      </w:r>
      <w:r w:rsidR="007F5451">
        <w:rPr>
          <w:rFonts w:ascii="Times New Roman" w:hAnsi="Times New Roman" w:cs="Times New Roman"/>
          <w:szCs w:val="22"/>
        </w:rPr>
        <w:t xml:space="preserve">. </w:t>
      </w:r>
    </w:p>
    <w:p w14:paraId="25053A23" w14:textId="05008AAF" w:rsidR="007F5451" w:rsidRDefault="001A4606" w:rsidP="009D6225">
      <w:pPr>
        <w:spacing w:after="120" w:line="360" w:lineRule="auto"/>
        <w:rPr>
          <w:rFonts w:ascii="Times New Roman" w:hAnsi="Times New Roman" w:cs="Times New Roman"/>
          <w:szCs w:val="22"/>
        </w:rPr>
      </w:pPr>
      <w:r>
        <w:rPr>
          <w:rFonts w:ascii="Times New Roman" w:hAnsi="Times New Roman" w:cs="Times New Roman"/>
          <w:szCs w:val="22"/>
        </w:rPr>
        <w:t>Current guidelines from the Agency for Healthcare Research and Quality and available evidence indicate that most people with asthma can be symptom free if they receive appropriate medical care, use of inhaled corticosteroids when prescribed, and modify their environment to reduce or eliminate exposure to allergens and irritants</w:t>
      </w:r>
      <w:r>
        <w:rPr>
          <w:rFonts w:ascii="Times New Roman" w:hAnsi="Times New Roman" w:cs="Times New Roman"/>
          <w:szCs w:val="22"/>
        </w:rPr>
        <w:fldChar w:fldCharType="begin">
          <w:fldData xml:space="preserve">PEVuZE5vdGU+PENpdGU+PEF1dGhvcj5Pa2VsbzwvQXV0aG9yPjxZZWFyPjIwMTM8L1llYXI+PFJl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</w:fldData>
        </w:fldChar>
      </w:r>
      <w:r>
        <w:rPr>
          <w:rFonts w:ascii="Times New Roman" w:hAnsi="Times New Roman" w:cs="Times New Roman"/>
          <w:szCs w:val="22"/>
        </w:rPr>
        <w:instrText xml:space="preserve"> ADDIN EN.CITE </w:instrText>
      </w:r>
      <w:r>
        <w:rPr>
          <w:rFonts w:ascii="Times New Roman" w:hAnsi="Times New Roman" w:cs="Times New Roman"/>
          <w:szCs w:val="22"/>
        </w:rPr>
        <w:fldChar w:fldCharType="begin">
          <w:fldData xml:space="preserve">PEVuZE5vdGU+PENpdGU+PEF1dGhvcj5Pa2VsbzwvQXV0aG9yPjxZZWFyPjIwMTM8L1llYXI+PFJl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</w:fldData>
        </w:fldChar>
      </w:r>
      <w:r>
        <w:rPr>
          <w:rFonts w:ascii="Times New Roman" w:hAnsi="Times New Roman" w:cs="Times New Roman"/>
          <w:szCs w:val="22"/>
        </w:rPr>
        <w:instrText xml:space="preserve"> ADDIN EN.CITE.DATA </w:instrText>
      </w:r>
      <w:r>
        <w:rPr>
          <w:rFonts w:ascii="Times New Roman" w:hAnsi="Times New Roman" w:cs="Times New Roman"/>
          <w:szCs w:val="22"/>
        </w:rPr>
      </w:r>
      <w:r>
        <w:rPr>
          <w:rFonts w:ascii="Times New Roman" w:hAnsi="Times New Roman" w:cs="Times New Roman"/>
          <w:szCs w:val="22"/>
        </w:rPr>
        <w:fldChar w:fldCharType="end"/>
      </w:r>
      <w:r>
        <w:rPr>
          <w:rFonts w:ascii="Times New Roman" w:hAnsi="Times New Roman" w:cs="Times New Roman"/>
          <w:szCs w:val="22"/>
        </w:rPr>
      </w:r>
      <w:r>
        <w:rPr>
          <w:rFonts w:ascii="Times New Roman" w:hAnsi="Times New Roman" w:cs="Times New Roman"/>
          <w:szCs w:val="22"/>
        </w:rPr>
        <w:fldChar w:fldCharType="separate"/>
      </w:r>
      <w:r w:rsidRPr="001A4606">
        <w:rPr>
          <w:rFonts w:ascii="Times New Roman" w:hAnsi="Times New Roman" w:cs="Times New Roman"/>
          <w:noProof/>
          <w:szCs w:val="22"/>
          <w:vertAlign w:val="superscript"/>
        </w:rPr>
        <w:t>2</w:t>
      </w:r>
      <w:r>
        <w:rPr>
          <w:rFonts w:ascii="Times New Roman" w:hAnsi="Times New Roman" w:cs="Times New Roman"/>
          <w:szCs w:val="22"/>
        </w:rPr>
        <w:fldChar w:fldCharType="end"/>
      </w:r>
      <w:r>
        <w:rPr>
          <w:rFonts w:ascii="Times New Roman" w:hAnsi="Times New Roman" w:cs="Times New Roman"/>
          <w:szCs w:val="22"/>
        </w:rPr>
        <w:t xml:space="preserve">. </w:t>
      </w:r>
    </w:p>
    <w:p w14:paraId="54A383B8" w14:textId="3953B188" w:rsidR="001A4606" w:rsidRDefault="001A4606" w:rsidP="009D6225">
      <w:pPr>
        <w:spacing w:after="120" w:line="360" w:lineRule="auto"/>
        <w:rPr>
          <w:rFonts w:ascii="Times New Roman" w:hAnsi="Times New Roman" w:cs="Times New Roman"/>
          <w:szCs w:val="22"/>
        </w:rPr>
      </w:pPr>
      <w:r>
        <w:rPr>
          <w:rFonts w:ascii="Times New Roman" w:hAnsi="Times New Roman" w:cs="Times New Roman"/>
          <w:szCs w:val="22"/>
        </w:rPr>
        <w:t xml:space="preserve">The current approach to asthma management includes monitoring symptoms, measuring lung function, encouraging </w:t>
      </w:r>
      <w:r w:rsidR="00FD065D">
        <w:rPr>
          <w:rFonts w:ascii="Times New Roman" w:hAnsi="Times New Roman" w:cs="Times New Roman"/>
          <w:szCs w:val="22"/>
        </w:rPr>
        <w:t>use of medications that control and prevent symptoms, reducing the triggers of asthma, educating the patient, and maintaining a collaborative patient-provider relationship</w:t>
      </w:r>
      <w:r w:rsidR="00FD065D">
        <w:rPr>
          <w:rFonts w:ascii="Times New Roman" w:hAnsi="Times New Roman" w:cs="Times New Roman"/>
          <w:szCs w:val="22"/>
        </w:rPr>
        <w:fldChar w:fldCharType="begin">
          <w:fldData xml:space="preserve">PEVuZE5vdGU+PENpdGU+PEF1dGhvcj5Ib3JhazwvQXV0aG9yPjxZZWFyPjIwMTY8L1llYXI+PFJl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==
</w:fldData>
        </w:fldChar>
      </w:r>
      <w:r w:rsidR="00FD065D">
        <w:rPr>
          <w:rFonts w:ascii="Times New Roman" w:hAnsi="Times New Roman" w:cs="Times New Roman"/>
          <w:szCs w:val="22"/>
        </w:rPr>
        <w:instrText xml:space="preserve"> ADDIN EN.CITE </w:instrText>
      </w:r>
      <w:r w:rsidR="00FD065D">
        <w:rPr>
          <w:rFonts w:ascii="Times New Roman" w:hAnsi="Times New Roman" w:cs="Times New Roman"/>
          <w:szCs w:val="22"/>
        </w:rPr>
        <w:fldChar w:fldCharType="begin">
          <w:fldData xml:space="preserve">PEVuZE5vdGU+PENpdGU+PEF1dGhvcj5Ib3JhazwvQXV0aG9yPjxZZWFyPjIwMTY8L1llYXI+PFJl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==
</w:fldData>
        </w:fldChar>
      </w:r>
      <w:r w:rsidR="00FD065D">
        <w:rPr>
          <w:rFonts w:ascii="Times New Roman" w:hAnsi="Times New Roman" w:cs="Times New Roman"/>
          <w:szCs w:val="22"/>
        </w:rPr>
        <w:instrText xml:space="preserve"> ADDIN EN.CITE.DATA </w:instrText>
      </w:r>
      <w:r w:rsidR="00FD065D">
        <w:rPr>
          <w:rFonts w:ascii="Times New Roman" w:hAnsi="Times New Roman" w:cs="Times New Roman"/>
          <w:szCs w:val="22"/>
        </w:rPr>
      </w:r>
      <w:r w:rsidR="00FD065D">
        <w:rPr>
          <w:rFonts w:ascii="Times New Roman" w:hAnsi="Times New Roman" w:cs="Times New Roman"/>
          <w:szCs w:val="22"/>
        </w:rPr>
        <w:fldChar w:fldCharType="end"/>
      </w:r>
      <w:r w:rsidR="00FD065D">
        <w:rPr>
          <w:rFonts w:ascii="Times New Roman" w:hAnsi="Times New Roman" w:cs="Times New Roman"/>
          <w:szCs w:val="22"/>
        </w:rPr>
      </w:r>
      <w:r w:rsidR="00FD065D">
        <w:rPr>
          <w:rFonts w:ascii="Times New Roman" w:hAnsi="Times New Roman" w:cs="Times New Roman"/>
          <w:szCs w:val="22"/>
        </w:rPr>
        <w:fldChar w:fldCharType="separate"/>
      </w:r>
      <w:r w:rsidR="00FD065D" w:rsidRPr="00FD065D">
        <w:rPr>
          <w:rFonts w:ascii="Times New Roman" w:hAnsi="Times New Roman" w:cs="Times New Roman"/>
          <w:noProof/>
          <w:szCs w:val="22"/>
          <w:vertAlign w:val="superscript"/>
        </w:rPr>
        <w:t>3</w:t>
      </w:r>
      <w:r w:rsidR="00FD065D">
        <w:rPr>
          <w:rFonts w:ascii="Times New Roman" w:hAnsi="Times New Roman" w:cs="Times New Roman"/>
          <w:szCs w:val="22"/>
        </w:rPr>
        <w:fldChar w:fldCharType="end"/>
      </w:r>
      <w:r w:rsidR="00FD065D">
        <w:rPr>
          <w:rFonts w:ascii="Times New Roman" w:hAnsi="Times New Roman" w:cs="Times New Roman"/>
          <w:szCs w:val="22"/>
        </w:rPr>
        <w:t>. The main goals of therapy are to minimize current symptoms future risk.</w:t>
      </w:r>
    </w:p>
    <w:p w14:paraId="5ACE8386" w14:textId="5D6A5C71" w:rsidR="00FD065D" w:rsidRDefault="00FD065D" w:rsidP="009D6225">
      <w:pPr>
        <w:spacing w:after="120" w:line="360" w:lineRule="auto"/>
        <w:rPr>
          <w:rFonts w:ascii="Times New Roman" w:hAnsi="Times New Roman" w:cs="Times New Roman"/>
          <w:szCs w:val="22"/>
        </w:rPr>
      </w:pPr>
      <w:r>
        <w:rPr>
          <w:rFonts w:ascii="Times New Roman" w:hAnsi="Times New Roman" w:cs="Times New Roman"/>
          <w:szCs w:val="22"/>
        </w:rPr>
        <w:t>Recentl</w:t>
      </w:r>
      <w:r w:rsidR="00EB48B1">
        <w:rPr>
          <w:rFonts w:ascii="Times New Roman" w:hAnsi="Times New Roman" w:cs="Times New Roman"/>
          <w:szCs w:val="22"/>
        </w:rPr>
        <w:t>y, PHS has been implemented in a randomized controlled study to determine the effectiveness of tele health management strategies in providing optimal care to asthma patients and have successfully identified populations that have decreased the over use of SABA after a 12 month period of implementing PHS for asthma management</w:t>
      </w:r>
      <w:r w:rsidR="00EB48B1">
        <w:rPr>
          <w:rFonts w:ascii="Times New Roman" w:hAnsi="Times New Roman" w:cs="Times New Roman"/>
          <w:szCs w:val="22"/>
        </w:rPr>
        <w:fldChar w:fldCharType="begin"/>
      </w:r>
      <w:r w:rsidR="00EB48B1">
        <w:rPr>
          <w:rFonts w:ascii="Times New Roman" w:hAnsi="Times New Roman" w:cs="Times New Roman"/>
          <w:szCs w:val="22"/>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00EB48B1">
        <w:rPr>
          <w:rFonts w:ascii="Times New Roman" w:hAnsi="Times New Roman" w:cs="Times New Roman"/>
          <w:szCs w:val="22"/>
        </w:rPr>
        <w:fldChar w:fldCharType="separate"/>
      </w:r>
      <w:r w:rsidR="00EB48B1" w:rsidRPr="00EB48B1">
        <w:rPr>
          <w:rFonts w:ascii="Times New Roman" w:hAnsi="Times New Roman" w:cs="Times New Roman"/>
          <w:noProof/>
          <w:szCs w:val="22"/>
          <w:vertAlign w:val="superscript"/>
        </w:rPr>
        <w:t>4</w:t>
      </w:r>
      <w:r w:rsidR="00EB48B1">
        <w:rPr>
          <w:rFonts w:ascii="Times New Roman" w:hAnsi="Times New Roman" w:cs="Times New Roman"/>
          <w:szCs w:val="22"/>
        </w:rPr>
        <w:fldChar w:fldCharType="end"/>
      </w:r>
      <w:r w:rsidR="00EB48B1">
        <w:rPr>
          <w:rFonts w:ascii="Times New Roman" w:hAnsi="Times New Roman" w:cs="Times New Roman"/>
          <w:szCs w:val="22"/>
        </w:rPr>
        <w:t xml:space="preserve">. </w:t>
      </w:r>
    </w:p>
    <w:p w14:paraId="54693E08" w14:textId="01EF04CC" w:rsidR="00EB48B1" w:rsidRDefault="00EB48B1" w:rsidP="009D6225">
      <w:pPr>
        <w:spacing w:after="120" w:line="360" w:lineRule="auto"/>
        <w:rPr>
          <w:rFonts w:ascii="Times New Roman" w:hAnsi="Times New Roman" w:cs="Times New Roman"/>
          <w:szCs w:val="22"/>
        </w:rPr>
      </w:pPr>
      <w:r>
        <w:rPr>
          <w:rFonts w:ascii="Times New Roman" w:hAnsi="Times New Roman" w:cs="Times New Roman"/>
          <w:szCs w:val="22"/>
        </w:rPr>
        <w:t xml:space="preserve">This article presents a report of a </w:t>
      </w:r>
      <w:r>
        <w:rPr>
          <w:rFonts w:ascii="Times New Roman" w:hAnsi="Times New Roman" w:cs="Times New Roman"/>
          <w:i/>
          <w:szCs w:val="22"/>
        </w:rPr>
        <w:t xml:space="preserve">de novo </w:t>
      </w:r>
      <w:r>
        <w:rPr>
          <w:rFonts w:ascii="Times New Roman" w:hAnsi="Times New Roman" w:cs="Times New Roman"/>
          <w:szCs w:val="22"/>
        </w:rPr>
        <w:t>economic evaluation of PHS from a US payer perspective. Our aim is to identify the cost-effectiveness of PHS and usual care compared to usual care alone such as to make the report relevant to US and potentially other countries in implementing such tele health strategies. The analysis presented in this article is unique in that there has never been a comparative effectiveness analysis of a real-time telehealth strategy such as the PHS.</w:t>
      </w:r>
    </w:p>
    <w:p w14:paraId="17020CAD" w14:textId="77777777" w:rsidR="00E85696" w:rsidRPr="00683EB3" w:rsidRDefault="00E85696" w:rsidP="0034162E">
      <w:pPr>
        <w:spacing w:after="120" w:line="360" w:lineRule="auto"/>
        <w:rPr>
          <w:rFonts w:ascii="Times New Roman" w:hAnsi="Times New Roman" w:cs="Times New Roman"/>
          <w:szCs w:val="22"/>
          <w:lang w:val="en-GB"/>
        </w:rPr>
      </w:pPr>
    </w:p>
    <w:p w14:paraId="510593D8" w14:textId="4F4D014D" w:rsidR="005D5002" w:rsidRPr="00683EB3" w:rsidRDefault="004D78CF" w:rsidP="00683EB3">
      <w:pPr>
        <w:spacing w:after="120" w:line="360" w:lineRule="auto"/>
        <w:rPr>
          <w:rFonts w:ascii="Times New Roman" w:hAnsi="Times New Roman" w:cs="Times New Roman"/>
          <w:b/>
          <w:sz w:val="28"/>
        </w:rPr>
      </w:pPr>
      <w:r w:rsidRPr="00683EB3">
        <w:rPr>
          <w:rFonts w:ascii="Times New Roman" w:hAnsi="Times New Roman" w:cs="Times New Roman"/>
          <w:b/>
          <w:sz w:val="28"/>
        </w:rPr>
        <w:t>Methods</w:t>
      </w:r>
    </w:p>
    <w:p w14:paraId="62E106A6" w14:textId="21A2FE82" w:rsidR="00EB48B1" w:rsidRPr="00784650" w:rsidRDefault="00EB48B1" w:rsidP="00683EB3">
      <w:pPr>
        <w:spacing w:after="120" w:line="360" w:lineRule="auto"/>
        <w:rPr>
          <w:rFonts w:ascii="Times New Roman" w:hAnsi="Times New Roman" w:cs="Times New Roman"/>
          <w:b/>
        </w:rPr>
      </w:pPr>
      <w:r w:rsidRPr="00784650">
        <w:rPr>
          <w:rFonts w:ascii="Times New Roman" w:hAnsi="Times New Roman" w:cs="Times New Roman"/>
          <w:b/>
        </w:rPr>
        <w:t>Model Overview</w:t>
      </w:r>
    </w:p>
    <w:p w14:paraId="6CE09F5B" w14:textId="383A9152" w:rsidR="003474C5" w:rsidRDefault="00EB48B1" w:rsidP="00683EB3">
      <w:pPr>
        <w:spacing w:after="120" w:line="360" w:lineRule="auto"/>
        <w:rPr>
          <w:rFonts w:ascii="Times New Roman" w:hAnsi="Times New Roman" w:cs="Times New Roman"/>
        </w:rPr>
      </w:pPr>
      <w:r>
        <w:rPr>
          <w:rFonts w:ascii="Times New Roman" w:hAnsi="Times New Roman" w:cs="Times New Roman"/>
        </w:rPr>
        <w:t>A Markov model programmed in Microsoft Excel (Fig 1) was used to simulate two treatment options in adults and to estimate incremental clinical and economic outcomes including asthma exacerbations, health care resource utilization, asthma-specific quality of life, quality-adjusted life years (QALYs), payer costs, and incremental cost-effectiveness ratios (I</w:t>
      </w:r>
      <w:r w:rsidR="003C33C5">
        <w:rPr>
          <w:rFonts w:ascii="Times New Roman" w:hAnsi="Times New Roman" w:cs="Times New Roman"/>
        </w:rPr>
        <w:t>CER).</w:t>
      </w:r>
      <w:r w:rsidR="003474C5">
        <w:rPr>
          <w:rFonts w:ascii="Times New Roman" w:hAnsi="Times New Roman" w:cs="Times New Roman"/>
        </w:rPr>
        <w:t xml:space="preserve"> The treatment alternatives were PHS and usual care (PHS+UC) vs. usual care alone. Usual care was defined by the comparison arm of the PHS trial used for the evidence generation of the model inputs. Generally, usual care was defined as </w:t>
      </w:r>
      <w:r w:rsidR="00BF0ED4">
        <w:rPr>
          <w:rFonts w:ascii="Times New Roman" w:hAnsi="Times New Roman" w:cs="Times New Roman"/>
        </w:rPr>
        <w:t xml:space="preserve">the routine care provided to patients by their health care providers. </w:t>
      </w:r>
    </w:p>
    <w:p w14:paraId="6BB419DC" w14:textId="2E397978" w:rsidR="00920E52" w:rsidRDefault="00920E52" w:rsidP="00683EB3">
      <w:pPr>
        <w:spacing w:after="120" w:line="360" w:lineRule="auto"/>
        <w:rPr>
          <w:rFonts w:ascii="Times New Roman" w:hAnsi="Times New Roman" w:cs="Times New Roman"/>
        </w:rPr>
      </w:pPr>
      <w:r>
        <w:rPr>
          <w:rFonts w:ascii="Times New Roman" w:hAnsi="Times New Roman" w:cs="Times New Roman"/>
        </w:rPr>
        <w:lastRenderedPageBreak/>
        <w:t>Life time of PHS and usual care was assumed to estimate a lifetime horizon</w:t>
      </w:r>
      <w:r w:rsidR="00A539FC">
        <w:rPr>
          <w:rFonts w:ascii="Times New Roman" w:hAnsi="Times New Roman" w:cs="Times New Roman"/>
        </w:rPr>
        <w:t xml:space="preserve"> (60 years)</w:t>
      </w:r>
      <w:r>
        <w:rPr>
          <w:rFonts w:ascii="Times New Roman" w:hAnsi="Times New Roman" w:cs="Times New Roman"/>
        </w:rPr>
        <w:t xml:space="preserve">. The lifetime PHS use is assumed due to potential drop in SABA overuse that may result in </w:t>
      </w:r>
      <w:r w:rsidR="00BA7096">
        <w:rPr>
          <w:rFonts w:ascii="Times New Roman" w:hAnsi="Times New Roman" w:cs="Times New Roman"/>
        </w:rPr>
        <w:t xml:space="preserve">stoppage of PHS use. All patients were assumed to adhere to the given therapies. Costs and outcomes were discounted at 6% and 1.5% per annum respectively. </w:t>
      </w:r>
      <w:r>
        <w:rPr>
          <w:rFonts w:ascii="Times New Roman" w:hAnsi="Times New Roman" w:cs="Times New Roman"/>
        </w:rPr>
        <w:t xml:space="preserve"> </w:t>
      </w:r>
    </w:p>
    <w:p w14:paraId="004E62D2" w14:textId="0C61DB1E" w:rsidR="003474C5" w:rsidRDefault="00BA7096" w:rsidP="00683EB3">
      <w:pPr>
        <w:spacing w:after="120" w:line="360" w:lineRule="auto"/>
        <w:rPr>
          <w:rFonts w:ascii="Times New Roman" w:hAnsi="Times New Roman" w:cs="Times New Roman"/>
          <w:b/>
        </w:rPr>
      </w:pPr>
      <w:r>
        <w:rPr>
          <w:rFonts w:ascii="Times New Roman" w:hAnsi="Times New Roman" w:cs="Times New Roman"/>
          <w:b/>
        </w:rPr>
        <w:t>Model Structure</w:t>
      </w:r>
    </w:p>
    <w:p w14:paraId="0B81C4A6" w14:textId="3D94CFF6" w:rsidR="00BA7096" w:rsidRDefault="00BA7096" w:rsidP="00683EB3">
      <w:pPr>
        <w:spacing w:after="120" w:line="360" w:lineRule="auto"/>
        <w:rPr>
          <w:rFonts w:ascii="Times New Roman" w:hAnsi="Times New Roman" w:cs="Times New Roman"/>
        </w:rPr>
      </w:pPr>
      <w:r>
        <w:rPr>
          <w:rFonts w:ascii="Times New Roman" w:hAnsi="Times New Roman" w:cs="Times New Roman"/>
        </w:rPr>
        <w:t>The model is hierarchically structured where patients transition between level 1 (highest level) controlled and uncontrolled state and through these states they transition into two states</w:t>
      </w:r>
      <w:r w:rsidR="003C33C5">
        <w:rPr>
          <w:rFonts w:ascii="Times New Roman" w:hAnsi="Times New Roman" w:cs="Times New Roman"/>
        </w:rPr>
        <w:t xml:space="preserve"> (lower level)</w:t>
      </w:r>
      <w:r>
        <w:rPr>
          <w:rFonts w:ascii="Times New Roman" w:hAnsi="Times New Roman" w:cs="Times New Roman"/>
        </w:rPr>
        <w:t>: exacerbation and death. Patients transitioned through these health states using 2-week transition probabilities. Two weeks was considered an appropriate length of time to capture the majority of morbidities associated with exacerbations and has been used in other asthma cost-effectiveness models</w:t>
      </w:r>
      <w:r>
        <w:rPr>
          <w:rFonts w:ascii="Times New Roman" w:hAnsi="Times New Roman" w:cs="Times New Roman"/>
        </w:rPr>
        <w:fldChar w:fldCharType="begin">
          <w:fldData xml:space="preserve">PEVuZE5vdGU+PENpdGU+PEF1dGhvcj5DYW1wYmVsbDwvQXV0aG9yPjxZZWFyPjIwMTA8L1llYXI+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PEVuZE5vdGU+PENpdGU+PEF1dGhvcj5DYW1wYmVsbDwvQXV0aG9yPjxZZWFyPjIwMTA8L1llYXI+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BA7096">
        <w:rPr>
          <w:rFonts w:ascii="Times New Roman" w:hAnsi="Times New Roman" w:cs="Times New Roman"/>
          <w:noProof/>
          <w:vertAlign w:val="superscript"/>
        </w:rPr>
        <w:t>5</w:t>
      </w:r>
      <w:r>
        <w:rPr>
          <w:rFonts w:ascii="Times New Roman" w:hAnsi="Times New Roman" w:cs="Times New Roman"/>
        </w:rPr>
        <w:fldChar w:fldCharType="end"/>
      </w:r>
      <w:r>
        <w:rPr>
          <w:rFonts w:ascii="Times New Roman" w:hAnsi="Times New Roman" w:cs="Times New Roman"/>
        </w:rPr>
        <w:t xml:space="preserve">. </w:t>
      </w:r>
      <w:r w:rsidR="00B64045">
        <w:rPr>
          <w:rFonts w:ascii="Times New Roman" w:hAnsi="Times New Roman" w:cs="Times New Roman"/>
        </w:rPr>
        <w:t>The model structure is implementing the Asthma Policy Model’s structure that modeled asthma in three main states with the addition of a higher level structure that corresponds to the control level of patients</w:t>
      </w:r>
      <w:r w:rsidR="003C33C5">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&lt;EndNote&gt;&lt;Cite&gt;&lt;Author&gt;Paltiel&lt;/Author&gt;&lt;Year&gt;2001&lt;/Year&gt;&lt;RecNum&gt;521&lt;/RecNum&gt;&lt;DisplayText&gt;&lt;style face="superscript"&gt;6&lt;/style&gt;&lt;/DisplayText&gt;&lt;record&gt;&lt;rec-number&gt;521&lt;/rec-number&gt;&lt;foreign-keys&gt;&lt;key app="EN" db-id="t0pwtd0e4eawa0eax9rvvd9zpd2r9s5sxptv" timestamp="1475615795"&gt;521&lt;/key&gt;&lt;/foreign-keys&gt;&lt;ref-type name="Journal Article"&gt;17&lt;/ref-type&gt;&lt;contributors&gt;&lt;authors&gt;&lt;author&gt;Paltiel, A. D.&lt;/author&gt;&lt;author&gt;Fuhlbrigge, A. L.&lt;/author&gt;&lt;author&gt;Kitch, B. T.&lt;/author&gt;&lt;author&gt;Liljas, B.&lt;/author&gt;&lt;author&gt;Weiss, S. T.&lt;/author&gt;&lt;author&gt;Neumann, P. J.&lt;/author&gt;&lt;author&gt;Kuntz, K. M.&lt;/author&gt;&lt;/authors&gt;&lt;/contributors&gt;&lt;auth-address&gt;Department of Epidemiology and Public Health, Yale School of Medicine, New Haven, CT 06520-8034, USA&lt;/auth-address&gt;&lt;titles&gt;&lt;title&gt;Cost-effectiveness of inhaled corticosteroids in adults with mild-to-moderate asthma: results from the asthma policy model&lt;/title&gt;&lt;secondary-title&gt;J Allergy Clin Immunol&lt;/secondary-title&gt;&lt;/titles&gt;&lt;periodical&gt;&lt;full-title&gt;J Allergy Clin Immunol&lt;/full-title&gt;&lt;/periodical&gt;&lt;pages&gt;39-46&lt;/pages&gt;&lt;volume&gt;108&lt;/volume&gt;&lt;number&gt;1&lt;/number&gt;&lt;keywords&gt;&lt;keyword&gt;Administration, Inhalation&lt;/keyword&gt;&lt;keyword&gt;Adrenal Cortex Hormones/administration &amp;amp; dosage/*economics/*therapeutic use&lt;/keyword&gt;&lt;keyword&gt;Adult&lt;/keyword&gt;&lt;keyword&gt;Asthma/diagnosis/*economics/prevention &amp;amp; control&lt;/keyword&gt;&lt;keyword&gt;Cost of Illness&lt;/keyword&gt;&lt;keyword&gt;Cost-Benefit Analysis&lt;/keyword&gt;&lt;keyword&gt;Decision Support Techniques&lt;/keyword&gt;&lt;keyword&gt;Forced Expiratory Volume&lt;/keyword&gt;&lt;keyword&gt;Hospitalization/economics&lt;/keyword&gt;&lt;keyword&gt;Humans&lt;/keyword&gt;&lt;keyword&gt;Markov Chains&lt;/keyword&gt;&lt;keyword&gt;*Models, Theoretical&lt;/keyword&gt;&lt;keyword&gt;Quality of Life&lt;/keyword&gt;&lt;keyword&gt;Quality-Adjusted Life Years&lt;/keyword&gt;&lt;keyword&gt;Sensitivity and Specificity&lt;/keyword&gt;&lt;/keywords&gt;&lt;dates&gt;&lt;year&gt;2001&lt;/year&gt;&lt;pub-dates&gt;&lt;date&gt;Jul&lt;/date&gt;&lt;/pub-dates&gt;&lt;/dates&gt;&lt;isbn&gt;0091-6749 (Print)&amp;#xD;0091-6749 (Linking)&lt;/isbn&gt;&lt;accession-num&gt;11447380&lt;/accession-num&gt;&lt;urls&gt;&lt;related-urls&gt;&lt;url&gt;http://www.ncbi.nlm.nih.gov/pubmed/11447380&lt;/url&gt;&lt;/related-urls&gt;&lt;/urls&gt;&lt;/record&gt;&lt;/Cite&gt;&lt;/EndNote&gt;</w:instrText>
      </w:r>
      <w:r w:rsidR="003C33C5">
        <w:rPr>
          <w:rFonts w:ascii="Times New Roman" w:hAnsi="Times New Roman" w:cs="Times New Roman"/>
        </w:rPr>
        <w:fldChar w:fldCharType="separate"/>
      </w:r>
      <w:r w:rsidR="003C33C5" w:rsidRPr="003C33C5">
        <w:rPr>
          <w:rFonts w:ascii="Times New Roman" w:hAnsi="Times New Roman" w:cs="Times New Roman"/>
          <w:noProof/>
          <w:vertAlign w:val="superscript"/>
        </w:rPr>
        <w:t>6</w:t>
      </w:r>
      <w:r w:rsidR="003C33C5">
        <w:rPr>
          <w:rFonts w:ascii="Times New Roman" w:hAnsi="Times New Roman" w:cs="Times New Roman"/>
        </w:rPr>
        <w:fldChar w:fldCharType="end"/>
      </w:r>
      <w:r w:rsidR="00B64045">
        <w:rPr>
          <w:rFonts w:ascii="Times New Roman" w:hAnsi="Times New Roman" w:cs="Times New Roman"/>
        </w:rPr>
        <w:t>. Although the structure of this model was similar to past CEA publications, the underlying population, perspective inputs, and assumptions remain unique and of particular importance to US payers.</w:t>
      </w:r>
    </w:p>
    <w:p w14:paraId="07EADD8A" w14:textId="53E1A936" w:rsidR="00B64045" w:rsidRDefault="0066561F" w:rsidP="0066561F">
      <w:pPr>
        <w:spacing w:after="120" w:line="360" w:lineRule="auto"/>
        <w:jc w:val="center"/>
        <w:rPr>
          <w:rFonts w:ascii="Times New Roman" w:hAnsi="Times New Roman" w:cs="Times New Roman"/>
        </w:rPr>
      </w:pPr>
      <w:r>
        <w:rPr>
          <w:rFonts w:ascii="Times New Roman" w:hAnsi="Times New Roman" w:cs="Times New Roman"/>
          <w:noProof/>
          <w:lang w:eastAsia="ko-KR" w:bidi="ar-SA"/>
        </w:rPr>
        <w:drawing>
          <wp:inline distT="0" distB="0" distL="0" distR="0" wp14:anchorId="13255EB4" wp14:editId="7D44B594">
            <wp:extent cx="4276725" cy="2892729"/>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7841" cy="2913775"/>
                    </a:xfrm>
                    <a:prstGeom prst="rect">
                      <a:avLst/>
                    </a:prstGeom>
                  </pic:spPr>
                </pic:pic>
              </a:graphicData>
            </a:graphic>
          </wp:inline>
        </w:drawing>
      </w:r>
    </w:p>
    <w:p w14:paraId="4FF6E2C1" w14:textId="791245FA" w:rsidR="0066561F" w:rsidRDefault="0066561F" w:rsidP="0066561F">
      <w:pPr>
        <w:spacing w:after="120" w:line="360" w:lineRule="auto"/>
        <w:rPr>
          <w:rFonts w:ascii="Times New Roman" w:hAnsi="Times New Roman" w:cs="Times New Roman"/>
        </w:rPr>
      </w:pPr>
      <w:r>
        <w:rPr>
          <w:rFonts w:ascii="Times New Roman" w:hAnsi="Times New Roman" w:cs="Times New Roman"/>
          <w:b/>
        </w:rPr>
        <w:t xml:space="preserve">Fig 1. </w:t>
      </w:r>
      <w:r>
        <w:rPr>
          <w:rFonts w:ascii="Times New Roman" w:hAnsi="Times New Roman" w:cs="Times New Roman"/>
        </w:rPr>
        <w:t xml:space="preserve">Cohort Model Structure for PHS plus Usual Care versus Usual Care Alone. </w:t>
      </w:r>
      <w:r>
        <w:rPr>
          <w:rFonts w:ascii="Times New Roman" w:hAnsi="Times New Roman" w:cs="Times New Roman"/>
          <w:b/>
        </w:rPr>
        <w:t xml:space="preserve">A: </w:t>
      </w:r>
      <w:r>
        <w:rPr>
          <w:rFonts w:ascii="Times New Roman" w:hAnsi="Times New Roman" w:cs="Times New Roman"/>
        </w:rPr>
        <w:t xml:space="preserve">Highest level transition states from controlled to uncontrolled. </w:t>
      </w:r>
      <w:r>
        <w:rPr>
          <w:rFonts w:ascii="Times New Roman" w:hAnsi="Times New Roman" w:cs="Times New Roman"/>
          <w:b/>
        </w:rPr>
        <w:t xml:space="preserve">B: </w:t>
      </w:r>
      <w:r>
        <w:rPr>
          <w:rFonts w:ascii="Times New Roman" w:hAnsi="Times New Roman" w:cs="Times New Roman"/>
        </w:rPr>
        <w:t>Transition from controlled/uncontrolled to exacerbation and/or death.</w:t>
      </w:r>
    </w:p>
    <w:p w14:paraId="4D13833A" w14:textId="77777777" w:rsidR="0066561F" w:rsidRPr="0066561F" w:rsidRDefault="0066561F" w:rsidP="0066561F">
      <w:pPr>
        <w:spacing w:after="120" w:line="360" w:lineRule="auto"/>
        <w:rPr>
          <w:rFonts w:ascii="Times New Roman" w:hAnsi="Times New Roman" w:cs="Times New Roman"/>
        </w:rPr>
      </w:pPr>
    </w:p>
    <w:p w14:paraId="017F2A3F" w14:textId="7D903B2E" w:rsidR="00B64045" w:rsidRDefault="00B64045" w:rsidP="00683EB3">
      <w:pPr>
        <w:spacing w:after="120" w:line="360" w:lineRule="auto"/>
        <w:rPr>
          <w:rFonts w:ascii="Times New Roman" w:hAnsi="Times New Roman" w:cs="Times New Roman"/>
          <w:b/>
        </w:rPr>
      </w:pPr>
      <w:r>
        <w:rPr>
          <w:rFonts w:ascii="Times New Roman" w:hAnsi="Times New Roman" w:cs="Times New Roman"/>
          <w:b/>
        </w:rPr>
        <w:t>Model population</w:t>
      </w:r>
    </w:p>
    <w:p w14:paraId="1F077E97" w14:textId="51213394" w:rsidR="00B64045" w:rsidRDefault="00B64045" w:rsidP="00683EB3">
      <w:pPr>
        <w:spacing w:after="120" w:line="360" w:lineRule="auto"/>
        <w:rPr>
          <w:rFonts w:ascii="Times New Roman" w:hAnsi="Times New Roman" w:cs="Times New Roman"/>
        </w:rPr>
      </w:pPr>
      <w:r>
        <w:rPr>
          <w:rFonts w:ascii="Times New Roman" w:hAnsi="Times New Roman" w:cs="Times New Roman"/>
        </w:rPr>
        <w:lastRenderedPageBreak/>
        <w:t>The model’s patient population reflects that of the US adult asthmatics. The model cohort matches the PHS trial population with an average age of 36.</w:t>
      </w:r>
    </w:p>
    <w:p w14:paraId="7C5C1A58" w14:textId="0F7D88CE" w:rsidR="00E0659B" w:rsidRDefault="00E0659B">
      <w:r>
        <w:t xml:space="preserve">Table 1. Model inputs by </w:t>
      </w:r>
      <w:r w:rsidR="001720A9">
        <w:t>Asthma Control Status</w:t>
      </w:r>
    </w:p>
    <w:tbl>
      <w:tblPr>
        <w:tblStyle w:val="LightShading-Accent1"/>
        <w:tblW w:w="5000" w:type="pct"/>
        <w:tblLayout w:type="fixed"/>
        <w:tblLook w:val="0660" w:firstRow="1" w:lastRow="1" w:firstColumn="0" w:lastColumn="0" w:noHBand="1" w:noVBand="1"/>
      </w:tblPr>
      <w:tblGrid>
        <w:gridCol w:w="2970"/>
        <w:gridCol w:w="2610"/>
        <w:gridCol w:w="1915"/>
        <w:gridCol w:w="1865"/>
      </w:tblGrid>
      <w:tr w:rsidR="001720A9" w14:paraId="3D8D1D7E" w14:textId="77777777" w:rsidTr="001720A9">
        <w:trPr>
          <w:cnfStyle w:val="100000000000" w:firstRow="1" w:lastRow="0" w:firstColumn="0" w:lastColumn="0" w:oddVBand="0" w:evenVBand="0" w:oddHBand="0" w:evenHBand="0" w:firstRowFirstColumn="0" w:firstRowLastColumn="0" w:lastRowFirstColumn="0" w:lastRowLastColumn="0"/>
        </w:trPr>
        <w:tc>
          <w:tcPr>
            <w:tcW w:w="1587" w:type="pct"/>
            <w:noWrap/>
          </w:tcPr>
          <w:p w14:paraId="746B8BFD" w14:textId="34F17E96" w:rsidR="00E0659B" w:rsidRPr="0059797D" w:rsidRDefault="00E0659B" w:rsidP="00E0659B">
            <w:pPr>
              <w:jc w:val="center"/>
              <w:rPr>
                <w:color w:val="auto"/>
              </w:rPr>
            </w:pPr>
            <w:r w:rsidRPr="0059797D">
              <w:rPr>
                <w:color w:val="auto"/>
              </w:rPr>
              <w:t>Model Input</w:t>
            </w:r>
          </w:p>
        </w:tc>
        <w:tc>
          <w:tcPr>
            <w:tcW w:w="1394" w:type="pct"/>
          </w:tcPr>
          <w:p w14:paraId="5CE66A03" w14:textId="3250EE48" w:rsidR="00E0659B" w:rsidRPr="0059797D" w:rsidRDefault="001720A9" w:rsidP="001720A9">
            <w:pPr>
              <w:jc w:val="center"/>
              <w:rPr>
                <w:color w:val="auto"/>
              </w:rPr>
            </w:pPr>
            <w:r w:rsidRPr="0059797D">
              <w:rPr>
                <w:color w:val="auto"/>
              </w:rPr>
              <w:t xml:space="preserve">Controlled </w:t>
            </w:r>
          </w:p>
        </w:tc>
        <w:tc>
          <w:tcPr>
            <w:tcW w:w="1023" w:type="pct"/>
          </w:tcPr>
          <w:p w14:paraId="0E7DCDBC" w14:textId="653FF480" w:rsidR="00E0659B" w:rsidRPr="0059797D" w:rsidRDefault="001720A9" w:rsidP="00E0659B">
            <w:pPr>
              <w:jc w:val="center"/>
              <w:rPr>
                <w:color w:val="auto"/>
              </w:rPr>
            </w:pPr>
            <w:r w:rsidRPr="0059797D">
              <w:rPr>
                <w:color w:val="auto"/>
              </w:rPr>
              <w:t>Uncontrolled</w:t>
            </w:r>
          </w:p>
        </w:tc>
        <w:tc>
          <w:tcPr>
            <w:tcW w:w="996" w:type="pct"/>
          </w:tcPr>
          <w:p w14:paraId="0B4A5435" w14:textId="73281460" w:rsidR="00E0659B" w:rsidRPr="0059797D" w:rsidRDefault="00E0659B" w:rsidP="00E0659B">
            <w:pPr>
              <w:jc w:val="center"/>
              <w:rPr>
                <w:color w:val="auto"/>
              </w:rPr>
            </w:pPr>
            <w:r w:rsidRPr="0059797D">
              <w:rPr>
                <w:color w:val="auto"/>
              </w:rPr>
              <w:t>Source</w:t>
            </w:r>
          </w:p>
        </w:tc>
      </w:tr>
      <w:tr w:rsidR="001720A9" w14:paraId="4122CA29" w14:textId="77777777" w:rsidTr="001720A9">
        <w:tc>
          <w:tcPr>
            <w:tcW w:w="1587" w:type="pct"/>
            <w:noWrap/>
          </w:tcPr>
          <w:p w14:paraId="5DE15D81" w14:textId="77777777" w:rsidR="00DF50E5" w:rsidRPr="0059797D" w:rsidRDefault="00DF50E5" w:rsidP="001720A9">
            <w:pPr>
              <w:rPr>
                <w:b/>
                <w:color w:val="auto"/>
              </w:rPr>
            </w:pPr>
          </w:p>
          <w:p w14:paraId="2AAD8558" w14:textId="77777777" w:rsidR="00E0659B" w:rsidRPr="0059797D" w:rsidRDefault="001720A9" w:rsidP="001720A9">
            <w:pPr>
              <w:rPr>
                <w:b/>
                <w:color w:val="auto"/>
              </w:rPr>
            </w:pPr>
            <w:r w:rsidRPr="0059797D">
              <w:rPr>
                <w:b/>
                <w:color w:val="auto"/>
              </w:rPr>
              <w:t>Transition Probabilities</w:t>
            </w:r>
          </w:p>
          <w:p w14:paraId="69B13301" w14:textId="47690527" w:rsidR="00DF50E5" w:rsidRPr="0059797D" w:rsidRDefault="00DF50E5" w:rsidP="001720A9">
            <w:pPr>
              <w:rPr>
                <w:b/>
                <w:color w:val="auto"/>
              </w:rPr>
            </w:pPr>
          </w:p>
        </w:tc>
        <w:tc>
          <w:tcPr>
            <w:tcW w:w="1394" w:type="pct"/>
          </w:tcPr>
          <w:p w14:paraId="4DFE8B19" w14:textId="1F33569D" w:rsidR="00E0659B" w:rsidRPr="0059797D" w:rsidRDefault="00E0659B" w:rsidP="00E0659B">
            <w:pPr>
              <w:jc w:val="center"/>
              <w:rPr>
                <w:rStyle w:val="SubtleEmphasis"/>
                <w:color w:val="auto"/>
              </w:rPr>
            </w:pPr>
          </w:p>
        </w:tc>
        <w:tc>
          <w:tcPr>
            <w:tcW w:w="1023" w:type="pct"/>
          </w:tcPr>
          <w:p w14:paraId="392B20D7" w14:textId="77777777" w:rsidR="00E0659B" w:rsidRPr="0059797D" w:rsidRDefault="00E0659B" w:rsidP="00E0659B">
            <w:pPr>
              <w:jc w:val="center"/>
              <w:rPr>
                <w:color w:val="auto"/>
              </w:rPr>
            </w:pPr>
          </w:p>
        </w:tc>
        <w:tc>
          <w:tcPr>
            <w:tcW w:w="996" w:type="pct"/>
          </w:tcPr>
          <w:p w14:paraId="46979B04" w14:textId="77777777" w:rsidR="00E0659B" w:rsidRPr="0059797D" w:rsidRDefault="00E0659B" w:rsidP="00E0659B">
            <w:pPr>
              <w:jc w:val="center"/>
              <w:rPr>
                <w:color w:val="auto"/>
              </w:rPr>
            </w:pPr>
          </w:p>
        </w:tc>
      </w:tr>
      <w:tr w:rsidR="001720A9" w14:paraId="59B12D65" w14:textId="77777777" w:rsidTr="001720A9">
        <w:tc>
          <w:tcPr>
            <w:tcW w:w="1587" w:type="pct"/>
            <w:noWrap/>
          </w:tcPr>
          <w:p w14:paraId="6EB25B56" w14:textId="6A0B6A6F" w:rsidR="001720A9" w:rsidRPr="0059797D" w:rsidRDefault="001720A9" w:rsidP="001720A9">
            <w:pPr>
              <w:rPr>
                <w:color w:val="auto"/>
              </w:rPr>
            </w:pPr>
            <w:r w:rsidRPr="0059797D">
              <w:rPr>
                <w:color w:val="auto"/>
              </w:rPr>
              <w:t>Probability of Asthma Related Mortality per 2 week</w:t>
            </w:r>
          </w:p>
        </w:tc>
        <w:tc>
          <w:tcPr>
            <w:tcW w:w="1394" w:type="pct"/>
          </w:tcPr>
          <w:p w14:paraId="1714A85A" w14:textId="30D0EDF4" w:rsidR="001720A9" w:rsidRPr="0059797D" w:rsidRDefault="001720A9" w:rsidP="00E0659B">
            <w:pPr>
              <w:pStyle w:val="DecimalAligned"/>
              <w:jc w:val="center"/>
              <w:rPr>
                <w:color w:val="auto"/>
              </w:rPr>
            </w:pPr>
            <w:r w:rsidRPr="0059797D">
              <w:rPr>
                <w:color w:val="auto"/>
              </w:rPr>
              <w:t>0.00015 (0.0002)</w:t>
            </w:r>
            <w:r w:rsidR="003A133D" w:rsidRPr="0059797D">
              <w:rPr>
                <w:color w:val="auto"/>
              </w:rPr>
              <w:t>*</w:t>
            </w:r>
          </w:p>
        </w:tc>
        <w:tc>
          <w:tcPr>
            <w:tcW w:w="1023" w:type="pct"/>
          </w:tcPr>
          <w:p w14:paraId="45C38481" w14:textId="5A458820" w:rsidR="001720A9" w:rsidRPr="0059797D" w:rsidRDefault="001720A9" w:rsidP="00E0659B">
            <w:pPr>
              <w:pStyle w:val="DecimalAligned"/>
              <w:jc w:val="center"/>
              <w:rPr>
                <w:color w:val="auto"/>
              </w:rPr>
            </w:pPr>
            <w:r w:rsidRPr="0059797D">
              <w:rPr>
                <w:color w:val="auto"/>
              </w:rPr>
              <w:t>0.00238 (0.0012)</w:t>
            </w:r>
            <w:r w:rsidR="003A133D" w:rsidRPr="0059797D">
              <w:rPr>
                <w:color w:val="auto"/>
              </w:rPr>
              <w:t>*</w:t>
            </w:r>
          </w:p>
        </w:tc>
        <w:tc>
          <w:tcPr>
            <w:tcW w:w="996" w:type="pct"/>
          </w:tcPr>
          <w:p w14:paraId="78BF3069" w14:textId="16E687BB" w:rsidR="001720A9" w:rsidRPr="0059797D" w:rsidRDefault="001720A9" w:rsidP="003C33C5">
            <w:pPr>
              <w:pStyle w:val="DecimalAligned"/>
              <w:jc w:val="center"/>
              <w:rPr>
                <w:color w:val="auto"/>
              </w:rPr>
            </w:pPr>
            <w:r w:rsidRPr="0059797D">
              <w:rPr>
                <w:color w:val="auto"/>
              </w:rPr>
              <w:t xml:space="preserve">De Vries et al </w:t>
            </w:r>
            <w:r w:rsidRPr="0059797D">
              <w:fldChar w:fldCharType="begin"/>
            </w:r>
            <w:r w:rsidR="003C33C5">
              <w:instrText xml:space="preserve"> ADDIN EN.CITE &lt;EndNote&gt;&lt;Cite&gt;&lt;Author&gt;de Vries&lt;/Author&gt;&lt;Year&gt;2010&lt;/Year&gt;&lt;RecNum&gt;1130&lt;/RecNum&gt;&lt;DisplayText&gt;&lt;style face="superscript"&gt;7&lt;/style&gt;&lt;/DisplayText&gt;&lt;record&gt;&lt;rec-number&gt;1130&lt;/rec-number&gt;&lt;foreign-keys&gt;&lt;key app="EN" db-id="t0pwtd0e4eawa0eax9rvvd9zpd2r9s5sxptv" timestamp="1480904343"&gt;1130&lt;/key&gt;&lt;/foreign-keys&gt;&lt;ref-type name="Journal Article"&gt;17&lt;/ref-type&gt;&lt;contributors&gt;&lt;authors&gt;&lt;author&gt;de Vries, F.&lt;/author&gt;&lt;author&gt;Setakis, E.&lt;/author&gt;&lt;author&gt;Zhang, B.&lt;/author&gt;&lt;author&gt;van Staa, T. P.&lt;/author&gt;&lt;/authors&gt;&lt;/contributors&gt;&lt;auth-address&gt;General Practice Research Database, Medicines and Healthcare products Regulatory Agency, 1 Nine Elms Lane, London SW8 5NQ, UK.&lt;/auth-address&gt;&lt;titles&gt;&lt;title&gt;Long-acting {beta}2-agonists in adult asthma and the pattern of risk of death and severe asthma outcomes: a study using the GPRD&lt;/title&gt;&lt;secondary-title&gt;Eur Respir J&lt;/secondary-title&gt;&lt;/titles&gt;&lt;periodical&gt;&lt;full-title&gt;Eur Respir J&lt;/full-title&gt;&lt;/periodical&gt;&lt;pages&gt;494-502&lt;/pages&gt;&lt;volume&gt;36&lt;/volume&gt;&lt;number&gt;3&lt;/number&gt;&lt;keywords&gt;&lt;keyword&gt;Adrenal Cortex Hormones/therapeutic use&lt;/keyword&gt;&lt;keyword&gt;Adrenergic beta-2 Receptor Antagonists/*therapeutic use&lt;/keyword&gt;&lt;keyword&gt;Adult&lt;/keyword&gt;&lt;keyword&gt;Anti-Asthmatic Agents/*therapeutic use&lt;/keyword&gt;&lt;keyword&gt;Asthma/*drug therapy/*mortality&lt;/keyword&gt;&lt;keyword&gt;Female&lt;/keyword&gt;&lt;keyword&gt;Great Britain&lt;/keyword&gt;&lt;keyword&gt;Humans&lt;/keyword&gt;&lt;keyword&gt;Male&lt;/keyword&gt;&lt;keyword&gt;Middle Aged&lt;/keyword&gt;&lt;keyword&gt;Proportional Hazards Models&lt;/keyword&gt;&lt;keyword&gt;Registries&lt;/keyword&gt;&lt;keyword&gt;Risk&lt;/keyword&gt;&lt;keyword&gt;Treatment Outcome&lt;/keyword&gt;&lt;/keywords&gt;&lt;dates&gt;&lt;year&gt;2010&lt;/year&gt;&lt;pub-dates&gt;&lt;date&gt;Sep&lt;/date&gt;&lt;/pub-dates&gt;&lt;/dates&gt;&lt;isbn&gt;1399-3003 (Electronic)&amp;#xD;0903-1936 (Linking)&lt;/isbn&gt;&lt;accession-num&gt;20351036&lt;/accession-num&gt;&lt;urls&gt;&lt;related-urls&gt;&lt;url&gt;http://www.ncbi.nlm.nih.gov/pubmed/20351036&lt;/url&gt;&lt;/related-urls&gt;&lt;/urls&gt;&lt;electronic-resource-num&gt;10.1183/09031936.00124209&lt;/electronic-resource-num&gt;&lt;/record&gt;&lt;/Cite&gt;&lt;/EndNote&gt;</w:instrText>
            </w:r>
            <w:r w:rsidRPr="0059797D">
              <w:fldChar w:fldCharType="separate"/>
            </w:r>
            <w:r w:rsidR="003C33C5" w:rsidRPr="003C33C5">
              <w:rPr>
                <w:noProof/>
                <w:color w:val="auto"/>
                <w:vertAlign w:val="superscript"/>
              </w:rPr>
              <w:t>7</w:t>
            </w:r>
            <w:r w:rsidRPr="0059797D">
              <w:fldChar w:fldCharType="end"/>
            </w:r>
          </w:p>
        </w:tc>
      </w:tr>
      <w:tr w:rsidR="001720A9" w14:paraId="3CACBF54" w14:textId="77777777" w:rsidTr="001720A9">
        <w:tc>
          <w:tcPr>
            <w:tcW w:w="1587" w:type="pct"/>
            <w:noWrap/>
          </w:tcPr>
          <w:p w14:paraId="7D276244" w14:textId="639F1C3E" w:rsidR="001720A9" w:rsidRPr="0059797D" w:rsidRDefault="001720A9" w:rsidP="001720A9">
            <w:pPr>
              <w:rPr>
                <w:color w:val="auto"/>
              </w:rPr>
            </w:pPr>
            <w:r w:rsidRPr="0059797D">
              <w:rPr>
                <w:color w:val="auto"/>
              </w:rPr>
              <w:t>Additional risk of death given asthma hospitalization</w:t>
            </w:r>
          </w:p>
        </w:tc>
        <w:tc>
          <w:tcPr>
            <w:tcW w:w="2417" w:type="pct"/>
            <w:gridSpan w:val="2"/>
          </w:tcPr>
          <w:p w14:paraId="57166E11" w14:textId="38840F57" w:rsidR="001720A9" w:rsidRPr="0059797D" w:rsidRDefault="001720A9" w:rsidP="00E0659B">
            <w:pPr>
              <w:pStyle w:val="DecimalAligned"/>
              <w:jc w:val="center"/>
              <w:rPr>
                <w:color w:val="auto"/>
              </w:rPr>
            </w:pPr>
            <w:r w:rsidRPr="0059797D">
              <w:rPr>
                <w:color w:val="auto"/>
              </w:rPr>
              <w:t>0.01165 (0.0018)</w:t>
            </w:r>
            <w:r w:rsidR="003A133D" w:rsidRPr="0059797D">
              <w:rPr>
                <w:color w:val="auto"/>
              </w:rPr>
              <w:t>*</w:t>
            </w:r>
          </w:p>
        </w:tc>
        <w:tc>
          <w:tcPr>
            <w:tcW w:w="996" w:type="pct"/>
          </w:tcPr>
          <w:p w14:paraId="128969CE" w14:textId="56393DFF" w:rsidR="001720A9" w:rsidRPr="0059797D" w:rsidRDefault="001720A9" w:rsidP="003C33C5">
            <w:pPr>
              <w:pStyle w:val="DecimalAligned"/>
              <w:jc w:val="center"/>
              <w:rPr>
                <w:color w:val="auto"/>
              </w:rPr>
            </w:pPr>
            <w:r w:rsidRPr="0059797D">
              <w:rPr>
                <w:color w:val="auto"/>
              </w:rPr>
              <w:t>Sullivan et al</w:t>
            </w:r>
            <w:r w:rsidRPr="0059797D">
              <w:fldChar w:fldCharType="begin"/>
            </w:r>
            <w:r w:rsidR="003C33C5">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fldChar w:fldCharType="separate"/>
            </w:r>
            <w:r w:rsidR="003C33C5" w:rsidRPr="003C33C5">
              <w:rPr>
                <w:noProof/>
                <w:color w:val="auto"/>
                <w:vertAlign w:val="superscript"/>
              </w:rPr>
              <w:t>8</w:t>
            </w:r>
            <w:r w:rsidRPr="0059797D">
              <w:fldChar w:fldCharType="end"/>
            </w:r>
          </w:p>
        </w:tc>
      </w:tr>
      <w:tr w:rsidR="001720A9" w14:paraId="0AFE610F" w14:textId="77777777" w:rsidTr="001720A9">
        <w:tc>
          <w:tcPr>
            <w:tcW w:w="1587" w:type="pct"/>
            <w:noWrap/>
          </w:tcPr>
          <w:p w14:paraId="4A34DBE5" w14:textId="74C09ECB" w:rsidR="001720A9" w:rsidRPr="0059797D" w:rsidRDefault="001720A9" w:rsidP="001720A9">
            <w:pPr>
              <w:rPr>
                <w:color w:val="auto"/>
              </w:rPr>
            </w:pPr>
            <w:r w:rsidRPr="0059797D">
              <w:rPr>
                <w:color w:val="auto"/>
              </w:rPr>
              <w:t>Probability of OC burst per 2 week</w:t>
            </w:r>
          </w:p>
        </w:tc>
        <w:tc>
          <w:tcPr>
            <w:tcW w:w="1394" w:type="pct"/>
            <w:vAlign w:val="bottom"/>
          </w:tcPr>
          <w:p w14:paraId="59C6C08F" w14:textId="5D6096C1" w:rsidR="001720A9" w:rsidRPr="0059797D" w:rsidRDefault="001720A9" w:rsidP="001720A9">
            <w:pPr>
              <w:pStyle w:val="DecimalAligned"/>
              <w:jc w:val="center"/>
              <w:rPr>
                <w:color w:val="auto"/>
              </w:rPr>
            </w:pPr>
            <w:bookmarkStart w:id="0" w:name="RANGE!D31"/>
            <w:r w:rsidRPr="0059797D">
              <w:rPr>
                <w:rFonts w:ascii="Arial" w:hAnsi="Arial" w:cs="Arial"/>
                <w:color w:val="auto"/>
                <w:sz w:val="20"/>
                <w:szCs w:val="20"/>
              </w:rPr>
              <w:t>0.0963</w:t>
            </w:r>
            <w:bookmarkEnd w:id="0"/>
            <w:r w:rsidRPr="0059797D">
              <w:rPr>
                <w:rFonts w:ascii="Arial" w:hAnsi="Arial" w:cs="Arial"/>
                <w:color w:val="auto"/>
                <w:sz w:val="20"/>
                <w:szCs w:val="20"/>
              </w:rPr>
              <w:t xml:space="preserve"> (0.0049)</w:t>
            </w:r>
            <w:r w:rsidR="003A133D" w:rsidRPr="0059797D">
              <w:rPr>
                <w:rFonts w:ascii="Arial" w:hAnsi="Arial" w:cs="Arial"/>
                <w:color w:val="auto"/>
                <w:sz w:val="20"/>
                <w:szCs w:val="20"/>
              </w:rPr>
              <w:t>*</w:t>
            </w:r>
          </w:p>
        </w:tc>
        <w:tc>
          <w:tcPr>
            <w:tcW w:w="1023" w:type="pct"/>
            <w:vAlign w:val="bottom"/>
          </w:tcPr>
          <w:p w14:paraId="2C98D5DC" w14:textId="3D4D3CAB" w:rsidR="001720A9" w:rsidRPr="0059797D" w:rsidRDefault="001720A9" w:rsidP="001720A9">
            <w:pPr>
              <w:pStyle w:val="DecimalAligned"/>
              <w:jc w:val="center"/>
              <w:rPr>
                <w:color w:val="auto"/>
              </w:rPr>
            </w:pPr>
            <w:bookmarkStart w:id="1" w:name="RANGE!D27"/>
            <w:r w:rsidRPr="0059797D">
              <w:rPr>
                <w:rFonts w:ascii="Arial" w:hAnsi="Arial" w:cs="Arial"/>
                <w:color w:val="auto"/>
                <w:sz w:val="20"/>
                <w:szCs w:val="20"/>
              </w:rPr>
              <w:t>0.1005</w:t>
            </w:r>
            <w:bookmarkEnd w:id="1"/>
            <w:r w:rsidRPr="0059797D">
              <w:rPr>
                <w:rFonts w:ascii="Arial" w:hAnsi="Arial" w:cs="Arial"/>
                <w:color w:val="auto"/>
                <w:sz w:val="20"/>
                <w:szCs w:val="20"/>
              </w:rPr>
              <w:t xml:space="preserve"> (0.0067)</w:t>
            </w:r>
            <w:r w:rsidR="003A133D" w:rsidRPr="0059797D">
              <w:rPr>
                <w:rFonts w:ascii="Arial" w:hAnsi="Arial" w:cs="Arial"/>
                <w:color w:val="auto"/>
                <w:sz w:val="20"/>
                <w:szCs w:val="20"/>
              </w:rPr>
              <w:t>*</w:t>
            </w:r>
          </w:p>
        </w:tc>
        <w:tc>
          <w:tcPr>
            <w:tcW w:w="996" w:type="pct"/>
            <w:vAlign w:val="bottom"/>
          </w:tcPr>
          <w:p w14:paraId="7E512B7D" w14:textId="317B4BB4" w:rsidR="001720A9" w:rsidRPr="0059797D" w:rsidRDefault="001720A9" w:rsidP="003C33C5">
            <w:pPr>
              <w:pStyle w:val="DecimalAligned"/>
              <w:jc w:val="center"/>
              <w:rPr>
                <w:color w:val="auto"/>
              </w:rPr>
            </w:pPr>
            <w:r w:rsidRPr="0059797D">
              <w:rPr>
                <w:rFonts w:ascii="Arial" w:hAnsi="Arial" w:cs="Arial"/>
                <w:color w:val="auto"/>
                <w:sz w:val="20"/>
                <w:szCs w:val="20"/>
              </w:rPr>
              <w:t>Sullivan et al</w:t>
            </w:r>
            <w:r w:rsidRPr="0059797D">
              <w:rPr>
                <w:rFonts w:ascii="Arial" w:hAnsi="Arial" w:cs="Arial"/>
                <w:sz w:val="20"/>
                <w:szCs w:val="20"/>
              </w:rPr>
              <w:fldChar w:fldCharType="begin"/>
            </w:r>
            <w:r w:rsidR="003C33C5">
              <w:rPr>
                <w:rFonts w:ascii="Arial" w:hAnsi="Arial" w:cs="Arial"/>
                <w:sz w:val="20"/>
                <w:szCs w:val="20"/>
              </w:rPr>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rPr>
                <w:rFonts w:ascii="Arial" w:hAnsi="Arial" w:cs="Arial"/>
                <w:sz w:val="20"/>
                <w:szCs w:val="20"/>
              </w:rPr>
              <w:fldChar w:fldCharType="separate"/>
            </w:r>
            <w:r w:rsidR="003C33C5" w:rsidRPr="003C33C5">
              <w:rPr>
                <w:rFonts w:ascii="Arial" w:hAnsi="Arial" w:cs="Arial"/>
                <w:noProof/>
                <w:color w:val="auto"/>
                <w:sz w:val="20"/>
                <w:szCs w:val="20"/>
                <w:vertAlign w:val="superscript"/>
              </w:rPr>
              <w:t>8</w:t>
            </w:r>
            <w:r w:rsidRPr="0059797D">
              <w:rPr>
                <w:rFonts w:ascii="Arial" w:hAnsi="Arial" w:cs="Arial"/>
                <w:sz w:val="20"/>
                <w:szCs w:val="20"/>
              </w:rPr>
              <w:fldChar w:fldCharType="end"/>
            </w:r>
          </w:p>
        </w:tc>
      </w:tr>
      <w:tr w:rsidR="001720A9" w14:paraId="2215558C" w14:textId="77777777" w:rsidTr="001720A9">
        <w:tc>
          <w:tcPr>
            <w:tcW w:w="1587" w:type="pct"/>
            <w:noWrap/>
          </w:tcPr>
          <w:p w14:paraId="5BDE3FA9" w14:textId="3D8F6CCC" w:rsidR="001720A9" w:rsidRPr="0059797D" w:rsidRDefault="001720A9" w:rsidP="001720A9">
            <w:pPr>
              <w:rPr>
                <w:color w:val="auto"/>
              </w:rPr>
            </w:pPr>
            <w:r w:rsidRPr="0059797D">
              <w:rPr>
                <w:color w:val="auto"/>
              </w:rPr>
              <w:t>Probability of ER visit per 2 week</w:t>
            </w:r>
          </w:p>
        </w:tc>
        <w:tc>
          <w:tcPr>
            <w:tcW w:w="1394" w:type="pct"/>
            <w:vAlign w:val="bottom"/>
          </w:tcPr>
          <w:p w14:paraId="783D0D9C" w14:textId="5D846465" w:rsidR="001720A9" w:rsidRPr="0059797D" w:rsidRDefault="001720A9" w:rsidP="001720A9">
            <w:pPr>
              <w:pStyle w:val="DecimalAligned"/>
              <w:jc w:val="center"/>
              <w:rPr>
                <w:color w:val="auto"/>
              </w:rPr>
            </w:pPr>
            <w:bookmarkStart w:id="2" w:name="RANGE!D32"/>
            <w:r w:rsidRPr="0059797D">
              <w:rPr>
                <w:rFonts w:ascii="Arial" w:hAnsi="Arial" w:cs="Arial"/>
                <w:color w:val="auto"/>
                <w:sz w:val="20"/>
                <w:szCs w:val="20"/>
              </w:rPr>
              <w:t>0.0023</w:t>
            </w:r>
            <w:bookmarkEnd w:id="2"/>
            <w:r w:rsidRPr="0059797D">
              <w:rPr>
                <w:rFonts w:ascii="Arial" w:hAnsi="Arial" w:cs="Arial"/>
                <w:color w:val="auto"/>
                <w:sz w:val="20"/>
                <w:szCs w:val="20"/>
              </w:rPr>
              <w:t xml:space="preserve"> (0.0008)</w:t>
            </w:r>
            <w:r w:rsidR="003A133D" w:rsidRPr="0059797D">
              <w:rPr>
                <w:rFonts w:ascii="Arial" w:hAnsi="Arial" w:cs="Arial"/>
                <w:color w:val="auto"/>
                <w:sz w:val="20"/>
                <w:szCs w:val="20"/>
              </w:rPr>
              <w:t>*</w:t>
            </w:r>
          </w:p>
        </w:tc>
        <w:tc>
          <w:tcPr>
            <w:tcW w:w="1023" w:type="pct"/>
            <w:vAlign w:val="bottom"/>
          </w:tcPr>
          <w:p w14:paraId="594003FE" w14:textId="571D5193" w:rsidR="001720A9" w:rsidRPr="0059797D" w:rsidRDefault="001720A9" w:rsidP="001720A9">
            <w:pPr>
              <w:pStyle w:val="DecimalAligned"/>
              <w:jc w:val="center"/>
              <w:rPr>
                <w:color w:val="auto"/>
              </w:rPr>
            </w:pPr>
            <w:bookmarkStart w:id="3" w:name="RANGE!D28"/>
            <w:r w:rsidRPr="0059797D">
              <w:rPr>
                <w:rFonts w:ascii="Arial" w:hAnsi="Arial" w:cs="Arial"/>
                <w:color w:val="auto"/>
                <w:sz w:val="20"/>
                <w:szCs w:val="20"/>
              </w:rPr>
              <w:t>0.0057</w:t>
            </w:r>
            <w:bookmarkEnd w:id="3"/>
            <w:r w:rsidRPr="0059797D">
              <w:rPr>
                <w:rFonts w:ascii="Arial" w:hAnsi="Arial" w:cs="Arial"/>
                <w:color w:val="auto"/>
                <w:sz w:val="20"/>
                <w:szCs w:val="20"/>
              </w:rPr>
              <w:t xml:space="preserve"> (0.0017)</w:t>
            </w:r>
            <w:r w:rsidR="003A133D" w:rsidRPr="0059797D">
              <w:rPr>
                <w:rFonts w:ascii="Arial" w:hAnsi="Arial" w:cs="Arial"/>
                <w:color w:val="auto"/>
                <w:sz w:val="20"/>
                <w:szCs w:val="20"/>
              </w:rPr>
              <w:t>*</w:t>
            </w:r>
          </w:p>
        </w:tc>
        <w:tc>
          <w:tcPr>
            <w:tcW w:w="996" w:type="pct"/>
            <w:vAlign w:val="bottom"/>
          </w:tcPr>
          <w:p w14:paraId="07E61DE3" w14:textId="18FE3453" w:rsidR="001720A9" w:rsidRPr="0059797D" w:rsidRDefault="001720A9" w:rsidP="003C33C5">
            <w:pPr>
              <w:pStyle w:val="DecimalAligned"/>
              <w:jc w:val="center"/>
              <w:rPr>
                <w:color w:val="auto"/>
              </w:rPr>
            </w:pPr>
            <w:r w:rsidRPr="0059797D">
              <w:rPr>
                <w:rFonts w:ascii="Arial" w:hAnsi="Arial" w:cs="Arial"/>
                <w:color w:val="auto"/>
                <w:sz w:val="20"/>
                <w:szCs w:val="20"/>
              </w:rPr>
              <w:t>Sullivan et al</w:t>
            </w:r>
            <w:r w:rsidRPr="0059797D">
              <w:rPr>
                <w:rFonts w:ascii="Arial" w:hAnsi="Arial" w:cs="Arial"/>
                <w:sz w:val="20"/>
                <w:szCs w:val="20"/>
              </w:rPr>
              <w:fldChar w:fldCharType="begin"/>
            </w:r>
            <w:r w:rsidR="003C33C5">
              <w:rPr>
                <w:rFonts w:ascii="Arial" w:hAnsi="Arial" w:cs="Arial"/>
                <w:sz w:val="20"/>
                <w:szCs w:val="20"/>
              </w:rPr>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rPr>
                <w:rFonts w:ascii="Arial" w:hAnsi="Arial" w:cs="Arial"/>
                <w:sz w:val="20"/>
                <w:szCs w:val="20"/>
              </w:rPr>
              <w:fldChar w:fldCharType="separate"/>
            </w:r>
            <w:r w:rsidR="003C33C5" w:rsidRPr="003C33C5">
              <w:rPr>
                <w:rFonts w:ascii="Arial" w:hAnsi="Arial" w:cs="Arial"/>
                <w:noProof/>
                <w:color w:val="auto"/>
                <w:sz w:val="20"/>
                <w:szCs w:val="20"/>
                <w:vertAlign w:val="superscript"/>
              </w:rPr>
              <w:t>8</w:t>
            </w:r>
            <w:r w:rsidRPr="0059797D">
              <w:rPr>
                <w:rFonts w:ascii="Arial" w:hAnsi="Arial" w:cs="Arial"/>
                <w:sz w:val="20"/>
                <w:szCs w:val="20"/>
              </w:rPr>
              <w:fldChar w:fldCharType="end"/>
            </w:r>
          </w:p>
        </w:tc>
      </w:tr>
      <w:tr w:rsidR="001720A9" w14:paraId="2161EF8B" w14:textId="77777777" w:rsidTr="001720A9">
        <w:tc>
          <w:tcPr>
            <w:tcW w:w="1587" w:type="pct"/>
            <w:noWrap/>
          </w:tcPr>
          <w:p w14:paraId="277FABA9" w14:textId="313933FB" w:rsidR="001720A9" w:rsidRPr="0059797D" w:rsidRDefault="001720A9" w:rsidP="001720A9">
            <w:pPr>
              <w:rPr>
                <w:color w:val="auto"/>
              </w:rPr>
            </w:pPr>
            <w:r w:rsidRPr="0059797D">
              <w:rPr>
                <w:color w:val="auto"/>
              </w:rPr>
              <w:t>Probability of Hospitalization per 2 week</w:t>
            </w:r>
          </w:p>
        </w:tc>
        <w:tc>
          <w:tcPr>
            <w:tcW w:w="1394" w:type="pct"/>
            <w:vAlign w:val="bottom"/>
          </w:tcPr>
          <w:p w14:paraId="67E93707" w14:textId="3B0C6151" w:rsidR="001720A9" w:rsidRPr="0059797D" w:rsidRDefault="001720A9" w:rsidP="001720A9">
            <w:pPr>
              <w:pStyle w:val="DecimalAligned"/>
              <w:jc w:val="center"/>
              <w:rPr>
                <w:color w:val="auto"/>
              </w:rPr>
            </w:pPr>
            <w:bookmarkStart w:id="4" w:name="RANGE!D33"/>
            <w:r w:rsidRPr="0059797D">
              <w:rPr>
                <w:rFonts w:ascii="Arial" w:hAnsi="Arial" w:cs="Arial"/>
                <w:color w:val="auto"/>
                <w:sz w:val="20"/>
                <w:szCs w:val="20"/>
              </w:rPr>
              <w:t>0.0023</w:t>
            </w:r>
            <w:bookmarkEnd w:id="4"/>
            <w:r w:rsidRPr="0059797D">
              <w:rPr>
                <w:rFonts w:ascii="Arial" w:hAnsi="Arial" w:cs="Arial"/>
                <w:color w:val="auto"/>
                <w:sz w:val="20"/>
                <w:szCs w:val="20"/>
              </w:rPr>
              <w:t xml:space="preserve"> (0.0008)</w:t>
            </w:r>
            <w:r w:rsidR="003A133D" w:rsidRPr="0059797D">
              <w:rPr>
                <w:rFonts w:ascii="Arial" w:hAnsi="Arial" w:cs="Arial"/>
                <w:color w:val="auto"/>
                <w:sz w:val="20"/>
                <w:szCs w:val="20"/>
              </w:rPr>
              <w:t>*</w:t>
            </w:r>
          </w:p>
        </w:tc>
        <w:tc>
          <w:tcPr>
            <w:tcW w:w="1023" w:type="pct"/>
            <w:vAlign w:val="bottom"/>
          </w:tcPr>
          <w:p w14:paraId="78F0F011" w14:textId="1ACF4BFF" w:rsidR="001720A9" w:rsidRPr="0059797D" w:rsidRDefault="001720A9" w:rsidP="001720A9">
            <w:pPr>
              <w:pStyle w:val="DecimalAligned"/>
              <w:jc w:val="center"/>
              <w:rPr>
                <w:color w:val="auto"/>
              </w:rPr>
            </w:pPr>
            <w:bookmarkStart w:id="5" w:name="RANGE!D29"/>
            <w:r w:rsidRPr="0059797D">
              <w:rPr>
                <w:rFonts w:ascii="Arial" w:hAnsi="Arial" w:cs="Arial"/>
                <w:color w:val="auto"/>
                <w:sz w:val="20"/>
                <w:szCs w:val="20"/>
              </w:rPr>
              <w:t>0.0023</w:t>
            </w:r>
            <w:bookmarkEnd w:id="5"/>
            <w:r w:rsidRPr="0059797D">
              <w:rPr>
                <w:rFonts w:ascii="Arial" w:hAnsi="Arial" w:cs="Arial"/>
                <w:color w:val="auto"/>
                <w:sz w:val="20"/>
                <w:szCs w:val="20"/>
              </w:rPr>
              <w:t xml:space="preserve"> (0.0011)</w:t>
            </w:r>
            <w:r w:rsidR="003A133D" w:rsidRPr="0059797D">
              <w:rPr>
                <w:rFonts w:ascii="Arial" w:hAnsi="Arial" w:cs="Arial"/>
                <w:color w:val="auto"/>
                <w:sz w:val="20"/>
                <w:szCs w:val="20"/>
              </w:rPr>
              <w:t>*</w:t>
            </w:r>
          </w:p>
        </w:tc>
        <w:tc>
          <w:tcPr>
            <w:tcW w:w="996" w:type="pct"/>
            <w:vAlign w:val="bottom"/>
          </w:tcPr>
          <w:p w14:paraId="4E36A4ED" w14:textId="63C23F6D" w:rsidR="001720A9" w:rsidRPr="0059797D" w:rsidRDefault="001720A9" w:rsidP="003C33C5">
            <w:pPr>
              <w:pStyle w:val="DecimalAligned"/>
              <w:jc w:val="center"/>
              <w:rPr>
                <w:color w:val="auto"/>
              </w:rPr>
            </w:pPr>
            <w:r w:rsidRPr="0059797D">
              <w:rPr>
                <w:rFonts w:ascii="Arial" w:hAnsi="Arial" w:cs="Arial"/>
                <w:color w:val="auto"/>
                <w:sz w:val="20"/>
                <w:szCs w:val="20"/>
              </w:rPr>
              <w:t>Sullivan et al</w:t>
            </w:r>
            <w:r w:rsidRPr="0059797D">
              <w:rPr>
                <w:rFonts w:ascii="Arial" w:hAnsi="Arial" w:cs="Arial"/>
                <w:sz w:val="20"/>
                <w:szCs w:val="20"/>
              </w:rPr>
              <w:fldChar w:fldCharType="begin"/>
            </w:r>
            <w:r w:rsidR="003C33C5">
              <w:rPr>
                <w:rFonts w:ascii="Arial" w:hAnsi="Arial" w:cs="Arial"/>
                <w:sz w:val="20"/>
                <w:szCs w:val="20"/>
              </w:rPr>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rPr>
                <w:rFonts w:ascii="Arial" w:hAnsi="Arial" w:cs="Arial"/>
                <w:sz w:val="20"/>
                <w:szCs w:val="20"/>
              </w:rPr>
              <w:fldChar w:fldCharType="separate"/>
            </w:r>
            <w:r w:rsidR="003C33C5" w:rsidRPr="003C33C5">
              <w:rPr>
                <w:rFonts w:ascii="Arial" w:hAnsi="Arial" w:cs="Arial"/>
                <w:noProof/>
                <w:color w:val="auto"/>
                <w:sz w:val="20"/>
                <w:szCs w:val="20"/>
                <w:vertAlign w:val="superscript"/>
              </w:rPr>
              <w:t>8</w:t>
            </w:r>
            <w:r w:rsidRPr="0059797D">
              <w:rPr>
                <w:rFonts w:ascii="Arial" w:hAnsi="Arial" w:cs="Arial"/>
                <w:sz w:val="20"/>
                <w:szCs w:val="20"/>
              </w:rPr>
              <w:fldChar w:fldCharType="end"/>
            </w:r>
          </w:p>
        </w:tc>
      </w:tr>
      <w:tr w:rsidR="00DF50E5" w14:paraId="45FDE58E" w14:textId="77777777" w:rsidTr="001720A9">
        <w:tc>
          <w:tcPr>
            <w:tcW w:w="1587" w:type="pct"/>
            <w:noWrap/>
          </w:tcPr>
          <w:p w14:paraId="3298EA28" w14:textId="7626AA09" w:rsidR="00DF50E5" w:rsidRPr="0059797D" w:rsidRDefault="00DF50E5" w:rsidP="001720A9">
            <w:pPr>
              <w:rPr>
                <w:color w:val="auto"/>
              </w:rPr>
            </w:pPr>
            <w:r w:rsidRPr="0059797D">
              <w:rPr>
                <w:color w:val="auto"/>
              </w:rPr>
              <w:t>Probability of Controlled Asthma using PH system per 2 week</w:t>
            </w:r>
          </w:p>
        </w:tc>
        <w:tc>
          <w:tcPr>
            <w:tcW w:w="1394" w:type="pct"/>
            <w:vAlign w:val="bottom"/>
          </w:tcPr>
          <w:p w14:paraId="2F5BC205" w14:textId="77777777" w:rsidR="00DF50E5" w:rsidRPr="0059797D" w:rsidRDefault="00DF50E5" w:rsidP="001720A9">
            <w:pPr>
              <w:pStyle w:val="DecimalAligned"/>
              <w:jc w:val="center"/>
              <w:rPr>
                <w:rFonts w:ascii="Arial" w:hAnsi="Arial" w:cs="Arial"/>
                <w:color w:val="auto"/>
                <w:sz w:val="20"/>
                <w:szCs w:val="20"/>
              </w:rPr>
            </w:pPr>
          </w:p>
        </w:tc>
        <w:tc>
          <w:tcPr>
            <w:tcW w:w="1023" w:type="pct"/>
            <w:vAlign w:val="bottom"/>
          </w:tcPr>
          <w:p w14:paraId="6E2F0A36" w14:textId="64FE261B" w:rsidR="00DF50E5" w:rsidRPr="0059797D" w:rsidRDefault="00DF50E5" w:rsidP="001720A9">
            <w:pPr>
              <w:pStyle w:val="DecimalAligned"/>
              <w:jc w:val="center"/>
              <w:rPr>
                <w:rFonts w:ascii="Arial" w:hAnsi="Arial" w:cs="Arial"/>
                <w:color w:val="auto"/>
                <w:sz w:val="20"/>
                <w:szCs w:val="20"/>
              </w:rPr>
            </w:pPr>
            <w:r w:rsidRPr="0059797D">
              <w:rPr>
                <w:rFonts w:ascii="Arial" w:hAnsi="Arial" w:cs="Arial"/>
                <w:color w:val="auto"/>
                <w:sz w:val="20"/>
                <w:szCs w:val="20"/>
              </w:rPr>
              <w:t>0.04 (0.0148)</w:t>
            </w:r>
            <w:r w:rsidR="003A133D" w:rsidRPr="0059797D">
              <w:rPr>
                <w:rFonts w:ascii="Arial" w:hAnsi="Arial" w:cs="Arial"/>
                <w:color w:val="auto"/>
                <w:sz w:val="20"/>
                <w:szCs w:val="20"/>
              </w:rPr>
              <w:t>*</w:t>
            </w:r>
          </w:p>
        </w:tc>
        <w:tc>
          <w:tcPr>
            <w:tcW w:w="996" w:type="pct"/>
            <w:vAlign w:val="bottom"/>
          </w:tcPr>
          <w:p w14:paraId="1DA7B600" w14:textId="368842AD"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5F461CA8" w14:textId="77777777" w:rsidTr="001720A9">
        <w:tc>
          <w:tcPr>
            <w:tcW w:w="1587" w:type="pct"/>
            <w:noWrap/>
          </w:tcPr>
          <w:p w14:paraId="352685E1" w14:textId="36B2280A" w:rsidR="00DF50E5" w:rsidRPr="0059797D" w:rsidRDefault="00DF50E5" w:rsidP="00DF50E5">
            <w:pPr>
              <w:rPr>
                <w:color w:val="auto"/>
              </w:rPr>
            </w:pPr>
            <w:r w:rsidRPr="0059797D">
              <w:rPr>
                <w:color w:val="auto"/>
              </w:rPr>
              <w:t>Probability of Controlled Asthma using UC per 2 week</w:t>
            </w:r>
          </w:p>
        </w:tc>
        <w:tc>
          <w:tcPr>
            <w:tcW w:w="1394" w:type="pct"/>
            <w:vAlign w:val="bottom"/>
          </w:tcPr>
          <w:p w14:paraId="21EAC68E" w14:textId="77777777" w:rsidR="00DF50E5" w:rsidRPr="0059797D" w:rsidRDefault="00DF50E5" w:rsidP="001720A9">
            <w:pPr>
              <w:pStyle w:val="DecimalAligned"/>
              <w:jc w:val="center"/>
              <w:rPr>
                <w:rFonts w:ascii="Arial" w:hAnsi="Arial" w:cs="Arial"/>
                <w:color w:val="auto"/>
                <w:sz w:val="20"/>
                <w:szCs w:val="20"/>
              </w:rPr>
            </w:pPr>
          </w:p>
        </w:tc>
        <w:tc>
          <w:tcPr>
            <w:tcW w:w="1023" w:type="pct"/>
            <w:vAlign w:val="bottom"/>
          </w:tcPr>
          <w:p w14:paraId="46D009CE" w14:textId="0508D72B" w:rsidR="00DF50E5" w:rsidRPr="0059797D" w:rsidRDefault="00DF50E5" w:rsidP="001720A9">
            <w:pPr>
              <w:pStyle w:val="DecimalAligned"/>
              <w:jc w:val="center"/>
              <w:rPr>
                <w:rFonts w:ascii="Arial" w:hAnsi="Arial" w:cs="Arial"/>
                <w:color w:val="auto"/>
                <w:sz w:val="20"/>
                <w:szCs w:val="20"/>
              </w:rPr>
            </w:pPr>
            <w:r w:rsidRPr="0059797D">
              <w:rPr>
                <w:rFonts w:ascii="Arial" w:hAnsi="Arial" w:cs="Arial"/>
                <w:color w:val="auto"/>
                <w:sz w:val="20"/>
                <w:szCs w:val="20"/>
              </w:rPr>
              <w:t>0.03 (0.0184)</w:t>
            </w:r>
            <w:r w:rsidR="003A133D" w:rsidRPr="0059797D">
              <w:rPr>
                <w:rFonts w:ascii="Arial" w:hAnsi="Arial" w:cs="Arial"/>
                <w:color w:val="auto"/>
                <w:sz w:val="20"/>
                <w:szCs w:val="20"/>
              </w:rPr>
              <w:t>*</w:t>
            </w:r>
          </w:p>
        </w:tc>
        <w:tc>
          <w:tcPr>
            <w:tcW w:w="996" w:type="pct"/>
            <w:vAlign w:val="bottom"/>
          </w:tcPr>
          <w:p w14:paraId="361503F8" w14:textId="5FE108CF" w:rsidR="00DF50E5" w:rsidRPr="0059797D" w:rsidRDefault="00DF50E5" w:rsidP="001720A9">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21E81284" w14:textId="77777777" w:rsidTr="001720A9">
        <w:tc>
          <w:tcPr>
            <w:tcW w:w="1587" w:type="pct"/>
            <w:noWrap/>
          </w:tcPr>
          <w:p w14:paraId="0BAC6B1E" w14:textId="3DBD442C" w:rsidR="00DF50E5" w:rsidRPr="0059797D" w:rsidRDefault="00DF50E5" w:rsidP="00DF50E5">
            <w:pPr>
              <w:rPr>
                <w:color w:val="auto"/>
              </w:rPr>
            </w:pPr>
            <w:r w:rsidRPr="0059797D">
              <w:rPr>
                <w:color w:val="auto"/>
              </w:rPr>
              <w:t>Probability of Uncontrolled Asthma using PH system per 2 week</w:t>
            </w:r>
          </w:p>
        </w:tc>
        <w:tc>
          <w:tcPr>
            <w:tcW w:w="1394" w:type="pct"/>
            <w:vAlign w:val="bottom"/>
          </w:tcPr>
          <w:p w14:paraId="70961D36" w14:textId="3F333BAD"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0.01 (0.0081)</w:t>
            </w:r>
            <w:r w:rsidR="003A133D" w:rsidRPr="0059797D">
              <w:rPr>
                <w:rFonts w:ascii="Arial" w:hAnsi="Arial" w:cs="Arial"/>
                <w:color w:val="auto"/>
                <w:sz w:val="20"/>
                <w:szCs w:val="20"/>
              </w:rPr>
              <w:t>*</w:t>
            </w:r>
          </w:p>
        </w:tc>
        <w:tc>
          <w:tcPr>
            <w:tcW w:w="1023" w:type="pct"/>
            <w:vAlign w:val="bottom"/>
          </w:tcPr>
          <w:p w14:paraId="49EB8D1D" w14:textId="77777777" w:rsidR="00DF50E5" w:rsidRPr="0059797D" w:rsidRDefault="00DF50E5" w:rsidP="00DF50E5">
            <w:pPr>
              <w:pStyle w:val="DecimalAligned"/>
              <w:jc w:val="center"/>
              <w:rPr>
                <w:rFonts w:ascii="Arial" w:hAnsi="Arial" w:cs="Arial"/>
                <w:color w:val="auto"/>
                <w:sz w:val="20"/>
                <w:szCs w:val="20"/>
              </w:rPr>
            </w:pPr>
          </w:p>
        </w:tc>
        <w:tc>
          <w:tcPr>
            <w:tcW w:w="996" w:type="pct"/>
            <w:vAlign w:val="bottom"/>
          </w:tcPr>
          <w:p w14:paraId="6C916BF9" w14:textId="621F773E"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1C0C3499" w14:textId="77777777" w:rsidTr="001720A9">
        <w:tc>
          <w:tcPr>
            <w:tcW w:w="1587" w:type="pct"/>
            <w:noWrap/>
          </w:tcPr>
          <w:p w14:paraId="5F1B0A86" w14:textId="46213231" w:rsidR="00DF50E5" w:rsidRPr="0059797D" w:rsidRDefault="00DF50E5" w:rsidP="00DF50E5">
            <w:pPr>
              <w:rPr>
                <w:color w:val="auto"/>
              </w:rPr>
            </w:pPr>
            <w:r w:rsidRPr="0059797D">
              <w:rPr>
                <w:color w:val="auto"/>
              </w:rPr>
              <w:t>Probability of Uncontrolled Asthma using UC per 2 week</w:t>
            </w:r>
          </w:p>
        </w:tc>
        <w:tc>
          <w:tcPr>
            <w:tcW w:w="1394" w:type="pct"/>
            <w:vAlign w:val="bottom"/>
          </w:tcPr>
          <w:p w14:paraId="2B6F95D7" w14:textId="2B853863"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0.01 (0.0087)</w:t>
            </w:r>
            <w:r w:rsidR="003A133D" w:rsidRPr="0059797D">
              <w:rPr>
                <w:rFonts w:ascii="Arial" w:hAnsi="Arial" w:cs="Arial"/>
                <w:color w:val="auto"/>
                <w:sz w:val="20"/>
                <w:szCs w:val="20"/>
              </w:rPr>
              <w:t>*</w:t>
            </w:r>
          </w:p>
        </w:tc>
        <w:tc>
          <w:tcPr>
            <w:tcW w:w="1023" w:type="pct"/>
            <w:vAlign w:val="bottom"/>
          </w:tcPr>
          <w:p w14:paraId="72D426CE" w14:textId="77777777" w:rsidR="00DF50E5" w:rsidRPr="0059797D" w:rsidRDefault="00DF50E5" w:rsidP="00DF50E5">
            <w:pPr>
              <w:pStyle w:val="DecimalAligned"/>
              <w:jc w:val="center"/>
              <w:rPr>
                <w:rFonts w:ascii="Arial" w:hAnsi="Arial" w:cs="Arial"/>
                <w:color w:val="auto"/>
                <w:sz w:val="20"/>
                <w:szCs w:val="20"/>
              </w:rPr>
            </w:pPr>
          </w:p>
        </w:tc>
        <w:tc>
          <w:tcPr>
            <w:tcW w:w="996" w:type="pct"/>
            <w:vAlign w:val="bottom"/>
          </w:tcPr>
          <w:p w14:paraId="4FE19489" w14:textId="4C96E73B"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070CD331" w14:textId="77777777" w:rsidTr="001720A9">
        <w:tc>
          <w:tcPr>
            <w:tcW w:w="1587" w:type="pct"/>
            <w:noWrap/>
          </w:tcPr>
          <w:p w14:paraId="66160F70" w14:textId="77777777" w:rsidR="00DF50E5" w:rsidRPr="0059797D" w:rsidRDefault="00DF50E5" w:rsidP="00DF50E5">
            <w:pPr>
              <w:rPr>
                <w:b/>
                <w:color w:val="auto"/>
              </w:rPr>
            </w:pPr>
          </w:p>
          <w:p w14:paraId="7FCB05E1" w14:textId="77777777" w:rsidR="00DF50E5" w:rsidRPr="0059797D" w:rsidRDefault="00DF50E5" w:rsidP="00DF50E5">
            <w:pPr>
              <w:rPr>
                <w:b/>
                <w:color w:val="auto"/>
              </w:rPr>
            </w:pPr>
            <w:r w:rsidRPr="0059797D">
              <w:rPr>
                <w:b/>
                <w:color w:val="auto"/>
              </w:rPr>
              <w:t>Cost</w:t>
            </w:r>
          </w:p>
          <w:p w14:paraId="452F59FF" w14:textId="775B2C9A" w:rsidR="00DF50E5" w:rsidRPr="0059797D" w:rsidRDefault="00DF50E5" w:rsidP="00DF50E5">
            <w:pPr>
              <w:rPr>
                <w:b/>
                <w:color w:val="auto"/>
              </w:rPr>
            </w:pPr>
          </w:p>
        </w:tc>
        <w:tc>
          <w:tcPr>
            <w:tcW w:w="1394" w:type="pct"/>
          </w:tcPr>
          <w:p w14:paraId="449C75CF" w14:textId="60F804EC" w:rsidR="00DF50E5" w:rsidRPr="0059797D" w:rsidRDefault="00DF50E5" w:rsidP="00DF50E5">
            <w:pPr>
              <w:jc w:val="center"/>
              <w:rPr>
                <w:rStyle w:val="SubtleEmphasis"/>
                <w:color w:val="auto"/>
              </w:rPr>
            </w:pPr>
          </w:p>
        </w:tc>
        <w:tc>
          <w:tcPr>
            <w:tcW w:w="1023" w:type="pct"/>
          </w:tcPr>
          <w:p w14:paraId="41606ECD" w14:textId="77777777" w:rsidR="00DF50E5" w:rsidRPr="0059797D" w:rsidRDefault="00DF50E5" w:rsidP="00DF50E5">
            <w:pPr>
              <w:jc w:val="center"/>
              <w:rPr>
                <w:color w:val="auto"/>
              </w:rPr>
            </w:pPr>
          </w:p>
        </w:tc>
        <w:tc>
          <w:tcPr>
            <w:tcW w:w="996" w:type="pct"/>
          </w:tcPr>
          <w:p w14:paraId="2B8777D4" w14:textId="77777777" w:rsidR="00DF50E5" w:rsidRPr="0059797D" w:rsidRDefault="00DF50E5" w:rsidP="00DF50E5">
            <w:pPr>
              <w:jc w:val="center"/>
              <w:rPr>
                <w:color w:val="auto"/>
              </w:rPr>
            </w:pPr>
          </w:p>
        </w:tc>
      </w:tr>
      <w:tr w:rsidR="00DF50E5" w14:paraId="568B3614" w14:textId="77777777" w:rsidTr="001720A9">
        <w:tc>
          <w:tcPr>
            <w:tcW w:w="1587" w:type="pct"/>
            <w:noWrap/>
          </w:tcPr>
          <w:p w14:paraId="120EA3BE" w14:textId="5E1CF0AD" w:rsidR="00DF50E5" w:rsidRPr="0059797D" w:rsidRDefault="00DF50E5" w:rsidP="00DF50E5">
            <w:pPr>
              <w:rPr>
                <w:color w:val="auto"/>
              </w:rPr>
            </w:pPr>
            <w:r w:rsidRPr="0059797D">
              <w:rPr>
                <w:color w:val="auto"/>
              </w:rPr>
              <w:t>Usual care pharmacotherapy</w:t>
            </w:r>
          </w:p>
        </w:tc>
        <w:tc>
          <w:tcPr>
            <w:tcW w:w="2417" w:type="pct"/>
            <w:gridSpan w:val="2"/>
          </w:tcPr>
          <w:p w14:paraId="3199B2D5" w14:textId="197D192B" w:rsidR="00DF50E5" w:rsidRPr="0059797D" w:rsidRDefault="00DF50E5" w:rsidP="00DF50E5">
            <w:pPr>
              <w:pStyle w:val="DecimalAligned"/>
              <w:jc w:val="center"/>
              <w:rPr>
                <w:color w:val="auto"/>
              </w:rPr>
            </w:pPr>
            <w:r w:rsidRPr="0059797D">
              <w:rPr>
                <w:color w:val="auto"/>
              </w:rPr>
              <w:t>$113 (28.23)</w:t>
            </w:r>
          </w:p>
        </w:tc>
        <w:tc>
          <w:tcPr>
            <w:tcW w:w="996" w:type="pct"/>
          </w:tcPr>
          <w:p w14:paraId="706E67A6" w14:textId="729640A1" w:rsidR="00DF50E5" w:rsidRPr="0059797D" w:rsidRDefault="00DF50E5" w:rsidP="003C33C5">
            <w:pPr>
              <w:pStyle w:val="DecimalAligned"/>
              <w:jc w:val="center"/>
              <w:rPr>
                <w:color w:val="auto"/>
              </w:rPr>
            </w:pPr>
            <w:r w:rsidRPr="0059797D">
              <w:rPr>
                <w:color w:val="auto"/>
              </w:rPr>
              <w:t>Ayres et al.</w:t>
            </w:r>
            <w:r w:rsidRPr="0059797D">
              <w:fldChar w:fldCharType="begin">
                <w:fldData xml:space="preserve">PEVuZE5vdGU+PENpdGU+PEF1dGhvcj5BeXJlczwvQXV0aG9yPjxZZWFyPjIwMDQ8L1llYXI+PFJl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</w:fldData>
              </w:fldChar>
            </w:r>
            <w:r w:rsidR="003C33C5">
              <w:instrText xml:space="preserve"> ADDIN EN.CITE </w:instrText>
            </w:r>
            <w:r w:rsidR="003C33C5">
              <w:fldChar w:fldCharType="begin">
                <w:fldData xml:space="preserve">PEVuZE5vdGU+PENpdGU+PEF1dGhvcj5BeXJlczwvQXV0aG9yPjxZZWFyPjIwMDQ8L1llYXI+PFJl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</w:fldData>
              </w:fldChar>
            </w:r>
            <w:r w:rsidR="003C33C5">
              <w:instrText xml:space="preserve"> ADDIN EN.CITE.DATA </w:instrText>
            </w:r>
            <w:r w:rsidR="003C33C5">
              <w:fldChar w:fldCharType="end"/>
            </w:r>
            <w:r w:rsidRPr="0059797D">
              <w:fldChar w:fldCharType="separate"/>
            </w:r>
            <w:r w:rsidR="003C33C5" w:rsidRPr="003C33C5">
              <w:rPr>
                <w:noProof/>
                <w:color w:val="auto"/>
                <w:vertAlign w:val="superscript"/>
              </w:rPr>
              <w:t>9</w:t>
            </w:r>
            <w:r w:rsidRPr="0059797D">
              <w:fldChar w:fldCharType="end"/>
            </w:r>
          </w:p>
        </w:tc>
      </w:tr>
      <w:tr w:rsidR="00DF50E5" w14:paraId="40826CA2" w14:textId="77777777" w:rsidTr="001720A9">
        <w:tc>
          <w:tcPr>
            <w:tcW w:w="1587" w:type="pct"/>
            <w:noWrap/>
          </w:tcPr>
          <w:p w14:paraId="35A670F6" w14:textId="69A85719" w:rsidR="00DF50E5" w:rsidRPr="0059797D" w:rsidRDefault="00DF50E5" w:rsidP="00DF50E5">
            <w:pPr>
              <w:rPr>
                <w:color w:val="auto"/>
              </w:rPr>
            </w:pPr>
            <w:r w:rsidRPr="0059797D">
              <w:rPr>
                <w:color w:val="auto"/>
              </w:rPr>
              <w:t>Mild Exacerbation (OC burst) Unit Cost</w:t>
            </w:r>
          </w:p>
        </w:tc>
        <w:tc>
          <w:tcPr>
            <w:tcW w:w="2417" w:type="pct"/>
            <w:gridSpan w:val="2"/>
          </w:tcPr>
          <w:p w14:paraId="6D0E1509" w14:textId="5B888921" w:rsidR="00DF50E5" w:rsidRPr="0059797D" w:rsidRDefault="00DF50E5" w:rsidP="00DF50E5">
            <w:pPr>
              <w:pStyle w:val="DecimalAligned"/>
              <w:jc w:val="center"/>
              <w:rPr>
                <w:color w:val="auto"/>
              </w:rPr>
            </w:pPr>
            <w:r w:rsidRPr="0059797D">
              <w:rPr>
                <w:color w:val="auto"/>
              </w:rPr>
              <w:t>$147 (12)</w:t>
            </w:r>
          </w:p>
        </w:tc>
        <w:tc>
          <w:tcPr>
            <w:tcW w:w="996" w:type="pct"/>
          </w:tcPr>
          <w:p w14:paraId="5049F680" w14:textId="09BE7F3D" w:rsidR="00DF50E5" w:rsidRPr="0059797D" w:rsidRDefault="00DF50E5" w:rsidP="003C33C5">
            <w:pPr>
              <w:pStyle w:val="DecimalAligned"/>
              <w:jc w:val="center"/>
              <w:rPr>
                <w:color w:val="auto"/>
              </w:rPr>
            </w:pPr>
            <w:r w:rsidRPr="0059797D">
              <w:rPr>
                <w:color w:val="auto"/>
              </w:rPr>
              <w:t>Market Scan</w:t>
            </w:r>
            <w:r w:rsidRPr="0059797D">
              <w:fldChar w:fldCharType="begin"/>
            </w:r>
            <w:r w:rsidR="003C33C5">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sidRPr="0059797D">
              <w:fldChar w:fldCharType="separate"/>
            </w:r>
            <w:r w:rsidR="003C33C5" w:rsidRPr="003C33C5">
              <w:rPr>
                <w:noProof/>
                <w:color w:val="auto"/>
                <w:vertAlign w:val="superscript"/>
              </w:rPr>
              <w:t>10</w:t>
            </w:r>
            <w:r w:rsidRPr="0059797D">
              <w:fldChar w:fldCharType="end"/>
            </w:r>
          </w:p>
        </w:tc>
      </w:tr>
      <w:tr w:rsidR="00DF50E5" w14:paraId="40EC8BC4" w14:textId="77777777" w:rsidTr="001720A9">
        <w:tc>
          <w:tcPr>
            <w:tcW w:w="1587" w:type="pct"/>
            <w:noWrap/>
          </w:tcPr>
          <w:p w14:paraId="668E5E69" w14:textId="57942161" w:rsidR="00DF50E5" w:rsidRPr="0059797D" w:rsidRDefault="00DF50E5" w:rsidP="00DF50E5">
            <w:pPr>
              <w:rPr>
                <w:color w:val="auto"/>
              </w:rPr>
            </w:pPr>
            <w:r w:rsidRPr="0059797D">
              <w:rPr>
                <w:color w:val="auto"/>
              </w:rPr>
              <w:t>ER Unit Cost</w:t>
            </w:r>
          </w:p>
        </w:tc>
        <w:tc>
          <w:tcPr>
            <w:tcW w:w="2417" w:type="pct"/>
            <w:gridSpan w:val="2"/>
          </w:tcPr>
          <w:p w14:paraId="7B6C8454" w14:textId="377D354D" w:rsidR="00DF50E5" w:rsidRPr="0059797D" w:rsidRDefault="00DF50E5" w:rsidP="00DF50E5">
            <w:pPr>
              <w:pStyle w:val="DecimalAligned"/>
              <w:jc w:val="center"/>
              <w:rPr>
                <w:color w:val="auto"/>
              </w:rPr>
            </w:pPr>
            <w:r w:rsidRPr="0059797D">
              <w:rPr>
                <w:color w:val="auto"/>
              </w:rPr>
              <w:t>$673 (55)</w:t>
            </w:r>
          </w:p>
        </w:tc>
        <w:tc>
          <w:tcPr>
            <w:tcW w:w="996" w:type="pct"/>
          </w:tcPr>
          <w:p w14:paraId="0D1D87B9" w14:textId="79BAD9C0" w:rsidR="00DF50E5" w:rsidRPr="0059797D" w:rsidRDefault="00DF50E5" w:rsidP="003C33C5">
            <w:pPr>
              <w:pStyle w:val="DecimalAligned"/>
              <w:jc w:val="center"/>
              <w:rPr>
                <w:color w:val="auto"/>
              </w:rPr>
            </w:pPr>
            <w:r w:rsidRPr="0059797D">
              <w:rPr>
                <w:color w:val="auto"/>
              </w:rPr>
              <w:t>Market Scan</w:t>
            </w:r>
            <w:r w:rsidRPr="0059797D">
              <w:fldChar w:fldCharType="begin"/>
            </w:r>
            <w:r w:rsidR="003C33C5">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sidRPr="0059797D">
              <w:fldChar w:fldCharType="separate"/>
            </w:r>
            <w:r w:rsidR="003C33C5" w:rsidRPr="003C33C5">
              <w:rPr>
                <w:noProof/>
                <w:color w:val="auto"/>
                <w:vertAlign w:val="superscript"/>
              </w:rPr>
              <w:t>10</w:t>
            </w:r>
            <w:r w:rsidRPr="0059797D">
              <w:fldChar w:fldCharType="end"/>
            </w:r>
          </w:p>
        </w:tc>
      </w:tr>
      <w:tr w:rsidR="00DF50E5" w14:paraId="332B50F2" w14:textId="77777777" w:rsidTr="001720A9">
        <w:tc>
          <w:tcPr>
            <w:tcW w:w="1587" w:type="pct"/>
            <w:noWrap/>
          </w:tcPr>
          <w:p w14:paraId="4DBAA396" w14:textId="129E7707" w:rsidR="00DF50E5" w:rsidRPr="0059797D" w:rsidRDefault="00DF50E5" w:rsidP="00DF50E5">
            <w:pPr>
              <w:rPr>
                <w:color w:val="auto"/>
              </w:rPr>
            </w:pPr>
            <w:r w:rsidRPr="0059797D">
              <w:rPr>
                <w:color w:val="auto"/>
              </w:rPr>
              <w:t>Hospitalization Stay Unit Cost</w:t>
            </w:r>
          </w:p>
        </w:tc>
        <w:tc>
          <w:tcPr>
            <w:tcW w:w="2417" w:type="pct"/>
            <w:gridSpan w:val="2"/>
          </w:tcPr>
          <w:p w14:paraId="256D405D" w14:textId="5860F342" w:rsidR="00DF50E5" w:rsidRPr="0059797D" w:rsidRDefault="00DF50E5" w:rsidP="00DF50E5">
            <w:pPr>
              <w:pStyle w:val="DecimalAligned"/>
              <w:jc w:val="center"/>
              <w:rPr>
                <w:color w:val="auto"/>
              </w:rPr>
            </w:pPr>
            <w:r w:rsidRPr="0059797D">
              <w:rPr>
                <w:color w:val="auto"/>
              </w:rPr>
              <w:t>$11,209 (913)</w:t>
            </w:r>
          </w:p>
        </w:tc>
        <w:tc>
          <w:tcPr>
            <w:tcW w:w="996" w:type="pct"/>
          </w:tcPr>
          <w:p w14:paraId="6B4AE475" w14:textId="2B131627" w:rsidR="00DF50E5" w:rsidRPr="0059797D" w:rsidRDefault="00DF50E5" w:rsidP="003C33C5">
            <w:pPr>
              <w:pStyle w:val="DecimalAligned"/>
              <w:jc w:val="center"/>
              <w:rPr>
                <w:color w:val="auto"/>
              </w:rPr>
            </w:pPr>
            <w:r w:rsidRPr="0059797D">
              <w:rPr>
                <w:color w:val="auto"/>
              </w:rPr>
              <w:t>Market Scan</w:t>
            </w:r>
            <w:r w:rsidRPr="0059797D">
              <w:fldChar w:fldCharType="begin"/>
            </w:r>
            <w:r w:rsidR="003C33C5">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sidRPr="0059797D">
              <w:fldChar w:fldCharType="separate"/>
            </w:r>
            <w:r w:rsidR="003C33C5" w:rsidRPr="003C33C5">
              <w:rPr>
                <w:noProof/>
                <w:color w:val="auto"/>
                <w:vertAlign w:val="superscript"/>
              </w:rPr>
              <w:t>10</w:t>
            </w:r>
            <w:r w:rsidRPr="0059797D">
              <w:fldChar w:fldCharType="end"/>
            </w:r>
          </w:p>
        </w:tc>
      </w:tr>
      <w:tr w:rsidR="00DF50E5" w14:paraId="33265B00" w14:textId="77777777" w:rsidTr="00DF50E5">
        <w:tc>
          <w:tcPr>
            <w:tcW w:w="1587" w:type="pct"/>
            <w:tcBorders>
              <w:bottom w:val="nil"/>
            </w:tcBorders>
            <w:noWrap/>
          </w:tcPr>
          <w:p w14:paraId="1FCD11E2" w14:textId="243F7C1F" w:rsidR="00DF50E5" w:rsidRPr="0059797D" w:rsidRDefault="00DF50E5" w:rsidP="00DF50E5">
            <w:pPr>
              <w:rPr>
                <w:color w:val="auto"/>
              </w:rPr>
            </w:pPr>
            <w:r w:rsidRPr="0059797D">
              <w:rPr>
                <w:color w:val="auto"/>
              </w:rPr>
              <w:t>PHS one time registration cost</w:t>
            </w:r>
          </w:p>
        </w:tc>
        <w:tc>
          <w:tcPr>
            <w:tcW w:w="2417" w:type="pct"/>
            <w:gridSpan w:val="2"/>
            <w:tcBorders>
              <w:bottom w:val="nil"/>
            </w:tcBorders>
          </w:tcPr>
          <w:p w14:paraId="72621714" w14:textId="056C4C1D" w:rsidR="00DF50E5" w:rsidRPr="0059797D" w:rsidRDefault="00DF50E5" w:rsidP="00DF50E5">
            <w:pPr>
              <w:pStyle w:val="DecimalAligned"/>
              <w:jc w:val="center"/>
              <w:rPr>
                <w:color w:val="auto"/>
              </w:rPr>
            </w:pPr>
            <w:r w:rsidRPr="0059797D">
              <w:rPr>
                <w:color w:val="auto"/>
              </w:rPr>
              <w:t>$100 (25(</w:t>
            </w:r>
          </w:p>
        </w:tc>
        <w:tc>
          <w:tcPr>
            <w:tcW w:w="996" w:type="pct"/>
            <w:tcBorders>
              <w:bottom w:val="nil"/>
            </w:tcBorders>
          </w:tcPr>
          <w:p w14:paraId="381C5CF1" w14:textId="50EE3FB5" w:rsidR="00DF50E5" w:rsidRPr="0059797D" w:rsidRDefault="00DF50E5" w:rsidP="00DF50E5">
            <w:pPr>
              <w:pStyle w:val="DecimalAligned"/>
              <w:jc w:val="center"/>
              <w:rPr>
                <w:color w:val="auto"/>
              </w:rPr>
            </w:pPr>
            <w:r w:rsidRPr="0059797D">
              <w:rPr>
                <w:color w:val="auto"/>
              </w:rPr>
              <w:t>UC Denver Source</w:t>
            </w:r>
          </w:p>
        </w:tc>
      </w:tr>
      <w:tr w:rsidR="00DF50E5" w14:paraId="265C4839" w14:textId="77777777" w:rsidTr="00DF50E5">
        <w:tc>
          <w:tcPr>
            <w:tcW w:w="1587" w:type="pct"/>
            <w:tcBorders>
              <w:top w:val="nil"/>
              <w:bottom w:val="nil"/>
            </w:tcBorders>
            <w:noWrap/>
          </w:tcPr>
          <w:p w14:paraId="2DA21052" w14:textId="5F3D0E6F" w:rsidR="00DF50E5" w:rsidRPr="0059797D" w:rsidRDefault="00DF50E5" w:rsidP="00DF50E5">
            <w:pPr>
              <w:rPr>
                <w:color w:val="auto"/>
              </w:rPr>
            </w:pPr>
            <w:r w:rsidRPr="0059797D">
              <w:rPr>
                <w:color w:val="auto"/>
              </w:rPr>
              <w:t>PHS biweekly recurring cost</w:t>
            </w:r>
          </w:p>
        </w:tc>
        <w:tc>
          <w:tcPr>
            <w:tcW w:w="2417" w:type="pct"/>
            <w:gridSpan w:val="2"/>
            <w:tcBorders>
              <w:top w:val="nil"/>
              <w:bottom w:val="nil"/>
            </w:tcBorders>
          </w:tcPr>
          <w:p w14:paraId="3D58F5BA" w14:textId="6CADF704" w:rsidR="00DF50E5" w:rsidRPr="0059797D" w:rsidRDefault="00DF50E5" w:rsidP="00DF50E5">
            <w:pPr>
              <w:pStyle w:val="DecimalAligned"/>
              <w:jc w:val="center"/>
              <w:rPr>
                <w:color w:val="auto"/>
              </w:rPr>
            </w:pPr>
            <w:r w:rsidRPr="0059797D">
              <w:rPr>
                <w:color w:val="auto"/>
              </w:rPr>
              <w:t>$25 (6.25)</w:t>
            </w:r>
          </w:p>
        </w:tc>
        <w:tc>
          <w:tcPr>
            <w:tcW w:w="996" w:type="pct"/>
            <w:tcBorders>
              <w:top w:val="nil"/>
              <w:bottom w:val="nil"/>
            </w:tcBorders>
          </w:tcPr>
          <w:p w14:paraId="18D7B58B" w14:textId="1C64913F" w:rsidR="00DF50E5" w:rsidRPr="0059797D" w:rsidRDefault="00DF50E5" w:rsidP="00DF50E5">
            <w:pPr>
              <w:pStyle w:val="DecimalAligned"/>
              <w:jc w:val="center"/>
              <w:rPr>
                <w:color w:val="auto"/>
              </w:rPr>
            </w:pPr>
            <w:r w:rsidRPr="0059797D">
              <w:rPr>
                <w:color w:val="auto"/>
              </w:rPr>
              <w:t>UC Denver Source</w:t>
            </w:r>
          </w:p>
        </w:tc>
      </w:tr>
      <w:tr w:rsidR="00DF50E5" w14:paraId="534634D1" w14:textId="77777777" w:rsidTr="00DF50E5">
        <w:tc>
          <w:tcPr>
            <w:tcW w:w="1587" w:type="pct"/>
            <w:tcBorders>
              <w:top w:val="nil"/>
              <w:bottom w:val="nil"/>
            </w:tcBorders>
            <w:noWrap/>
          </w:tcPr>
          <w:p w14:paraId="4C5505CF" w14:textId="41C15F89" w:rsidR="00DF50E5" w:rsidRPr="0059797D" w:rsidRDefault="00DF50E5" w:rsidP="00DF50E5">
            <w:pPr>
              <w:rPr>
                <w:b/>
                <w:color w:val="auto"/>
              </w:rPr>
            </w:pPr>
            <w:r w:rsidRPr="0059797D">
              <w:rPr>
                <w:b/>
                <w:color w:val="auto"/>
              </w:rPr>
              <w:t>Utility</w:t>
            </w:r>
          </w:p>
        </w:tc>
        <w:tc>
          <w:tcPr>
            <w:tcW w:w="2417" w:type="pct"/>
            <w:gridSpan w:val="2"/>
            <w:tcBorders>
              <w:top w:val="nil"/>
              <w:bottom w:val="nil"/>
            </w:tcBorders>
          </w:tcPr>
          <w:p w14:paraId="74CCB6EE" w14:textId="77777777" w:rsidR="00DF50E5" w:rsidRPr="0059797D" w:rsidRDefault="00DF50E5" w:rsidP="00DF50E5">
            <w:pPr>
              <w:pStyle w:val="DecimalAligned"/>
              <w:jc w:val="center"/>
              <w:rPr>
                <w:color w:val="auto"/>
              </w:rPr>
            </w:pPr>
          </w:p>
        </w:tc>
        <w:tc>
          <w:tcPr>
            <w:tcW w:w="996" w:type="pct"/>
            <w:tcBorders>
              <w:top w:val="nil"/>
              <w:bottom w:val="nil"/>
            </w:tcBorders>
          </w:tcPr>
          <w:p w14:paraId="6C92B567" w14:textId="77777777" w:rsidR="00DF50E5" w:rsidRPr="0059797D" w:rsidRDefault="00DF50E5" w:rsidP="00DF50E5">
            <w:pPr>
              <w:pStyle w:val="DecimalAligned"/>
              <w:jc w:val="center"/>
              <w:rPr>
                <w:color w:val="auto"/>
              </w:rPr>
            </w:pPr>
          </w:p>
        </w:tc>
      </w:tr>
      <w:tr w:rsidR="00DF50E5" w14:paraId="04B5CF4D" w14:textId="77777777" w:rsidTr="00DF50E5">
        <w:tc>
          <w:tcPr>
            <w:tcW w:w="1587" w:type="pct"/>
            <w:tcBorders>
              <w:top w:val="nil"/>
              <w:bottom w:val="nil"/>
            </w:tcBorders>
            <w:noWrap/>
          </w:tcPr>
          <w:p w14:paraId="1C0D6660" w14:textId="39279077" w:rsidR="00DF50E5" w:rsidRPr="0059797D" w:rsidRDefault="00DF50E5" w:rsidP="00DF50E5">
            <w:pPr>
              <w:rPr>
                <w:color w:val="auto"/>
              </w:rPr>
            </w:pPr>
            <w:r w:rsidRPr="0059797D">
              <w:rPr>
                <w:color w:val="auto"/>
              </w:rPr>
              <w:t>Non Exacerbation State</w:t>
            </w:r>
          </w:p>
        </w:tc>
        <w:tc>
          <w:tcPr>
            <w:tcW w:w="2417" w:type="pct"/>
            <w:gridSpan w:val="2"/>
            <w:tcBorders>
              <w:top w:val="nil"/>
              <w:bottom w:val="nil"/>
            </w:tcBorders>
          </w:tcPr>
          <w:p w14:paraId="491D3655" w14:textId="3BC07346" w:rsidR="00DF50E5" w:rsidRPr="0059797D" w:rsidRDefault="00DF50E5" w:rsidP="00DF50E5">
            <w:pPr>
              <w:pStyle w:val="DecimalAligned"/>
              <w:jc w:val="center"/>
              <w:rPr>
                <w:color w:val="auto"/>
              </w:rPr>
            </w:pPr>
            <w:r w:rsidRPr="0059797D">
              <w:rPr>
                <w:color w:val="auto"/>
              </w:rPr>
              <w:t>0.67 (0.15)</w:t>
            </w:r>
          </w:p>
        </w:tc>
        <w:tc>
          <w:tcPr>
            <w:tcW w:w="996" w:type="pct"/>
            <w:tcBorders>
              <w:top w:val="nil"/>
              <w:bottom w:val="nil"/>
            </w:tcBorders>
          </w:tcPr>
          <w:p w14:paraId="00BA4355" w14:textId="6E7C63E4" w:rsidR="00DF50E5" w:rsidRPr="0059797D" w:rsidRDefault="00DF50E5" w:rsidP="003C33C5">
            <w:pPr>
              <w:pStyle w:val="DecimalAligned"/>
              <w:jc w:val="center"/>
              <w:rPr>
                <w:color w:val="auto"/>
              </w:rPr>
            </w:pPr>
            <w:r w:rsidRPr="0059797D">
              <w:rPr>
                <w:color w:val="auto"/>
              </w:rPr>
              <w:t>Chen</w:t>
            </w:r>
            <w:r w:rsidRPr="0059797D">
              <w:fldChar w:fldCharType="begin"/>
            </w:r>
            <w:r w:rsidR="003C33C5">
              <w:instrText xml:space="preserve"> ADDIN EN.CITE &lt;EndNote&gt;&lt;Cite&gt;&lt;Author&gt;Chen&lt;/Author&gt;&lt;Year&gt;2007&lt;/Year&gt;&lt;RecNum&gt;1125&lt;/RecNum&gt;&lt;DisplayText&gt;&lt;style face="superscript"&gt;11&lt;/style&gt;&lt;/DisplayText&gt;&lt;record&gt;&lt;rec-number&gt;1125&lt;/rec-number&gt;&lt;foreign-keys&gt;&lt;key app="EN" db-id="t0pwtd0e4eawa0eax9rvvd9zpd2r9s5sxptv" timestamp="1480899254"&gt;1125&lt;/key&gt;&lt;/foreign-keys&gt;&lt;ref-type name="Journal Article"&gt;17&lt;/ref-type&gt;&lt;contributors&gt;&lt;authors&gt;&lt;author&gt;Chen, H.&lt;/author&gt;&lt;author&gt;Gould, M. K.&lt;/author&gt;&lt;author&gt;Blanc, P. D.&lt;/author&gt;&lt;author&gt;Miller, D. P.&lt;/author&gt;&lt;author&gt;Kamath, T. V.&lt;/author&gt;&lt;author&gt;Lee, J. H.&lt;/author&gt;&lt;author&gt;Sullivan, S. D.&lt;/author&gt;&lt;author&gt;Tenor Study Group&lt;/author&gt;&lt;/authors&gt;&lt;/contributors&gt;&lt;auth-address&gt;Department of Medicine, the University of California San Francisco, USA. hubert.chen@ucsf.edu&lt;/auth-address&gt;&lt;titles&gt;&lt;title&gt;Asthma control, severity, and quality of life: quantifying the effect of uncontrolled disease&lt;/title&gt;&lt;secondary-title&gt;J Allergy Clin Immunol&lt;/secondary-title&gt;&lt;/titles&gt;&lt;periodical&gt;&lt;full-title&gt;J Allergy Clin Immunol&lt;/full-title&gt;&lt;/periodical&gt;&lt;pages&gt;396-402&lt;/pages&gt;&lt;volume&gt;120&lt;/volume&gt;&lt;number&gt;2&lt;/number&gt;&lt;keywords&gt;&lt;keyword&gt;Adult&lt;/keyword&gt;&lt;keyword&gt;Aged&lt;/keyword&gt;&lt;keyword&gt;Aged, 80 and over&lt;/keyword&gt;&lt;keyword&gt;Asthma/*drug therapy/*physiopathology&lt;/keyword&gt;&lt;keyword&gt;Female&lt;/keyword&gt;&lt;keyword&gt;Follow-Up Studies&lt;/keyword&gt;&lt;keyword&gt;Health Status&lt;/keyword&gt;&lt;keyword&gt;Humans&lt;/keyword&gt;&lt;keyword&gt;Linear Models&lt;/keyword&gt;&lt;keyword&gt;Male&lt;/keyword&gt;&lt;keyword&gt;Middle Aged&lt;/keyword&gt;&lt;keyword&gt;Predictive Value of Tests&lt;/keyword&gt;&lt;keyword&gt;Prospective Studies&lt;/keyword&gt;&lt;keyword&gt;*Quality of Life&lt;/keyword&gt;&lt;keyword&gt;Severity of Illness Index&lt;/keyword&gt;&lt;keyword&gt;Surveys and Questionnaires&lt;/keyword&gt;&lt;keyword&gt;Treatment Outcome&lt;/keyword&gt;&lt;/keywords&gt;&lt;dates&gt;&lt;year&gt;2007&lt;/year&gt;&lt;pub-dates&gt;&lt;date&gt;Aug&lt;/date&gt;&lt;/pub-dates&gt;&lt;/dates&gt;&lt;isbn&gt;0091-6749 (Print)&amp;#xD;0091-6749 (Linking)&lt;/isbn&gt;&lt;accession-num&gt;17561244&lt;/accession-num&gt;&lt;urls&gt;&lt;related-urls&gt;&lt;url&gt;http://www.ncbi.nlm.nih.gov/pubmed/17561244&lt;/url&gt;&lt;/related-urls&gt;&lt;/urls&gt;&lt;electronic-resource-num&gt;10.1016/j.jaci.2007.04.040&lt;/electronic-resource-num&gt;&lt;/record&gt;&lt;/Cite&gt;&lt;/EndNote&gt;</w:instrText>
            </w:r>
            <w:r w:rsidRPr="0059797D">
              <w:fldChar w:fldCharType="separate"/>
            </w:r>
            <w:r w:rsidR="003C33C5" w:rsidRPr="003C33C5">
              <w:rPr>
                <w:noProof/>
                <w:color w:val="auto"/>
                <w:vertAlign w:val="superscript"/>
              </w:rPr>
              <w:t>11</w:t>
            </w:r>
            <w:r w:rsidRPr="0059797D">
              <w:fldChar w:fldCharType="end"/>
            </w:r>
          </w:p>
        </w:tc>
      </w:tr>
      <w:tr w:rsidR="00DF50E5" w14:paraId="13BFD7AA" w14:textId="77777777" w:rsidTr="00DF50E5">
        <w:tc>
          <w:tcPr>
            <w:tcW w:w="1587" w:type="pct"/>
            <w:tcBorders>
              <w:top w:val="nil"/>
              <w:bottom w:val="nil"/>
            </w:tcBorders>
            <w:noWrap/>
          </w:tcPr>
          <w:p w14:paraId="4DDE7206" w14:textId="7C077B2F" w:rsidR="00DF50E5" w:rsidRPr="0059797D" w:rsidRDefault="00DF50E5" w:rsidP="00DF50E5">
            <w:pPr>
              <w:rPr>
                <w:color w:val="auto"/>
              </w:rPr>
            </w:pPr>
            <w:r w:rsidRPr="0059797D">
              <w:rPr>
                <w:color w:val="auto"/>
              </w:rPr>
              <w:lastRenderedPageBreak/>
              <w:t>OC Burst</w:t>
            </w:r>
          </w:p>
        </w:tc>
        <w:tc>
          <w:tcPr>
            <w:tcW w:w="2417" w:type="pct"/>
            <w:gridSpan w:val="2"/>
            <w:tcBorders>
              <w:top w:val="nil"/>
              <w:bottom w:val="nil"/>
            </w:tcBorders>
          </w:tcPr>
          <w:p w14:paraId="69C9263A" w14:textId="21FB05D0" w:rsidR="00DF50E5" w:rsidRPr="0059797D" w:rsidRDefault="00DF50E5" w:rsidP="00DF50E5">
            <w:pPr>
              <w:pStyle w:val="DecimalAligned"/>
              <w:jc w:val="center"/>
              <w:rPr>
                <w:color w:val="auto"/>
              </w:rPr>
            </w:pPr>
            <w:r w:rsidRPr="0059797D">
              <w:rPr>
                <w:color w:val="auto"/>
              </w:rPr>
              <w:t>0.57 (0.36)</w:t>
            </w:r>
          </w:p>
        </w:tc>
        <w:tc>
          <w:tcPr>
            <w:tcW w:w="996" w:type="pct"/>
            <w:tcBorders>
              <w:top w:val="nil"/>
              <w:bottom w:val="nil"/>
            </w:tcBorders>
          </w:tcPr>
          <w:p w14:paraId="64CC7C0C" w14:textId="10427E1D" w:rsidR="00DF50E5" w:rsidRPr="0059797D" w:rsidRDefault="00DF50E5" w:rsidP="003C33C5">
            <w:pPr>
              <w:pStyle w:val="DecimalAligned"/>
              <w:jc w:val="center"/>
              <w:rPr>
                <w:color w:val="auto"/>
              </w:rPr>
            </w:pPr>
            <w:r w:rsidRPr="0059797D">
              <w:rPr>
                <w:color w:val="auto"/>
              </w:rPr>
              <w:t>Price et al</w:t>
            </w:r>
            <w:r w:rsidRPr="0059797D">
              <w:fldChar w:fldCharType="begin"/>
            </w:r>
            <w:r w:rsidR="003C33C5">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Pr="0059797D">
              <w:fldChar w:fldCharType="separate"/>
            </w:r>
            <w:r w:rsidR="003C33C5" w:rsidRPr="003C33C5">
              <w:rPr>
                <w:noProof/>
                <w:color w:val="auto"/>
                <w:vertAlign w:val="superscript"/>
              </w:rPr>
              <w:t>12</w:t>
            </w:r>
            <w:r w:rsidRPr="0059797D">
              <w:fldChar w:fldCharType="end"/>
            </w:r>
          </w:p>
        </w:tc>
      </w:tr>
      <w:tr w:rsidR="00DF50E5" w14:paraId="75062D71" w14:textId="77777777" w:rsidTr="00DF50E5">
        <w:tc>
          <w:tcPr>
            <w:tcW w:w="1587" w:type="pct"/>
            <w:tcBorders>
              <w:top w:val="nil"/>
              <w:bottom w:val="nil"/>
            </w:tcBorders>
            <w:noWrap/>
          </w:tcPr>
          <w:p w14:paraId="7089D7B3" w14:textId="090A4E2D" w:rsidR="00DF50E5" w:rsidRPr="0059797D" w:rsidRDefault="00DF50E5" w:rsidP="00DF50E5">
            <w:pPr>
              <w:rPr>
                <w:color w:val="auto"/>
              </w:rPr>
            </w:pPr>
            <w:r w:rsidRPr="0059797D">
              <w:rPr>
                <w:color w:val="auto"/>
              </w:rPr>
              <w:t>ER visit</w:t>
            </w:r>
          </w:p>
        </w:tc>
        <w:tc>
          <w:tcPr>
            <w:tcW w:w="2417" w:type="pct"/>
            <w:gridSpan w:val="2"/>
            <w:tcBorders>
              <w:top w:val="nil"/>
              <w:bottom w:val="nil"/>
            </w:tcBorders>
          </w:tcPr>
          <w:p w14:paraId="7324DA25" w14:textId="77AC490F" w:rsidR="00DF50E5" w:rsidRPr="0059797D" w:rsidRDefault="00DF50E5" w:rsidP="00DF50E5">
            <w:pPr>
              <w:pStyle w:val="DecimalAligned"/>
              <w:jc w:val="center"/>
              <w:rPr>
                <w:color w:val="auto"/>
              </w:rPr>
            </w:pPr>
            <w:r w:rsidRPr="0059797D">
              <w:rPr>
                <w:color w:val="auto"/>
              </w:rPr>
              <w:t>0.45 (0.37)</w:t>
            </w:r>
          </w:p>
        </w:tc>
        <w:tc>
          <w:tcPr>
            <w:tcW w:w="996" w:type="pct"/>
            <w:tcBorders>
              <w:top w:val="nil"/>
              <w:bottom w:val="nil"/>
            </w:tcBorders>
          </w:tcPr>
          <w:p w14:paraId="67D1C1D6" w14:textId="5FF66D61" w:rsidR="00DF50E5" w:rsidRPr="0059797D" w:rsidRDefault="00DF50E5" w:rsidP="003C33C5">
            <w:pPr>
              <w:pStyle w:val="DecimalAligned"/>
              <w:jc w:val="center"/>
              <w:rPr>
                <w:color w:val="auto"/>
              </w:rPr>
            </w:pPr>
            <w:r w:rsidRPr="0059797D">
              <w:rPr>
                <w:color w:val="auto"/>
              </w:rPr>
              <w:t>Price et al</w:t>
            </w:r>
            <w:r w:rsidRPr="0059797D">
              <w:fldChar w:fldCharType="begin"/>
            </w:r>
            <w:r w:rsidR="003C33C5">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Pr="0059797D">
              <w:fldChar w:fldCharType="separate"/>
            </w:r>
            <w:r w:rsidR="003C33C5" w:rsidRPr="003C33C5">
              <w:rPr>
                <w:noProof/>
                <w:color w:val="auto"/>
                <w:vertAlign w:val="superscript"/>
              </w:rPr>
              <w:t>12</w:t>
            </w:r>
            <w:r w:rsidRPr="0059797D">
              <w:fldChar w:fldCharType="end"/>
            </w:r>
          </w:p>
        </w:tc>
      </w:tr>
      <w:tr w:rsidR="00DF50E5" w:rsidRPr="00DF50E5" w14:paraId="4E7333C9" w14:textId="77777777" w:rsidTr="00DF50E5">
        <w:trPr>
          <w:cnfStyle w:val="010000000000" w:firstRow="0" w:lastRow="1" w:firstColumn="0" w:lastColumn="0" w:oddVBand="0" w:evenVBand="0" w:oddHBand="0" w:evenHBand="0" w:firstRowFirstColumn="0" w:firstRowLastColumn="0" w:lastRowFirstColumn="0" w:lastRowLastColumn="0"/>
        </w:trPr>
        <w:tc>
          <w:tcPr>
            <w:tcW w:w="1587" w:type="pct"/>
            <w:tcBorders>
              <w:top w:val="nil"/>
            </w:tcBorders>
            <w:noWrap/>
          </w:tcPr>
          <w:p w14:paraId="78F392FD" w14:textId="1B4A897B" w:rsidR="00DF50E5" w:rsidRPr="0059797D" w:rsidRDefault="00DF50E5" w:rsidP="00DF50E5">
            <w:pPr>
              <w:rPr>
                <w:b w:val="0"/>
                <w:color w:val="auto"/>
              </w:rPr>
            </w:pPr>
            <w:r w:rsidRPr="0059797D">
              <w:rPr>
                <w:b w:val="0"/>
                <w:color w:val="auto"/>
              </w:rPr>
              <w:t>Hospitalization</w:t>
            </w:r>
          </w:p>
        </w:tc>
        <w:tc>
          <w:tcPr>
            <w:tcW w:w="2417" w:type="pct"/>
            <w:gridSpan w:val="2"/>
            <w:tcBorders>
              <w:top w:val="nil"/>
            </w:tcBorders>
          </w:tcPr>
          <w:p w14:paraId="335ADEAF" w14:textId="49D3935F" w:rsidR="00DF50E5" w:rsidRPr="0059797D" w:rsidRDefault="00DF50E5" w:rsidP="00DF50E5">
            <w:pPr>
              <w:pStyle w:val="DecimalAligned"/>
              <w:jc w:val="center"/>
              <w:rPr>
                <w:color w:val="auto"/>
              </w:rPr>
            </w:pPr>
            <w:r w:rsidRPr="0059797D">
              <w:rPr>
                <w:color w:val="auto"/>
              </w:rPr>
              <w:t>0.33 (0.39)</w:t>
            </w:r>
          </w:p>
        </w:tc>
        <w:tc>
          <w:tcPr>
            <w:tcW w:w="996" w:type="pct"/>
            <w:tcBorders>
              <w:top w:val="nil"/>
            </w:tcBorders>
          </w:tcPr>
          <w:p w14:paraId="401DB345" w14:textId="5D74F8D6" w:rsidR="00DF50E5" w:rsidRPr="0059797D" w:rsidRDefault="00DF50E5" w:rsidP="003C33C5">
            <w:pPr>
              <w:pStyle w:val="DecimalAligned"/>
              <w:jc w:val="center"/>
              <w:rPr>
                <w:color w:val="auto"/>
              </w:rPr>
            </w:pPr>
            <w:r w:rsidRPr="0059797D">
              <w:rPr>
                <w:color w:val="auto"/>
              </w:rPr>
              <w:t>Price et al</w:t>
            </w:r>
            <w:r w:rsidRPr="0059797D">
              <w:fldChar w:fldCharType="begin"/>
            </w:r>
            <w:r w:rsidR="003C33C5">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Pr="0059797D">
              <w:fldChar w:fldCharType="separate"/>
            </w:r>
            <w:r w:rsidR="003C33C5" w:rsidRPr="003C33C5">
              <w:rPr>
                <w:noProof/>
                <w:color w:val="auto"/>
                <w:vertAlign w:val="superscript"/>
              </w:rPr>
              <w:t>12</w:t>
            </w:r>
            <w:r w:rsidRPr="0059797D">
              <w:fldChar w:fldCharType="end"/>
            </w:r>
          </w:p>
        </w:tc>
      </w:tr>
    </w:tbl>
    <w:p w14:paraId="64FD428E" w14:textId="50378B55" w:rsidR="003A133D" w:rsidRDefault="003A133D">
      <w:pPr>
        <w:pStyle w:val="FootnoteText"/>
      </w:pPr>
      <w:r>
        <w:t xml:space="preserve">All values in parentheses </w:t>
      </w:r>
      <w:r w:rsidR="00DF50E5">
        <w:t xml:space="preserve"> </w:t>
      </w:r>
      <w:r>
        <w:t xml:space="preserve">are standard error of the mean. </w:t>
      </w:r>
    </w:p>
    <w:p w14:paraId="749D3745" w14:textId="1EAFE7E9" w:rsidR="003A133D" w:rsidRDefault="003A133D">
      <w:pPr>
        <w:pStyle w:val="FootnoteText"/>
      </w:pPr>
      <w:r>
        <w:t>* Values that were annual rates that were recalculated to probabilities in 2 weeks.</w:t>
      </w:r>
    </w:p>
    <w:p w14:paraId="3444DEB9" w14:textId="77777777" w:rsidR="00B64045" w:rsidRDefault="00B64045" w:rsidP="00683EB3">
      <w:pPr>
        <w:spacing w:after="120" w:line="360" w:lineRule="auto"/>
        <w:rPr>
          <w:rFonts w:ascii="Times New Roman" w:hAnsi="Times New Roman" w:cs="Times New Roman"/>
        </w:rPr>
      </w:pPr>
    </w:p>
    <w:p w14:paraId="01C487FA" w14:textId="23BFC830" w:rsidR="00B64045" w:rsidRPr="00B64045" w:rsidRDefault="00B64045" w:rsidP="00683EB3">
      <w:pPr>
        <w:spacing w:after="120" w:line="360" w:lineRule="auto"/>
        <w:rPr>
          <w:rFonts w:ascii="Times New Roman" w:hAnsi="Times New Roman" w:cs="Times New Roman"/>
          <w:b/>
        </w:rPr>
      </w:pPr>
      <w:r>
        <w:rPr>
          <w:rFonts w:ascii="Times New Roman" w:hAnsi="Times New Roman" w:cs="Times New Roman"/>
          <w:b/>
        </w:rPr>
        <w:t>Clinical inputs</w:t>
      </w:r>
    </w:p>
    <w:p w14:paraId="0F6FAEA2" w14:textId="5B494C1C" w:rsidR="00B64045" w:rsidRDefault="00B64045" w:rsidP="00683EB3">
      <w:pPr>
        <w:spacing w:after="120" w:line="360" w:lineRule="auto"/>
        <w:rPr>
          <w:rFonts w:ascii="Times New Roman" w:hAnsi="Times New Roman" w:cs="Times New Roman"/>
        </w:rPr>
      </w:pPr>
      <w:r>
        <w:rPr>
          <w:rFonts w:ascii="Times New Roman" w:hAnsi="Times New Roman" w:cs="Times New Roman"/>
        </w:rPr>
        <w:t xml:space="preserve">The best available evidence was used to estimate the clinical and cost inputs (Table 1). </w:t>
      </w:r>
      <w:r w:rsidR="0066561F">
        <w:rPr>
          <w:rFonts w:ascii="Times New Roman" w:hAnsi="Times New Roman" w:cs="Times New Roman"/>
        </w:rPr>
        <w:t>Where possible we used evidence from a meta-analysis of asthma trials over using distributional assumptions or single trial evidence. Merchant et al.’s randomized control trial informed the transition probabilities regarding the control and uncontrolled states</w:t>
      </w:r>
      <w:r w:rsidR="0066561F">
        <w:rPr>
          <w:rFonts w:ascii="Times New Roman" w:hAnsi="Times New Roman" w:cs="Times New Roman"/>
        </w:rPr>
        <w:fldChar w:fldCharType="begin"/>
      </w:r>
      <w:r w:rsidR="0066561F">
        <w:rPr>
          <w:rFonts w:ascii="Times New Roman" w:hAnsi="Times New Roman" w:cs="Times New Roman"/>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0066561F">
        <w:rPr>
          <w:rFonts w:ascii="Times New Roman" w:hAnsi="Times New Roman" w:cs="Times New Roman"/>
        </w:rPr>
        <w:fldChar w:fldCharType="separate"/>
      </w:r>
      <w:r w:rsidR="0066561F" w:rsidRPr="0066561F">
        <w:rPr>
          <w:rFonts w:ascii="Times New Roman" w:hAnsi="Times New Roman" w:cs="Times New Roman"/>
          <w:noProof/>
          <w:vertAlign w:val="superscript"/>
        </w:rPr>
        <w:t>4</w:t>
      </w:r>
      <w:r w:rsidR="0066561F">
        <w:rPr>
          <w:rFonts w:ascii="Times New Roman" w:hAnsi="Times New Roman" w:cs="Times New Roman"/>
        </w:rPr>
        <w:fldChar w:fldCharType="end"/>
      </w:r>
      <w:r w:rsidR="0066561F">
        <w:rPr>
          <w:rFonts w:ascii="Times New Roman" w:hAnsi="Times New Roman" w:cs="Times New Roman"/>
        </w:rPr>
        <w:t>. Healthcare resource utilization associated with asthma control levels were informed by Sullivan et al</w:t>
      </w:r>
      <w:r w:rsidR="0066561F">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&lt;EndNote&gt;&lt;Cite&gt;&lt;Author&gt;Sullivan&lt;/Author&gt;&lt;Year&gt;2016&lt;/Year&gt;&lt;RecNum&gt;539&lt;/RecNum&gt;&lt;DisplayText&gt;&lt;style face="superscript"&gt;13&lt;/style&gt;&lt;/DisplayText&gt;&lt;record&gt;&lt;rec-number&gt;539&lt;/rec-number&gt;&lt;foreign-keys&gt;&lt;key app="EN" db-id="t0pwtd0e4eawa0eax9rvvd9zpd2r9s5sxptv" timestamp="1475617717"&gt;539&lt;/key&gt;&lt;/foreign-keys&gt;&lt;ref-type name="Journal Article"&gt;17&lt;/ref-type&gt;&lt;contributors&gt;&lt;authors&gt;&lt;author&gt;Sullivan, P. W.&lt;/author&gt;&lt;author&gt;Ghushchyan, V. H.&lt;/author&gt;&lt;author&gt;Campbell, J. D.&lt;/author&gt;&lt;author&gt;Globe, G.&lt;/author&gt;&lt;author&gt;Bender, B.&lt;/author&gt;&lt;author&gt;Magid, D. J.&lt;/author&gt;&lt;/authors&gt;&lt;/contributors&gt;&lt;auth-address&gt;a School of Pharmacy , Regis University , Denver , Colorado , USA.&amp;#xD;c Center for Pharmaceutical Outcomes Research, Department of Clinical Pharmacy , University of Colorado Aurora , Colorado , USA.&amp;#xD;d American University of Armenia , Yerevan , Armenia.&amp;#xD;e Amgen, Inc. , Thousand Oaks , California , USA.&amp;#xD;f Department of Pediatrics , National Jewish Health , Denver , Colorado , USA.&amp;#xD;b Institute for Health Research , Kaiser Permanente Colorado , Denver , Colorado , USA.&amp;#xD;g Colorado School of Public Health , University of Colorado , Denver , Colorado , USA.&lt;/auth-address&gt;&lt;titles&gt;&lt;title&gt;Measuring the cost of poor asthma control and exacerbations&lt;/title&gt;&lt;secondary-title&gt;J Asthma&lt;/secondary-title&gt;&lt;/titles&gt;&lt;periodical&gt;&lt;full-title&gt;J Asthma&lt;/full-title&gt;&lt;/periodical&gt;&lt;pages&gt;1-8&lt;/pages&gt;&lt;keywords&gt;&lt;keyword&gt;Asthma Control Questionnaire&lt;/keyword&gt;&lt;keyword&gt;Medical expenditures&lt;/keyword&gt;&lt;keyword&gt;asthma control&lt;/keyword&gt;&lt;keyword&gt;exacerbations&lt;/keyword&gt;&lt;keyword&gt;oral corticosteroids&lt;/keyword&gt;&lt;/keywords&gt;&lt;dates&gt;&lt;year&gt;2016&lt;/year&gt;&lt;pub-dates&gt;&lt;date&gt;Jun 10&lt;/date&gt;&lt;/pub-dates&gt;&lt;/dates&gt;&lt;isbn&gt;1532-4303 (Electronic)&amp;#xD;0277-0903 (Linking)&lt;/isbn&gt;&lt;accession-num&gt;27286240&lt;/accession-num&gt;&lt;urls&gt;&lt;related-urls&gt;&lt;url&gt;http://www.ncbi.nlm.nih.gov/pubmed/27286240&lt;/url&gt;&lt;/related-urls&gt;&lt;/urls&gt;&lt;electronic-resource-num&gt;10.1080/02770903.2016.1194430&lt;/electronic-resource-num&gt;&lt;/record&gt;&lt;/Cite&gt;&lt;/EndNote&gt;</w:instrText>
      </w:r>
      <w:r w:rsidR="0066561F">
        <w:rPr>
          <w:rFonts w:ascii="Times New Roman" w:hAnsi="Times New Roman" w:cs="Times New Roman"/>
        </w:rPr>
        <w:fldChar w:fldCharType="separate"/>
      </w:r>
      <w:r w:rsidR="003C33C5" w:rsidRPr="003C33C5">
        <w:rPr>
          <w:rFonts w:ascii="Times New Roman" w:hAnsi="Times New Roman" w:cs="Times New Roman"/>
          <w:noProof/>
          <w:vertAlign w:val="superscript"/>
        </w:rPr>
        <w:t>13</w:t>
      </w:r>
      <w:r w:rsidR="0066561F">
        <w:rPr>
          <w:rFonts w:ascii="Times New Roman" w:hAnsi="Times New Roman" w:cs="Times New Roman"/>
        </w:rPr>
        <w:fldChar w:fldCharType="end"/>
      </w:r>
      <w:r w:rsidR="0066561F">
        <w:rPr>
          <w:rFonts w:ascii="Times New Roman" w:hAnsi="Times New Roman" w:cs="Times New Roman"/>
        </w:rPr>
        <w:t>. The asthma-specific quality of life and health-related quality of life utilities were informed by a meta-analysis of asthma studies</w:t>
      </w:r>
      <w:r w:rsidR="0066561F">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&lt;EndNote&gt;&lt;Cite&gt;&lt;Author&gt;Einarson&lt;/Author&gt;&lt;Year&gt;2015&lt;/Year&gt;&lt;RecNum&gt;1052&lt;/RecNum&gt;&lt;DisplayText&gt;&lt;style face="superscript"&gt;14&lt;/style&gt;&lt;/DisplayText&gt;&lt;record&gt;&lt;rec-number&gt;1052&lt;/rec-number&gt;&lt;foreign-keys&gt;&lt;key app="EN" db-id="t0pwtd0e4eawa0eax9rvvd9zpd2r9s5sxptv" timestamp="1480887050"&gt;1052&lt;/key&gt;&lt;/foreign-keys&gt;&lt;ref-type name="Journal Article"&gt;17&lt;/ref-type&gt;&lt;contributors&gt;&lt;authors&gt;&lt;author&gt;Einarson, T. R.&lt;/author&gt;&lt;author&gt;Bereza, B. G.&lt;/author&gt;&lt;author&gt;Nielsen, T. A.&lt;/author&gt;&lt;author&gt;Hemels, M. E.&lt;/author&gt;&lt;/authors&gt;&lt;/contributors&gt;&lt;auth-address&gt;Leslie Dan Faculty of Pharmacy, University of Toronto , Toronto, ON , Canada.&lt;/auth-address&gt;&lt;titles&gt;&lt;title&gt;Utilities for asthma and COPD according to category of severity: a comprehensive literature review&lt;/title&gt;&lt;secondary-title&gt;J Med Econ&lt;/secondary-title&gt;&lt;/titles&gt;&lt;periodical&gt;&lt;full-title&gt;J Med Econ&lt;/full-title&gt;&lt;/periodical&gt;&lt;pages&gt;550-63&lt;/pages&gt;&lt;volume&gt;18&lt;/volume&gt;&lt;number&gt;7&lt;/number&gt;&lt;keywords&gt;&lt;keyword&gt;Asthma/*physiopathology/*psychology&lt;/keyword&gt;&lt;keyword&gt;Costs and Cost Analysis&lt;/keyword&gt;&lt;keyword&gt;Humans&lt;/keyword&gt;&lt;keyword&gt;Models, Econometric&lt;/keyword&gt;&lt;keyword&gt;Pulmonary Disease, Chronic Obstructive/*physiopathology/*psychology&lt;/keyword&gt;&lt;keyword&gt;Quality of Life&lt;/keyword&gt;&lt;keyword&gt;Severity of Illness Index&lt;/keyword&gt;&lt;keyword&gt;Asthma&lt;/keyword&gt;&lt;keyword&gt;Copd&lt;/keyword&gt;&lt;keyword&gt;Preferences&lt;/keyword&gt;&lt;keyword&gt;Severe&lt;/keyword&gt;&lt;keyword&gt;Utilities&lt;/keyword&gt;&lt;/keywords&gt;&lt;dates&gt;&lt;year&gt;2015&lt;/year&gt;&lt;/dates&gt;&lt;isbn&gt;1941-837X (Electronic)&amp;#xD;1369-6998 (Linking)&lt;/isbn&gt;&lt;accession-num&gt;25735652&lt;/accession-num&gt;&lt;urls&gt;&lt;related-urls&gt;&lt;url&gt;http://www.ncbi.nlm.nih.gov/pubmed/25735652&lt;/url&gt;&lt;/related-urls&gt;&lt;/urls&gt;&lt;electronic-resource-num&gt;10.3111/13696998.2015.1025793&lt;/electronic-resource-num&gt;&lt;/record&gt;&lt;/Cite&gt;&lt;/EndNote&gt;</w:instrText>
      </w:r>
      <w:r w:rsidR="0066561F">
        <w:rPr>
          <w:rFonts w:ascii="Times New Roman" w:hAnsi="Times New Roman" w:cs="Times New Roman"/>
        </w:rPr>
        <w:fldChar w:fldCharType="separate"/>
      </w:r>
      <w:r w:rsidR="003C33C5" w:rsidRPr="003C33C5">
        <w:rPr>
          <w:rFonts w:ascii="Times New Roman" w:hAnsi="Times New Roman" w:cs="Times New Roman"/>
          <w:noProof/>
          <w:vertAlign w:val="superscript"/>
        </w:rPr>
        <w:t>14</w:t>
      </w:r>
      <w:r w:rsidR="0066561F">
        <w:rPr>
          <w:rFonts w:ascii="Times New Roman" w:hAnsi="Times New Roman" w:cs="Times New Roman"/>
        </w:rPr>
        <w:fldChar w:fldCharType="end"/>
      </w:r>
      <w:r w:rsidR="0066561F">
        <w:rPr>
          <w:rFonts w:ascii="Times New Roman" w:hAnsi="Times New Roman" w:cs="Times New Roman"/>
        </w:rPr>
        <w:t xml:space="preserve">. </w:t>
      </w:r>
    </w:p>
    <w:p w14:paraId="42A7C699" w14:textId="00A17462" w:rsidR="0066561F" w:rsidRDefault="0066561F" w:rsidP="00683EB3">
      <w:pPr>
        <w:spacing w:after="120" w:line="360" w:lineRule="auto"/>
        <w:rPr>
          <w:rFonts w:ascii="Times New Roman" w:hAnsi="Times New Roman" w:cs="Times New Roman"/>
          <w:i/>
        </w:rPr>
      </w:pPr>
      <w:r>
        <w:rPr>
          <w:rFonts w:ascii="Times New Roman" w:hAnsi="Times New Roman" w:cs="Times New Roman"/>
          <w:i/>
        </w:rPr>
        <w:t>Risk of Asthma-related Mortality</w:t>
      </w:r>
      <w:r w:rsidR="00740F33">
        <w:rPr>
          <w:rFonts w:ascii="Times New Roman" w:hAnsi="Times New Roman" w:cs="Times New Roman"/>
          <w:i/>
        </w:rPr>
        <w:t xml:space="preserve"> for Controlled and Uncontrolled Asthmatics</w:t>
      </w:r>
    </w:p>
    <w:p w14:paraId="009E2835" w14:textId="1121BBB6" w:rsidR="0066561F" w:rsidRPr="00740F33" w:rsidRDefault="0066561F" w:rsidP="00683EB3">
      <w:pPr>
        <w:spacing w:after="120" w:line="360" w:lineRule="auto"/>
        <w:rPr>
          <w:rFonts w:ascii="Times New Roman" w:hAnsi="Times New Roman" w:cs="Times New Roman"/>
        </w:rPr>
      </w:pPr>
      <w:r>
        <w:rPr>
          <w:rFonts w:ascii="Times New Roman" w:hAnsi="Times New Roman" w:cs="Times New Roman"/>
        </w:rPr>
        <w:t>There is small but significant relationship between asthma</w:t>
      </w:r>
      <w:r>
        <w:rPr>
          <w:rFonts w:ascii="Times New Roman" w:hAnsi="Times New Roman" w:cs="Times New Roman"/>
          <w:i/>
        </w:rPr>
        <w:t xml:space="preserve"> </w:t>
      </w:r>
      <w:r w:rsidR="00740F33">
        <w:rPr>
          <w:rFonts w:ascii="Times New Roman" w:hAnsi="Times New Roman" w:cs="Times New Roman"/>
        </w:rPr>
        <w:t>exacerbations (i.e. asthma hospitalizations) and death</w:t>
      </w:r>
      <w:r w:rsidR="00740F33">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&lt;EndNote&gt;&lt;Cite&gt;&lt;Author&gt;Sullivan&lt;/Author&gt;&lt;Year&gt;2016&lt;/Year&gt;&lt;RecNum&gt;539&lt;/RecNum&gt;&lt;DisplayText&gt;&lt;style face="superscript"&gt;13&lt;/style&gt;&lt;/DisplayText&gt;&lt;record&gt;&lt;rec-number&gt;539&lt;/rec-number&gt;&lt;foreign-keys&gt;&lt;key app="EN" db-id="t0pwtd0e4eawa0eax9rvvd9zpd2r9s5sxptv" timestamp="1475617717"&gt;539&lt;/key&gt;&lt;/foreign-keys&gt;&lt;ref-type name="Journal Article"&gt;17&lt;/ref-type&gt;&lt;contributors&gt;&lt;authors&gt;&lt;author&gt;Sullivan, P. W.&lt;/author&gt;&lt;author&gt;Ghushchyan, V. H.&lt;/author&gt;&lt;author&gt;Campbell, J. D.&lt;/author&gt;&lt;author&gt;Globe, G.&lt;/author&gt;&lt;author&gt;Bender, B.&lt;/author&gt;&lt;author&gt;Magid, D. J.&lt;/author&gt;&lt;/authors&gt;&lt;/contributors&gt;&lt;auth-address&gt;a School of Pharmacy , Regis University , Denver , Colorado , USA.&amp;#xD;c Center for Pharmaceutical Outcomes Research, Department of Clinical Pharmacy , University of Colorado Aurora , Colorado , USA.&amp;#xD;d American University of Armenia , Yerevan , Armenia.&amp;#xD;e Amgen, Inc. , Thousand Oaks , California , USA.&amp;#xD;f Department of Pediatrics , National Jewish Health , Denver , Colorado , USA.&amp;#xD;b Institute for Health Research , Kaiser Permanente Colorado , Denver , Colorado , USA.&amp;#xD;g Colorado School of Public Health , University of Colorado , Denver , Colorado , USA.&lt;/auth-address&gt;&lt;titles&gt;&lt;title&gt;Measuring the cost of poor asthma control and exacerbations&lt;/title&gt;&lt;secondary-title&gt;J Asthma&lt;/secondary-title&gt;&lt;/titles&gt;&lt;periodical&gt;&lt;full-title&gt;J Asthma&lt;/full-title&gt;&lt;/periodical&gt;&lt;pages&gt;1-8&lt;/pages&gt;&lt;keywords&gt;&lt;keyword&gt;Asthma Control Questionnaire&lt;/keyword&gt;&lt;keyword&gt;Medical expenditures&lt;/keyword&gt;&lt;keyword&gt;asthma control&lt;/keyword&gt;&lt;keyword&gt;exacerbations&lt;/keyword&gt;&lt;keyword&gt;oral corticosteroids&lt;/keyword&gt;&lt;/keywords&gt;&lt;dates&gt;&lt;year&gt;2016&lt;/year&gt;&lt;pub-dates&gt;&lt;date&gt;Jun 10&lt;/date&gt;&lt;/pub-dates&gt;&lt;/dates&gt;&lt;isbn&gt;1532-4303 (Electronic)&amp;#xD;0277-0903 (Linking)&lt;/isbn&gt;&lt;accession-num&gt;27286240&lt;/accession-num&gt;&lt;urls&gt;&lt;related-urls&gt;&lt;url&gt;http://www.ncbi.nlm.nih.gov/pubmed/27286240&lt;/url&gt;&lt;/related-urls&gt;&lt;/urls&gt;&lt;electronic-resource-num&gt;10.1080/02770903.2016.1194430&lt;/electronic-resource-num&gt;&lt;/record&gt;&lt;/Cite&gt;&lt;/EndNote&gt;</w:instrText>
      </w:r>
      <w:r w:rsidR="00740F33">
        <w:rPr>
          <w:rFonts w:ascii="Times New Roman" w:hAnsi="Times New Roman" w:cs="Times New Roman"/>
        </w:rPr>
        <w:fldChar w:fldCharType="separate"/>
      </w:r>
      <w:r w:rsidR="003C33C5" w:rsidRPr="003C33C5">
        <w:rPr>
          <w:rFonts w:ascii="Times New Roman" w:hAnsi="Times New Roman" w:cs="Times New Roman"/>
          <w:noProof/>
          <w:vertAlign w:val="superscript"/>
        </w:rPr>
        <w:t>13</w:t>
      </w:r>
      <w:r w:rsidR="00740F33">
        <w:rPr>
          <w:rFonts w:ascii="Times New Roman" w:hAnsi="Times New Roman" w:cs="Times New Roman"/>
        </w:rPr>
        <w:fldChar w:fldCharType="end"/>
      </w:r>
      <w:r w:rsidR="00740F33">
        <w:rPr>
          <w:rFonts w:ascii="Times New Roman" w:hAnsi="Times New Roman" w:cs="Times New Roman"/>
        </w:rPr>
        <w:t xml:space="preserve">. We uniformly modeled this association between hospitalization and death across treatment alternatives as well as all-other-cause mortality rate based on the US age and gender-specific population. </w:t>
      </w:r>
    </w:p>
    <w:p w14:paraId="4E792E74" w14:textId="1A69BE49" w:rsidR="0066561F" w:rsidRDefault="00726657" w:rsidP="00683EB3">
      <w:pPr>
        <w:spacing w:after="120" w:line="360" w:lineRule="auto"/>
        <w:rPr>
          <w:rFonts w:ascii="Times New Roman" w:hAnsi="Times New Roman" w:cs="Times New Roman"/>
          <w:i/>
        </w:rPr>
      </w:pPr>
      <w:r>
        <w:rPr>
          <w:rFonts w:ascii="Times New Roman" w:hAnsi="Times New Roman" w:cs="Times New Roman"/>
          <w:i/>
        </w:rPr>
        <w:t>Exacerbations</w:t>
      </w:r>
    </w:p>
    <w:p w14:paraId="69FFEE66" w14:textId="58E50DFB" w:rsidR="00726657" w:rsidRPr="00726657" w:rsidRDefault="00726657" w:rsidP="00683EB3">
      <w:pPr>
        <w:spacing w:after="120" w:line="360" w:lineRule="auto"/>
        <w:rPr>
          <w:rFonts w:ascii="Times New Roman" w:hAnsi="Times New Roman" w:cs="Times New Roman"/>
        </w:rPr>
      </w:pPr>
      <w:r>
        <w:rPr>
          <w:rFonts w:ascii="Times New Roman" w:hAnsi="Times New Roman" w:cs="Times New Roman"/>
        </w:rPr>
        <w:t xml:space="preserve">Asthma exacerbations were split into three mutually exclusive categories in order of increasing severity: 1. Oral corticosteroid (OC) burst, 2. Emergency room visit, or 3. A hospitalization event. </w:t>
      </w:r>
    </w:p>
    <w:p w14:paraId="19F7F0A2" w14:textId="6656484C" w:rsidR="0066561F" w:rsidRDefault="00726657" w:rsidP="00683EB3">
      <w:pPr>
        <w:spacing w:after="120" w:line="360" w:lineRule="auto"/>
        <w:rPr>
          <w:rFonts w:ascii="Times New Roman" w:hAnsi="Times New Roman" w:cs="Times New Roman"/>
          <w:i/>
        </w:rPr>
      </w:pPr>
      <w:r>
        <w:rPr>
          <w:rFonts w:ascii="Times New Roman" w:hAnsi="Times New Roman" w:cs="Times New Roman"/>
          <w:i/>
        </w:rPr>
        <w:t>Quality of life</w:t>
      </w:r>
      <w:r>
        <w:rPr>
          <w:rFonts w:ascii="Times New Roman" w:hAnsi="Times New Roman" w:cs="Times New Roman"/>
          <w:i/>
        </w:rPr>
        <w:tab/>
      </w:r>
    </w:p>
    <w:p w14:paraId="17207DF4" w14:textId="12A2A0B8" w:rsidR="00726657" w:rsidRDefault="00726657" w:rsidP="00683EB3">
      <w:pPr>
        <w:spacing w:after="120" w:line="360" w:lineRule="auto"/>
        <w:rPr>
          <w:rFonts w:ascii="Times New Roman" w:hAnsi="Times New Roman" w:cs="Times New Roman"/>
        </w:rPr>
      </w:pPr>
      <w:r>
        <w:rPr>
          <w:rFonts w:ascii="Times New Roman" w:hAnsi="Times New Roman" w:cs="Times New Roman"/>
        </w:rPr>
        <w:t>Asthma-specific quality of life was estimated using the Asthma Quality of Life Questionnaire (AQLQ) from Chen et al</w:t>
      </w:r>
      <w:r w:rsidR="003A1C99">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&lt;EndNote&gt;&lt;Cite&gt;&lt;Author&gt;Chen&lt;/Author&gt;&lt;Year&gt;2007&lt;/Year&gt;&lt;RecNum&gt;1125&lt;/RecNum&gt;&lt;DisplayText&gt;&lt;style face="superscript"&gt;11&lt;/style&gt;&lt;/DisplayText&gt;&lt;record&gt;&lt;rec-number&gt;1125&lt;/rec-number&gt;&lt;foreign-keys&gt;&lt;key app="EN" db-id="t0pwtd0e4eawa0eax9rvvd9zpd2r9s5sxptv" timestamp="1480899254"&gt;1125&lt;/key&gt;&lt;/foreign-keys&gt;&lt;ref-type name="Journal Article"&gt;17&lt;/ref-type&gt;&lt;contributors&gt;&lt;authors&gt;&lt;author&gt;Chen, H.&lt;/author&gt;&lt;author&gt;Gould, M. K.&lt;/author&gt;&lt;author&gt;Blanc, P. D.&lt;/author&gt;&lt;author&gt;Miller, D. P.&lt;/author&gt;&lt;author&gt;Kamath, T. V.&lt;/author&gt;&lt;author&gt;Lee, J. H.&lt;/author&gt;&lt;author&gt;Sullivan, S. D.&lt;/author&gt;&lt;author&gt;Tenor Study Group&lt;/author&gt;&lt;/authors&gt;&lt;/contributors&gt;&lt;auth-address&gt;Department of Medicine, the University of California San Francisco, USA. hubert.chen@ucsf.edu&lt;/auth-address&gt;&lt;titles&gt;&lt;title&gt;Asthma control, severity, and quality of life: quantifying the effect of uncontrolled disease&lt;/title&gt;&lt;secondary-title&gt;J Allergy Clin Immunol&lt;/secondary-title&gt;&lt;/titles&gt;&lt;periodical&gt;&lt;full-title&gt;J Allergy Clin Immunol&lt;/full-title&gt;&lt;/periodical&gt;&lt;pages&gt;396-402&lt;/pages&gt;&lt;volume&gt;120&lt;/volume&gt;&lt;number&gt;2&lt;/number&gt;&lt;keywords&gt;&lt;keyword&gt;Adult&lt;/keyword&gt;&lt;keyword&gt;Aged&lt;/keyword&gt;&lt;keyword&gt;Aged, 80 and over&lt;/keyword&gt;&lt;keyword&gt;Asthma/*drug therapy/*physiopathology&lt;/keyword&gt;&lt;keyword&gt;Female&lt;/keyword&gt;&lt;keyword&gt;Follow-Up Studies&lt;/keyword&gt;&lt;keyword&gt;Health Status&lt;/keyword&gt;&lt;keyword&gt;Humans&lt;/keyword&gt;&lt;keyword&gt;Linear Models&lt;/keyword&gt;&lt;keyword&gt;Male&lt;/keyword&gt;&lt;keyword&gt;Middle Aged&lt;/keyword&gt;&lt;keyword&gt;Predictive Value of Tests&lt;/keyword&gt;&lt;keyword&gt;Prospective Studies&lt;/keyword&gt;&lt;keyword&gt;*Quality of Life&lt;/keyword&gt;&lt;keyword&gt;Severity of Illness Index&lt;/keyword&gt;&lt;keyword&gt;Surveys and Questionnaires&lt;/keyword&gt;&lt;keyword&gt;Treatment Outcome&lt;/keyword&gt;&lt;/keywords&gt;&lt;dates&gt;&lt;year&gt;2007&lt;/year&gt;&lt;pub-dates&gt;&lt;date&gt;Aug&lt;/date&gt;&lt;/pub-dates&gt;&lt;/dates&gt;&lt;isbn&gt;0091-6749 (Print)&amp;#xD;0091-6749 (Linking)&lt;/isbn&gt;&lt;accession-num&gt;17561244&lt;/accession-num&gt;&lt;urls&gt;&lt;related-urls&gt;&lt;url&gt;http://www.ncbi.nlm.nih.gov/pubmed/17561244&lt;/url&gt;&lt;/related-urls&gt;&lt;/urls&gt;&lt;electronic-resource-num&gt;10.1016/j.jaci.2007.04.040&lt;/electronic-resource-num&gt;&lt;/record&gt;&lt;/Cite&gt;&lt;/EndNote&gt;</w:instrText>
      </w:r>
      <w:r w:rsidR="003A1C99">
        <w:rPr>
          <w:rFonts w:ascii="Times New Roman" w:hAnsi="Times New Roman" w:cs="Times New Roman"/>
        </w:rPr>
        <w:fldChar w:fldCharType="separate"/>
      </w:r>
      <w:r w:rsidR="003C33C5" w:rsidRPr="003C33C5">
        <w:rPr>
          <w:rFonts w:ascii="Times New Roman" w:hAnsi="Times New Roman" w:cs="Times New Roman"/>
          <w:noProof/>
          <w:vertAlign w:val="superscript"/>
        </w:rPr>
        <w:t>11</w:t>
      </w:r>
      <w:r w:rsidR="003A1C99">
        <w:rPr>
          <w:rFonts w:ascii="Times New Roman" w:hAnsi="Times New Roman" w:cs="Times New Roman"/>
        </w:rPr>
        <w:fldChar w:fldCharType="end"/>
      </w:r>
      <w:r>
        <w:rPr>
          <w:rFonts w:ascii="Times New Roman" w:hAnsi="Times New Roman" w:cs="Times New Roman"/>
        </w:rPr>
        <w:t>. and Price et al</w:t>
      </w:r>
      <w:r w:rsidR="003A1C99">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003A1C99">
        <w:rPr>
          <w:rFonts w:ascii="Times New Roman" w:hAnsi="Times New Roman" w:cs="Times New Roman"/>
        </w:rPr>
        <w:fldChar w:fldCharType="separate"/>
      </w:r>
      <w:r w:rsidR="003C33C5" w:rsidRPr="003C33C5">
        <w:rPr>
          <w:rFonts w:ascii="Times New Roman" w:hAnsi="Times New Roman" w:cs="Times New Roman"/>
          <w:noProof/>
          <w:vertAlign w:val="superscript"/>
        </w:rPr>
        <w:t>12</w:t>
      </w:r>
      <w:r w:rsidR="003A1C99">
        <w:rPr>
          <w:rFonts w:ascii="Times New Roman" w:hAnsi="Times New Roman" w:cs="Times New Roman"/>
        </w:rPr>
        <w:fldChar w:fldCharType="end"/>
      </w:r>
      <w:r>
        <w:rPr>
          <w:rFonts w:ascii="Times New Roman" w:hAnsi="Times New Roman" w:cs="Times New Roman"/>
        </w:rPr>
        <w:t>. The estimated utility values for each health state were mapped from AQLQ to EQ-5D as was done in Campbell et al</w:t>
      </w:r>
      <w:r>
        <w:rPr>
          <w:rFonts w:ascii="Times New Roman" w:hAnsi="Times New Roman" w:cs="Times New Roman"/>
        </w:rPr>
        <w:fldChar w:fldCharType="begin">
          <w:fldData xml:space="preserve">PEVuZE5vdGU+PENpdGU+PEF1dGhvcj5DYW1wYmVsbDwvQXV0aG9yPjxZZWFyPjIwMTA8L1llYXI+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PEVuZE5vdGU+PENpdGU+PEF1dGhvcj5DYW1wYmVsbDwvQXV0aG9yPjxZZWFyPjIwMTA8L1llYXI+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726657">
        <w:rPr>
          <w:rFonts w:ascii="Times New Roman" w:hAnsi="Times New Roman" w:cs="Times New Roman"/>
          <w:noProof/>
          <w:vertAlign w:val="superscript"/>
        </w:rPr>
        <w:t>5</w:t>
      </w:r>
      <w:r>
        <w:rPr>
          <w:rFonts w:ascii="Times New Roman" w:hAnsi="Times New Roman" w:cs="Times New Roman"/>
        </w:rPr>
        <w:fldChar w:fldCharType="end"/>
      </w:r>
      <w:r>
        <w:rPr>
          <w:rFonts w:ascii="Times New Roman" w:hAnsi="Times New Roman" w:cs="Times New Roman"/>
        </w:rPr>
        <w:t>. The utility estimates for the exacerbation states came from a study conducted in the UK at four specialty asthma centers among moderate-to-severe asthma patients.</w:t>
      </w:r>
    </w:p>
    <w:p w14:paraId="6FDEEE31" w14:textId="35BEDC40" w:rsidR="00726657" w:rsidRDefault="00726657" w:rsidP="00683EB3">
      <w:pPr>
        <w:spacing w:after="120" w:line="360" w:lineRule="auto"/>
        <w:rPr>
          <w:rFonts w:ascii="Times New Roman" w:hAnsi="Times New Roman" w:cs="Times New Roman"/>
          <w:b/>
        </w:rPr>
      </w:pPr>
      <w:r>
        <w:rPr>
          <w:rFonts w:ascii="Times New Roman" w:hAnsi="Times New Roman" w:cs="Times New Roman"/>
          <w:b/>
        </w:rPr>
        <w:t>Cost inputs</w:t>
      </w:r>
    </w:p>
    <w:p w14:paraId="712F117D" w14:textId="14C12E9D" w:rsidR="00726657" w:rsidRDefault="003A1C99" w:rsidP="00683EB3">
      <w:pPr>
        <w:spacing w:after="120" w:line="360" w:lineRule="auto"/>
        <w:rPr>
          <w:rFonts w:ascii="Times New Roman" w:hAnsi="Times New Roman" w:cs="Times New Roman"/>
          <w:lang w:eastAsia="ko-KR"/>
        </w:rPr>
      </w:pPr>
      <w:r>
        <w:rPr>
          <w:rFonts w:ascii="Times New Roman" w:hAnsi="Times New Roman" w:cs="Times New Roman"/>
          <w:lang w:eastAsia="ko-KR"/>
        </w:rPr>
        <w:t xml:space="preserve">We conservatively assumed the same level of health care resource utilization for both arms even though there may be potential reduction in resource use for the intervention (PHS+UC) arm. PHS utilization cost was estimated based on short pilot trial administrative report within UC Denver Anschutz Medical </w:t>
      </w:r>
      <w:r>
        <w:rPr>
          <w:rFonts w:ascii="Times New Roman" w:hAnsi="Times New Roman" w:cs="Times New Roman"/>
          <w:lang w:eastAsia="ko-KR"/>
        </w:rPr>
        <w:lastRenderedPageBreak/>
        <w:t xml:space="preserve">Campus Breathing Institute. Resource utilization rates that were captured as asthma exacerbations included asthma hospitalizations, asthma emergency room visits, and oral corticosteroid bursts. One general practitioner visit rate was assumed for the OC burst exacerbation because at least one visit is required for prescription of OC. </w:t>
      </w:r>
    </w:p>
    <w:p w14:paraId="5225F41B" w14:textId="7B385DCA" w:rsidR="003A1C99" w:rsidRPr="00726657" w:rsidRDefault="003A1C99" w:rsidP="00683EB3">
      <w:pPr>
        <w:spacing w:after="120" w:line="360" w:lineRule="auto"/>
        <w:rPr>
          <w:rFonts w:ascii="Times New Roman" w:hAnsi="Times New Roman" w:cs="Times New Roman"/>
          <w:lang w:eastAsia="ko-KR"/>
        </w:rPr>
      </w:pPr>
      <w:r>
        <w:rPr>
          <w:rFonts w:ascii="Times New Roman" w:hAnsi="Times New Roman" w:cs="Times New Roman"/>
          <w:lang w:eastAsia="ko-KR"/>
        </w:rPr>
        <w:t>Unit costs for physician visits, emergency room visits, and hospital stays were based on average paid amounts for asthma diagnosed (ICD-9 493.xx) services from 2005 Market Scan data</w:t>
      </w:r>
      <w:r>
        <w:rPr>
          <w:rFonts w:ascii="Times New Roman" w:hAnsi="Times New Roman" w:cs="Times New Roman"/>
          <w:lang w:eastAsia="ko-KR"/>
        </w:rPr>
        <w:fldChar w:fldCharType="begin"/>
      </w:r>
      <w:r w:rsidR="003C33C5">
        <w:rPr>
          <w:rFonts w:ascii="Times New Roman" w:hAnsi="Times New Roman" w:cs="Times New Roman"/>
          <w:lang w:eastAsia="ko-KR"/>
        </w:rPr>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Pr>
          <w:rFonts w:ascii="Times New Roman" w:hAnsi="Times New Roman" w:cs="Times New Roman"/>
          <w:lang w:eastAsia="ko-KR"/>
        </w:rPr>
        <w:fldChar w:fldCharType="separate"/>
      </w:r>
      <w:r w:rsidR="003C33C5" w:rsidRPr="003C33C5">
        <w:rPr>
          <w:rFonts w:ascii="Times New Roman" w:hAnsi="Times New Roman" w:cs="Times New Roman"/>
          <w:noProof/>
          <w:vertAlign w:val="superscript"/>
          <w:lang w:eastAsia="ko-KR"/>
        </w:rPr>
        <w:t>10</w:t>
      </w:r>
      <w:r>
        <w:rPr>
          <w:rFonts w:ascii="Times New Roman" w:hAnsi="Times New Roman" w:cs="Times New Roman"/>
          <w:lang w:eastAsia="ko-KR"/>
        </w:rPr>
        <w:fldChar w:fldCharType="end"/>
      </w:r>
      <w:r>
        <w:rPr>
          <w:rFonts w:ascii="Times New Roman" w:hAnsi="Times New Roman" w:cs="Times New Roman"/>
          <w:lang w:eastAsia="ko-KR"/>
        </w:rPr>
        <w:t>.</w:t>
      </w:r>
      <w:r w:rsidR="00286023">
        <w:rPr>
          <w:rFonts w:ascii="Times New Roman" w:hAnsi="Times New Roman" w:cs="Times New Roman"/>
          <w:lang w:eastAsia="ko-KR"/>
        </w:rPr>
        <w:t xml:space="preserve"> All costs were reported in 2016 US dollars using the medical care component of the Consumer Price Index to inflate costs prior to 2008. </w:t>
      </w:r>
    </w:p>
    <w:p w14:paraId="32ECADB2" w14:textId="76583154" w:rsidR="00286023" w:rsidRDefault="00286023" w:rsidP="00286023">
      <w:pPr>
        <w:spacing w:after="120" w:line="360" w:lineRule="auto"/>
        <w:rPr>
          <w:rFonts w:ascii="Times New Roman" w:hAnsi="Times New Roman" w:cs="Times New Roman"/>
          <w:b/>
        </w:rPr>
      </w:pPr>
      <w:r>
        <w:rPr>
          <w:rFonts w:ascii="Times New Roman" w:hAnsi="Times New Roman" w:cs="Times New Roman"/>
          <w:b/>
        </w:rPr>
        <w:t>Scenario, subgroup and sensitivity analyses</w:t>
      </w:r>
    </w:p>
    <w:p w14:paraId="5427D537" w14:textId="172B9479" w:rsidR="00286023" w:rsidRDefault="00286023" w:rsidP="00683EB3">
      <w:pPr>
        <w:spacing w:after="120" w:line="360" w:lineRule="auto"/>
        <w:rPr>
          <w:rFonts w:ascii="Times New Roman" w:hAnsi="Times New Roman" w:cs="Times New Roman"/>
        </w:rPr>
      </w:pPr>
      <w:r>
        <w:rPr>
          <w:rFonts w:ascii="Times New Roman" w:hAnsi="Times New Roman" w:cs="Times New Roman"/>
        </w:rPr>
        <w:t xml:space="preserve">The lifetime horizon where patients were under the PHS in addition to usual care was the base-case scenario. </w:t>
      </w:r>
    </w:p>
    <w:p w14:paraId="7DEB923C" w14:textId="0F891C6E" w:rsidR="00286023" w:rsidRDefault="00286023" w:rsidP="00683EB3">
      <w:pPr>
        <w:spacing w:after="120" w:line="360" w:lineRule="auto"/>
        <w:rPr>
          <w:rFonts w:ascii="Times New Roman" w:hAnsi="Times New Roman" w:cs="Times New Roman"/>
        </w:rPr>
      </w:pPr>
      <w:r>
        <w:rPr>
          <w:rFonts w:ascii="Times New Roman" w:hAnsi="Times New Roman" w:cs="Times New Roman"/>
        </w:rPr>
        <w:t>An alternative scenario where one year horizon of PHS in addition to usual care followed by a lifetime horizon of usual care for the PHS arm was considered.</w:t>
      </w:r>
    </w:p>
    <w:p w14:paraId="1A146C4C" w14:textId="4EF0A8FA" w:rsidR="00286023" w:rsidRDefault="00286023" w:rsidP="00683EB3">
      <w:pPr>
        <w:spacing w:after="120" w:line="360" w:lineRule="auto"/>
        <w:rPr>
          <w:rFonts w:ascii="Times New Roman" w:hAnsi="Times New Roman" w:cs="Times New Roman"/>
        </w:rPr>
      </w:pPr>
      <w:r>
        <w:rPr>
          <w:rFonts w:ascii="Times New Roman" w:hAnsi="Times New Roman" w:cs="Times New Roman"/>
        </w:rPr>
        <w:t>Additionally, multiple subgroups of varying age (40, 60, and 80) and gender were undertaken to identify the cost-effectiveness of PHS within the different subgroup populations.</w:t>
      </w:r>
    </w:p>
    <w:p w14:paraId="1D36809C" w14:textId="6A043C00" w:rsidR="00286023" w:rsidRDefault="00286023" w:rsidP="00683EB3">
      <w:pPr>
        <w:spacing w:after="120" w:line="360" w:lineRule="auto"/>
        <w:rPr>
          <w:rFonts w:ascii="Times New Roman" w:hAnsi="Times New Roman" w:cs="Times New Roman"/>
        </w:rPr>
      </w:pPr>
      <w:r>
        <w:rPr>
          <w:rFonts w:ascii="Times New Roman" w:hAnsi="Times New Roman" w:cs="Times New Roman"/>
        </w:rPr>
        <w:t>We also undertook a one-way</w:t>
      </w:r>
      <w:r w:rsidR="00521A8C">
        <w:rPr>
          <w:rFonts w:ascii="Times New Roman" w:hAnsi="Times New Roman" w:cs="Times New Roman"/>
        </w:rPr>
        <w:t xml:space="preserve"> </w:t>
      </w:r>
      <w:r>
        <w:rPr>
          <w:rFonts w:ascii="Times New Roman" w:hAnsi="Times New Roman" w:cs="Times New Roman"/>
        </w:rPr>
        <w:t xml:space="preserve">and probabilistic sensitivity analysis (PSA) to estimate the influence that the range of input values had on the incremental cost effectiveness ratio (ICER). The one-way sensitivity analysis varied </w:t>
      </w:r>
      <w:r w:rsidR="00DD454B">
        <w:rPr>
          <w:rFonts w:ascii="Times New Roman" w:hAnsi="Times New Roman" w:cs="Times New Roman"/>
        </w:rPr>
        <w:t>one input parameter at a time using the lower and upper 95% interval bounds of the assumed distribution</w:t>
      </w:r>
      <w:r w:rsidR="004A2C03">
        <w:rPr>
          <w:rFonts w:ascii="Times New Roman" w:hAnsi="Times New Roman" w:cs="Times New Roman"/>
        </w:rPr>
        <w:t xml:space="preserve"> (Appendix 1)</w:t>
      </w:r>
      <w:r w:rsidR="00DD454B">
        <w:rPr>
          <w:rFonts w:ascii="Times New Roman" w:hAnsi="Times New Roman" w:cs="Times New Roman"/>
        </w:rPr>
        <w:t>, if there were no reasonable alternative lower and upper bounds, and recorded the change in the incremental cost per QALY. Standard errors in Table 1 and distributional assumptions of the inputs were used to generate the 95% bounds. Transition probabilities and utilities were assumed to follow a beta distribution while cost distribution were assumed to be gamma. Through 1000 random draws of the input parameter distributions, the PSA</w:t>
      </w:r>
      <w:r w:rsidR="004A2C03">
        <w:rPr>
          <w:rFonts w:ascii="Times New Roman" w:hAnsi="Times New Roman" w:cs="Times New Roman"/>
        </w:rPr>
        <w:t xml:space="preserve"> (Appendix 2)</w:t>
      </w:r>
      <w:r w:rsidR="00DD454B">
        <w:rPr>
          <w:rFonts w:ascii="Times New Roman" w:hAnsi="Times New Roman" w:cs="Times New Roman"/>
        </w:rPr>
        <w:t xml:space="preserve"> informed 95% intervals for outputs of the model.</w:t>
      </w:r>
    </w:p>
    <w:p w14:paraId="04109B4A" w14:textId="77777777" w:rsidR="00DD454B" w:rsidRDefault="00DD454B" w:rsidP="00683EB3">
      <w:pPr>
        <w:spacing w:after="120" w:line="360" w:lineRule="auto"/>
        <w:rPr>
          <w:rFonts w:ascii="Times New Roman" w:hAnsi="Times New Roman" w:cs="Times New Roman"/>
        </w:rPr>
      </w:pPr>
    </w:p>
    <w:p w14:paraId="5C24F7FA" w14:textId="6E530107" w:rsidR="004D78CF" w:rsidRPr="00683EB3" w:rsidRDefault="004D78CF" w:rsidP="00683EB3">
      <w:pPr>
        <w:spacing w:after="120" w:line="360" w:lineRule="auto"/>
        <w:rPr>
          <w:rFonts w:ascii="Times New Roman" w:hAnsi="Times New Roman" w:cs="Times New Roman"/>
          <w:b/>
          <w:sz w:val="28"/>
        </w:rPr>
      </w:pPr>
      <w:r w:rsidRPr="00683EB3">
        <w:rPr>
          <w:rFonts w:ascii="Times New Roman" w:hAnsi="Times New Roman" w:cs="Times New Roman"/>
          <w:b/>
          <w:sz w:val="28"/>
        </w:rPr>
        <w:t>Results</w:t>
      </w:r>
    </w:p>
    <w:p w14:paraId="4ABAB79E" w14:textId="49292054" w:rsidR="00B830C6" w:rsidRPr="00683EB3" w:rsidRDefault="00726657" w:rsidP="00683EB3">
      <w:pPr>
        <w:spacing w:after="120" w:line="360" w:lineRule="auto"/>
        <w:rPr>
          <w:rFonts w:ascii="Times New Roman" w:hAnsi="Times New Roman" w:cs="Times New Roman"/>
          <w:b/>
        </w:rPr>
      </w:pPr>
      <w:r>
        <w:rPr>
          <w:rFonts w:ascii="Times New Roman" w:hAnsi="Times New Roman" w:cs="Times New Roman"/>
          <w:b/>
        </w:rPr>
        <w:t>Base case analysis</w:t>
      </w:r>
      <w:r w:rsidR="00A539FC">
        <w:rPr>
          <w:rFonts w:ascii="Times New Roman" w:hAnsi="Times New Roman" w:cs="Times New Roman"/>
          <w:b/>
        </w:rPr>
        <w:t xml:space="preserve"> (Lifetime use of PHS)</w:t>
      </w:r>
    </w:p>
    <w:p w14:paraId="2AD70445" w14:textId="1CA8192C" w:rsidR="00B8376C" w:rsidRDefault="00A539FC" w:rsidP="00683EB3">
      <w:pPr>
        <w:spacing w:after="120" w:line="360" w:lineRule="auto"/>
        <w:rPr>
          <w:rFonts w:ascii="Times New Roman" w:hAnsi="Times New Roman" w:cs="Times New Roman"/>
        </w:rPr>
      </w:pPr>
      <w:r>
        <w:rPr>
          <w:rFonts w:ascii="Times New Roman" w:hAnsi="Times New Roman" w:cs="Times New Roman"/>
        </w:rPr>
        <w:t xml:space="preserve">Base case analysis results were presented as per patient averages (Table 2). </w:t>
      </w:r>
      <w:r w:rsidR="007F0923">
        <w:rPr>
          <w:rFonts w:ascii="Times New Roman" w:hAnsi="Times New Roman" w:cs="Times New Roman"/>
        </w:rPr>
        <w:t>The PHS arm resulted in extended life years (Lys) and improved QALYs. Discounted Lys were 23.71 (22.46) for the PHS arm for females (males) and 22.86 (21.68) for the usual care arm; undiscounted Lys were 31.80</w:t>
      </w:r>
      <w:r w:rsidR="005A3D41">
        <w:rPr>
          <w:rFonts w:ascii="Times New Roman" w:hAnsi="Times New Roman" w:cs="Times New Roman"/>
        </w:rPr>
        <w:t xml:space="preserve"> (29.60)</w:t>
      </w:r>
      <w:r w:rsidR="007F0923">
        <w:rPr>
          <w:rFonts w:ascii="Times New Roman" w:hAnsi="Times New Roman" w:cs="Times New Roman"/>
        </w:rPr>
        <w:t xml:space="preserve"> for the PHS arm and 30.53 (</w:t>
      </w:r>
      <w:r w:rsidR="005A3D41">
        <w:rPr>
          <w:rFonts w:ascii="Times New Roman" w:hAnsi="Times New Roman" w:cs="Times New Roman"/>
        </w:rPr>
        <w:t>28.47</w:t>
      </w:r>
      <w:r w:rsidR="007F0923">
        <w:rPr>
          <w:rFonts w:ascii="Times New Roman" w:hAnsi="Times New Roman" w:cs="Times New Roman"/>
        </w:rPr>
        <w:t xml:space="preserve">) for the usual care arm. Discounted QALYs were 15.63 (14.80) for the PHS </w:t>
      </w:r>
      <w:r w:rsidR="007F0923">
        <w:rPr>
          <w:rFonts w:ascii="Times New Roman" w:hAnsi="Times New Roman" w:cs="Times New Roman"/>
        </w:rPr>
        <w:lastRenderedPageBreak/>
        <w:t xml:space="preserve">arm for females (males) and 15.06 (14.28) for the usual care arm; undiscounted QALYs were 20.96 (19.51) for the PHS arm for females and 20.12 (18.76) for the usual care arm. With a total cost difference of </w:t>
      </w:r>
      <w:r w:rsidR="00B8376C">
        <w:rPr>
          <w:rFonts w:ascii="Times New Roman" w:hAnsi="Times New Roman" w:cs="Times New Roman"/>
        </w:rPr>
        <w:t>$3,403 ($3,293) and QALY difference of 0.57 (0.52) the incremental cost-effectiveness ratio for PHS plus usual care compared to usual care alone was $6,022 ($6,370) / QALY for females (males).</w:t>
      </w:r>
    </w:p>
    <w:p w14:paraId="763CFD21" w14:textId="77777777" w:rsidR="00E0659B" w:rsidRDefault="00E0659B" w:rsidP="00683EB3">
      <w:pPr>
        <w:spacing w:after="120" w:line="360" w:lineRule="auto"/>
        <w:rPr>
          <w:rFonts w:ascii="Times New Roman" w:hAnsi="Times New Roman" w:cs="Times New Roman"/>
        </w:rPr>
      </w:pPr>
    </w:p>
    <w:p w14:paraId="2106D795" w14:textId="3BE72660" w:rsidR="00A539FC" w:rsidRDefault="00A539FC" w:rsidP="00A539FC">
      <w:r>
        <w:t xml:space="preserve">Table 2. Base case </w:t>
      </w:r>
      <w:r w:rsidR="00CF6860">
        <w:t xml:space="preserve">and scenario </w:t>
      </w:r>
      <w:r>
        <w:t>result</w:t>
      </w:r>
    </w:p>
    <w:tbl>
      <w:tblPr>
        <w:tblStyle w:val="LightShading-Accent1"/>
        <w:tblW w:w="5000" w:type="pct"/>
        <w:tblLayout w:type="fixed"/>
        <w:tblLook w:val="0660" w:firstRow="1" w:lastRow="1" w:firstColumn="0" w:lastColumn="0" w:noHBand="1" w:noVBand="1"/>
      </w:tblPr>
      <w:tblGrid>
        <w:gridCol w:w="2098"/>
        <w:gridCol w:w="2540"/>
        <w:gridCol w:w="1589"/>
        <w:gridCol w:w="1589"/>
        <w:gridCol w:w="1544"/>
      </w:tblGrid>
      <w:tr w:rsidR="007F0923" w14:paraId="393663DF" w14:textId="77777777" w:rsidTr="00CF6860">
        <w:trPr>
          <w:cnfStyle w:val="100000000000" w:firstRow="1" w:lastRow="0" w:firstColumn="0" w:lastColumn="0" w:oddVBand="0" w:evenVBand="0" w:oddHBand="0" w:evenHBand="0" w:firstRowFirstColumn="0" w:firstRowLastColumn="0" w:lastRowFirstColumn="0" w:lastRowLastColumn="0"/>
        </w:trPr>
        <w:tc>
          <w:tcPr>
            <w:tcW w:w="1120" w:type="pct"/>
            <w:noWrap/>
          </w:tcPr>
          <w:p w14:paraId="1E8944D9" w14:textId="425B934D" w:rsidR="007F0923" w:rsidRPr="0059797D" w:rsidRDefault="007F0923" w:rsidP="004A2C03">
            <w:pPr>
              <w:jc w:val="center"/>
              <w:rPr>
                <w:color w:val="auto"/>
              </w:rPr>
            </w:pPr>
          </w:p>
        </w:tc>
        <w:tc>
          <w:tcPr>
            <w:tcW w:w="1357" w:type="pct"/>
          </w:tcPr>
          <w:p w14:paraId="13230AE2" w14:textId="667F18E8" w:rsidR="007F0923" w:rsidRPr="0059797D" w:rsidRDefault="007F0923" w:rsidP="004A2C03">
            <w:pPr>
              <w:jc w:val="center"/>
              <w:rPr>
                <w:color w:val="auto"/>
              </w:rPr>
            </w:pPr>
            <w:r>
              <w:rPr>
                <w:color w:val="auto"/>
              </w:rPr>
              <w:t>Cost</w:t>
            </w:r>
            <w:r w:rsidRPr="0059797D">
              <w:rPr>
                <w:color w:val="auto"/>
              </w:rPr>
              <w:t xml:space="preserve"> </w:t>
            </w:r>
          </w:p>
        </w:tc>
        <w:tc>
          <w:tcPr>
            <w:tcW w:w="849" w:type="pct"/>
          </w:tcPr>
          <w:p w14:paraId="60EDDD95" w14:textId="025BA79C" w:rsidR="007F0923" w:rsidRDefault="007F0923" w:rsidP="004A2C03">
            <w:pPr>
              <w:jc w:val="center"/>
            </w:pPr>
            <w:r w:rsidRPr="007F0923">
              <w:rPr>
                <w:color w:val="auto"/>
              </w:rPr>
              <w:t>LY</w:t>
            </w:r>
          </w:p>
        </w:tc>
        <w:tc>
          <w:tcPr>
            <w:tcW w:w="849" w:type="pct"/>
          </w:tcPr>
          <w:p w14:paraId="42652F9B" w14:textId="7BFAD5ED" w:rsidR="007F0923" w:rsidRPr="0059797D" w:rsidRDefault="007F0923" w:rsidP="004A2C03">
            <w:pPr>
              <w:jc w:val="center"/>
              <w:rPr>
                <w:color w:val="auto"/>
              </w:rPr>
            </w:pPr>
            <w:r>
              <w:rPr>
                <w:color w:val="auto"/>
              </w:rPr>
              <w:t>QALY</w:t>
            </w:r>
          </w:p>
        </w:tc>
        <w:tc>
          <w:tcPr>
            <w:tcW w:w="826" w:type="pct"/>
          </w:tcPr>
          <w:p w14:paraId="3EE02D4B" w14:textId="760CAD4D" w:rsidR="007F0923" w:rsidRPr="0059797D" w:rsidRDefault="007F0923" w:rsidP="00A539FC">
            <w:pPr>
              <w:jc w:val="center"/>
              <w:rPr>
                <w:color w:val="auto"/>
              </w:rPr>
            </w:pPr>
            <w:r>
              <w:rPr>
                <w:color w:val="auto"/>
              </w:rPr>
              <w:t>ICER</w:t>
            </w:r>
          </w:p>
        </w:tc>
      </w:tr>
      <w:tr w:rsidR="007F0923" w14:paraId="2B44BD7C" w14:textId="77777777" w:rsidTr="00CF6860">
        <w:tc>
          <w:tcPr>
            <w:tcW w:w="1120" w:type="pct"/>
            <w:noWrap/>
          </w:tcPr>
          <w:p w14:paraId="76A242BE" w14:textId="48021F05" w:rsidR="007F0923" w:rsidRPr="00CF6860" w:rsidRDefault="00CF6860" w:rsidP="004A2C03">
            <w:pPr>
              <w:rPr>
                <w:b/>
                <w:color w:val="auto"/>
                <w:sz w:val="28"/>
                <w:szCs w:val="28"/>
              </w:rPr>
            </w:pPr>
            <w:r>
              <w:rPr>
                <w:b/>
                <w:color w:val="auto"/>
                <w:sz w:val="28"/>
                <w:szCs w:val="28"/>
              </w:rPr>
              <w:t>Base case</w:t>
            </w:r>
          </w:p>
          <w:p w14:paraId="49E75FF8" w14:textId="1E47BBA0" w:rsidR="007F0923" w:rsidRPr="007F0923" w:rsidRDefault="007F0923" w:rsidP="004A2C03">
            <w:pPr>
              <w:rPr>
                <w:b/>
                <w:color w:val="auto"/>
              </w:rPr>
            </w:pPr>
            <w:r w:rsidRPr="007F0923">
              <w:rPr>
                <w:b/>
                <w:color w:val="auto"/>
              </w:rPr>
              <w:t>Female</w:t>
            </w:r>
          </w:p>
          <w:p w14:paraId="4C598B21" w14:textId="77777777" w:rsidR="007F0923" w:rsidRPr="007F0923" w:rsidRDefault="007F0923" w:rsidP="004A2C03">
            <w:pPr>
              <w:rPr>
                <w:b/>
                <w:color w:val="auto"/>
              </w:rPr>
            </w:pPr>
          </w:p>
        </w:tc>
        <w:tc>
          <w:tcPr>
            <w:tcW w:w="1357" w:type="pct"/>
          </w:tcPr>
          <w:p w14:paraId="223B4942" w14:textId="77777777" w:rsidR="007F0923" w:rsidRPr="007F0923" w:rsidRDefault="007F0923" w:rsidP="004A2C03">
            <w:pPr>
              <w:jc w:val="center"/>
              <w:rPr>
                <w:rStyle w:val="SubtleEmphasis"/>
                <w:color w:val="auto"/>
              </w:rPr>
            </w:pPr>
          </w:p>
        </w:tc>
        <w:tc>
          <w:tcPr>
            <w:tcW w:w="849" w:type="pct"/>
          </w:tcPr>
          <w:p w14:paraId="4A05D498" w14:textId="77777777" w:rsidR="007F0923" w:rsidRPr="007F0923" w:rsidRDefault="007F0923" w:rsidP="004A2C03">
            <w:pPr>
              <w:jc w:val="center"/>
              <w:rPr>
                <w:color w:val="auto"/>
              </w:rPr>
            </w:pPr>
          </w:p>
        </w:tc>
        <w:tc>
          <w:tcPr>
            <w:tcW w:w="849" w:type="pct"/>
          </w:tcPr>
          <w:p w14:paraId="57761B67" w14:textId="205A79F8" w:rsidR="007F0923" w:rsidRPr="007F0923" w:rsidRDefault="007F0923" w:rsidP="004A2C03">
            <w:pPr>
              <w:jc w:val="center"/>
              <w:rPr>
                <w:color w:val="auto"/>
              </w:rPr>
            </w:pPr>
          </w:p>
        </w:tc>
        <w:tc>
          <w:tcPr>
            <w:tcW w:w="826" w:type="pct"/>
          </w:tcPr>
          <w:p w14:paraId="6906219F" w14:textId="77777777" w:rsidR="007F0923" w:rsidRPr="007F0923" w:rsidRDefault="007F0923" w:rsidP="004A2C03">
            <w:pPr>
              <w:jc w:val="center"/>
              <w:rPr>
                <w:color w:val="auto"/>
              </w:rPr>
            </w:pPr>
          </w:p>
        </w:tc>
      </w:tr>
      <w:tr w:rsidR="007F0923" w14:paraId="2C8CDA00" w14:textId="77777777" w:rsidTr="00CF6860">
        <w:tc>
          <w:tcPr>
            <w:tcW w:w="1120" w:type="pct"/>
            <w:noWrap/>
          </w:tcPr>
          <w:p w14:paraId="07260708" w14:textId="0F17DF1C" w:rsidR="007F0923" w:rsidRPr="007F0923" w:rsidRDefault="007F0923" w:rsidP="00A539FC">
            <w:pPr>
              <w:jc w:val="center"/>
              <w:rPr>
                <w:color w:val="auto"/>
              </w:rPr>
            </w:pPr>
            <w:r w:rsidRPr="007F0923">
              <w:rPr>
                <w:color w:val="auto"/>
              </w:rPr>
              <w:t>PHS + Usual Care</w:t>
            </w:r>
          </w:p>
        </w:tc>
        <w:tc>
          <w:tcPr>
            <w:tcW w:w="1357" w:type="pct"/>
          </w:tcPr>
          <w:p w14:paraId="58E86E3C" w14:textId="5BEEE010" w:rsidR="007F0923" w:rsidRPr="007F0923" w:rsidRDefault="007F0923" w:rsidP="004A2C03">
            <w:pPr>
              <w:pStyle w:val="DecimalAligned"/>
              <w:jc w:val="center"/>
              <w:rPr>
                <w:color w:val="auto"/>
              </w:rPr>
            </w:pPr>
            <w:r w:rsidRPr="007F0923">
              <w:rPr>
                <w:color w:val="auto"/>
              </w:rPr>
              <w:t>$76,760</w:t>
            </w:r>
          </w:p>
        </w:tc>
        <w:tc>
          <w:tcPr>
            <w:tcW w:w="849" w:type="pct"/>
          </w:tcPr>
          <w:p w14:paraId="5737D68E" w14:textId="7366F576" w:rsidR="007F0923" w:rsidRPr="007F0923" w:rsidRDefault="007F0923" w:rsidP="004A2C03">
            <w:pPr>
              <w:pStyle w:val="DecimalAligned"/>
              <w:jc w:val="center"/>
              <w:rPr>
                <w:color w:val="auto"/>
              </w:rPr>
            </w:pPr>
            <w:r>
              <w:rPr>
                <w:color w:val="auto"/>
              </w:rPr>
              <w:t>23.71</w:t>
            </w:r>
          </w:p>
        </w:tc>
        <w:tc>
          <w:tcPr>
            <w:tcW w:w="849" w:type="pct"/>
          </w:tcPr>
          <w:p w14:paraId="67D9D3B4" w14:textId="5CB99938" w:rsidR="007F0923" w:rsidRPr="007F0923" w:rsidRDefault="007F0923" w:rsidP="004A2C03">
            <w:pPr>
              <w:pStyle w:val="DecimalAligned"/>
              <w:jc w:val="center"/>
              <w:rPr>
                <w:color w:val="auto"/>
              </w:rPr>
            </w:pPr>
            <w:r w:rsidRPr="007F0923">
              <w:rPr>
                <w:color w:val="auto"/>
              </w:rPr>
              <w:t>15.63</w:t>
            </w:r>
          </w:p>
        </w:tc>
        <w:tc>
          <w:tcPr>
            <w:tcW w:w="826" w:type="pct"/>
          </w:tcPr>
          <w:p w14:paraId="2A9B8D6A" w14:textId="38214A19" w:rsidR="007F0923" w:rsidRPr="007F0923" w:rsidRDefault="007F0923" w:rsidP="004A2C03">
            <w:pPr>
              <w:pStyle w:val="DecimalAligned"/>
              <w:jc w:val="center"/>
              <w:rPr>
                <w:color w:val="auto"/>
              </w:rPr>
            </w:pPr>
          </w:p>
        </w:tc>
      </w:tr>
      <w:tr w:rsidR="007F0923" w14:paraId="726C59BF" w14:textId="77777777" w:rsidTr="00CF6860">
        <w:tc>
          <w:tcPr>
            <w:tcW w:w="1120" w:type="pct"/>
            <w:noWrap/>
          </w:tcPr>
          <w:p w14:paraId="3293F835" w14:textId="51B9FA7C" w:rsidR="007F0923" w:rsidRPr="007F0923" w:rsidRDefault="007F0923" w:rsidP="00A539FC">
            <w:pPr>
              <w:jc w:val="center"/>
              <w:rPr>
                <w:color w:val="auto"/>
              </w:rPr>
            </w:pPr>
            <w:r w:rsidRPr="007F0923">
              <w:rPr>
                <w:color w:val="auto"/>
              </w:rPr>
              <w:t>Usual Care</w:t>
            </w:r>
          </w:p>
        </w:tc>
        <w:tc>
          <w:tcPr>
            <w:tcW w:w="1357" w:type="pct"/>
          </w:tcPr>
          <w:p w14:paraId="3E6D5524" w14:textId="073B44AB" w:rsidR="007F0923" w:rsidRPr="007F0923" w:rsidRDefault="007F0923" w:rsidP="004A2C03">
            <w:pPr>
              <w:pStyle w:val="DecimalAligned"/>
              <w:jc w:val="center"/>
              <w:rPr>
                <w:color w:val="auto"/>
              </w:rPr>
            </w:pPr>
            <w:r w:rsidRPr="007F0923">
              <w:rPr>
                <w:color w:val="auto"/>
              </w:rPr>
              <w:t>$73,357</w:t>
            </w:r>
          </w:p>
        </w:tc>
        <w:tc>
          <w:tcPr>
            <w:tcW w:w="849" w:type="pct"/>
          </w:tcPr>
          <w:p w14:paraId="6504ACDB" w14:textId="406EBD75" w:rsidR="007F0923" w:rsidRPr="007F0923" w:rsidRDefault="007F0923" w:rsidP="004A2C03">
            <w:pPr>
              <w:pStyle w:val="DecimalAligned"/>
              <w:jc w:val="center"/>
              <w:rPr>
                <w:color w:val="auto"/>
              </w:rPr>
            </w:pPr>
            <w:r>
              <w:rPr>
                <w:color w:val="auto"/>
              </w:rPr>
              <w:t>22.86</w:t>
            </w:r>
          </w:p>
        </w:tc>
        <w:tc>
          <w:tcPr>
            <w:tcW w:w="849" w:type="pct"/>
          </w:tcPr>
          <w:p w14:paraId="71A5EAA8" w14:textId="142EDDEE" w:rsidR="007F0923" w:rsidRPr="007F0923" w:rsidRDefault="007F0923" w:rsidP="004A2C03">
            <w:pPr>
              <w:pStyle w:val="DecimalAligned"/>
              <w:jc w:val="center"/>
              <w:rPr>
                <w:color w:val="auto"/>
              </w:rPr>
            </w:pPr>
            <w:r w:rsidRPr="007F0923">
              <w:rPr>
                <w:color w:val="auto"/>
              </w:rPr>
              <w:t>15.06</w:t>
            </w:r>
          </w:p>
        </w:tc>
        <w:tc>
          <w:tcPr>
            <w:tcW w:w="826" w:type="pct"/>
          </w:tcPr>
          <w:p w14:paraId="05283455" w14:textId="5595ED52" w:rsidR="007F0923" w:rsidRPr="007F0923" w:rsidRDefault="007F0923" w:rsidP="004A2C03">
            <w:pPr>
              <w:pStyle w:val="DecimalAligned"/>
              <w:jc w:val="center"/>
              <w:rPr>
                <w:color w:val="auto"/>
              </w:rPr>
            </w:pPr>
          </w:p>
        </w:tc>
      </w:tr>
      <w:tr w:rsidR="007F0923" w14:paraId="2DCE52FF" w14:textId="77777777" w:rsidTr="00CF6860">
        <w:tc>
          <w:tcPr>
            <w:tcW w:w="1120" w:type="pct"/>
            <w:noWrap/>
          </w:tcPr>
          <w:p w14:paraId="41BBEF6B" w14:textId="3424BA95" w:rsidR="007F0923" w:rsidRPr="007F0923" w:rsidRDefault="007F0923" w:rsidP="007F0923">
            <w:pPr>
              <w:jc w:val="center"/>
              <w:rPr>
                <w:color w:val="auto"/>
              </w:rPr>
            </w:pPr>
            <w:r>
              <w:rPr>
                <w:color w:val="auto"/>
              </w:rPr>
              <w:t>Difference</w:t>
            </w:r>
          </w:p>
        </w:tc>
        <w:tc>
          <w:tcPr>
            <w:tcW w:w="1357" w:type="pct"/>
            <w:vAlign w:val="bottom"/>
          </w:tcPr>
          <w:p w14:paraId="61DCBF99" w14:textId="253708A3" w:rsidR="007F0923" w:rsidRPr="007F0923" w:rsidRDefault="007F0923" w:rsidP="004A2C03">
            <w:pPr>
              <w:pStyle w:val="DecimalAligned"/>
              <w:jc w:val="center"/>
              <w:rPr>
                <w:color w:val="auto"/>
              </w:rPr>
            </w:pPr>
            <w:r>
              <w:rPr>
                <w:color w:val="auto"/>
              </w:rPr>
              <w:t>$3,403</w:t>
            </w:r>
          </w:p>
        </w:tc>
        <w:tc>
          <w:tcPr>
            <w:tcW w:w="849" w:type="pct"/>
          </w:tcPr>
          <w:p w14:paraId="5A857CAC" w14:textId="71B454D0" w:rsidR="007F0923" w:rsidRPr="007F0923" w:rsidRDefault="00B8376C" w:rsidP="004A2C03">
            <w:pPr>
              <w:pStyle w:val="DecimalAligned"/>
              <w:jc w:val="center"/>
              <w:rPr>
                <w:color w:val="auto"/>
              </w:rPr>
            </w:pPr>
            <w:r>
              <w:rPr>
                <w:color w:val="auto"/>
              </w:rPr>
              <w:t>0.85</w:t>
            </w:r>
          </w:p>
        </w:tc>
        <w:tc>
          <w:tcPr>
            <w:tcW w:w="849" w:type="pct"/>
            <w:vAlign w:val="bottom"/>
          </w:tcPr>
          <w:p w14:paraId="6CAF47B7" w14:textId="4B532ADC" w:rsidR="007F0923" w:rsidRPr="007F0923" w:rsidRDefault="007F0923" w:rsidP="004A2C03">
            <w:pPr>
              <w:pStyle w:val="DecimalAligned"/>
              <w:jc w:val="center"/>
              <w:rPr>
                <w:color w:val="auto"/>
              </w:rPr>
            </w:pPr>
            <w:r>
              <w:rPr>
                <w:color w:val="auto"/>
              </w:rPr>
              <w:t>0.57</w:t>
            </w:r>
          </w:p>
        </w:tc>
        <w:tc>
          <w:tcPr>
            <w:tcW w:w="826" w:type="pct"/>
            <w:vAlign w:val="bottom"/>
          </w:tcPr>
          <w:p w14:paraId="1B5F3058" w14:textId="41705992" w:rsidR="007F0923" w:rsidRPr="007F0923" w:rsidRDefault="007F0923" w:rsidP="004A2C03">
            <w:pPr>
              <w:pStyle w:val="DecimalAligned"/>
              <w:jc w:val="center"/>
              <w:rPr>
                <w:color w:val="auto"/>
              </w:rPr>
            </w:pPr>
            <w:r w:rsidRPr="007F0923">
              <w:rPr>
                <w:color w:val="auto"/>
              </w:rPr>
              <w:t>$6,022/QALY</w:t>
            </w:r>
          </w:p>
        </w:tc>
      </w:tr>
      <w:tr w:rsidR="007F0923" w14:paraId="41BD5C2E" w14:textId="77777777" w:rsidTr="00CF6860">
        <w:tc>
          <w:tcPr>
            <w:tcW w:w="1120" w:type="pct"/>
            <w:noWrap/>
          </w:tcPr>
          <w:p w14:paraId="5F52CEDC" w14:textId="60217608" w:rsidR="007F0923" w:rsidRPr="007F0923" w:rsidRDefault="007F0923" w:rsidP="004A2C03">
            <w:pPr>
              <w:rPr>
                <w:b/>
                <w:color w:val="auto"/>
              </w:rPr>
            </w:pPr>
            <w:r w:rsidRPr="007F0923">
              <w:rPr>
                <w:b/>
                <w:color w:val="auto"/>
              </w:rPr>
              <w:t>Male</w:t>
            </w:r>
          </w:p>
        </w:tc>
        <w:tc>
          <w:tcPr>
            <w:tcW w:w="1357" w:type="pct"/>
            <w:vAlign w:val="bottom"/>
          </w:tcPr>
          <w:p w14:paraId="06D6C00B" w14:textId="3243C6E2" w:rsidR="007F0923" w:rsidRPr="007F0923" w:rsidRDefault="007F0923" w:rsidP="004A2C03">
            <w:pPr>
              <w:pStyle w:val="DecimalAligned"/>
              <w:jc w:val="center"/>
              <w:rPr>
                <w:color w:val="auto"/>
              </w:rPr>
            </w:pPr>
          </w:p>
        </w:tc>
        <w:tc>
          <w:tcPr>
            <w:tcW w:w="849" w:type="pct"/>
          </w:tcPr>
          <w:p w14:paraId="59ED9EC9" w14:textId="77777777" w:rsidR="007F0923" w:rsidRPr="007F0923" w:rsidRDefault="007F0923" w:rsidP="004A2C03">
            <w:pPr>
              <w:pStyle w:val="DecimalAligned"/>
              <w:jc w:val="center"/>
              <w:rPr>
                <w:color w:val="auto"/>
              </w:rPr>
            </w:pPr>
          </w:p>
        </w:tc>
        <w:tc>
          <w:tcPr>
            <w:tcW w:w="849" w:type="pct"/>
            <w:vAlign w:val="bottom"/>
          </w:tcPr>
          <w:p w14:paraId="77920B9B" w14:textId="4E0CBE4E" w:rsidR="007F0923" w:rsidRPr="007F0923" w:rsidRDefault="007F0923" w:rsidP="004A2C03">
            <w:pPr>
              <w:pStyle w:val="DecimalAligned"/>
              <w:jc w:val="center"/>
              <w:rPr>
                <w:color w:val="auto"/>
              </w:rPr>
            </w:pPr>
          </w:p>
        </w:tc>
        <w:tc>
          <w:tcPr>
            <w:tcW w:w="826" w:type="pct"/>
            <w:vAlign w:val="bottom"/>
          </w:tcPr>
          <w:p w14:paraId="38D4408E" w14:textId="708829D9" w:rsidR="007F0923" w:rsidRPr="007F0923" w:rsidRDefault="007F0923" w:rsidP="004A2C03">
            <w:pPr>
              <w:pStyle w:val="DecimalAligned"/>
              <w:jc w:val="center"/>
              <w:rPr>
                <w:color w:val="auto"/>
              </w:rPr>
            </w:pPr>
          </w:p>
        </w:tc>
      </w:tr>
      <w:tr w:rsidR="007F0923" w14:paraId="6660A734" w14:textId="77777777" w:rsidTr="00CF6860">
        <w:tc>
          <w:tcPr>
            <w:tcW w:w="1120" w:type="pct"/>
            <w:noWrap/>
          </w:tcPr>
          <w:p w14:paraId="18862D53" w14:textId="23BAE395" w:rsidR="007F0923" w:rsidRPr="007F0923" w:rsidRDefault="007F0923" w:rsidP="00A539FC">
            <w:pPr>
              <w:jc w:val="center"/>
              <w:rPr>
                <w:color w:val="auto"/>
              </w:rPr>
            </w:pPr>
            <w:r w:rsidRPr="007F0923">
              <w:rPr>
                <w:color w:val="auto"/>
              </w:rPr>
              <w:t>PHS + Usual Care</w:t>
            </w:r>
          </w:p>
        </w:tc>
        <w:tc>
          <w:tcPr>
            <w:tcW w:w="1357" w:type="pct"/>
          </w:tcPr>
          <w:p w14:paraId="6E85901B" w14:textId="30D6C470" w:rsidR="007F0923" w:rsidRPr="007F0923" w:rsidRDefault="007F0923" w:rsidP="00A539FC">
            <w:pPr>
              <w:pStyle w:val="DecimalAligned"/>
              <w:jc w:val="center"/>
              <w:rPr>
                <w:color w:val="auto"/>
              </w:rPr>
            </w:pPr>
            <w:r w:rsidRPr="007F0923">
              <w:rPr>
                <w:color w:val="auto"/>
              </w:rPr>
              <w:t>$74,866</w:t>
            </w:r>
          </w:p>
        </w:tc>
        <w:tc>
          <w:tcPr>
            <w:tcW w:w="849" w:type="pct"/>
          </w:tcPr>
          <w:p w14:paraId="4701A1E3" w14:textId="6D110160" w:rsidR="007F0923" w:rsidRPr="007F0923" w:rsidRDefault="007F0923" w:rsidP="00A539FC">
            <w:pPr>
              <w:pStyle w:val="DecimalAligned"/>
              <w:jc w:val="center"/>
              <w:rPr>
                <w:color w:val="auto"/>
              </w:rPr>
            </w:pPr>
            <w:r w:rsidRPr="007F0923">
              <w:rPr>
                <w:color w:val="auto"/>
              </w:rPr>
              <w:t>22.46</w:t>
            </w:r>
          </w:p>
        </w:tc>
        <w:tc>
          <w:tcPr>
            <w:tcW w:w="849" w:type="pct"/>
          </w:tcPr>
          <w:p w14:paraId="14F65C8A" w14:textId="0BF166CE" w:rsidR="007F0923" w:rsidRPr="007F0923" w:rsidRDefault="007F0923" w:rsidP="00A539FC">
            <w:pPr>
              <w:pStyle w:val="DecimalAligned"/>
              <w:jc w:val="center"/>
              <w:rPr>
                <w:color w:val="auto"/>
              </w:rPr>
            </w:pPr>
            <w:r w:rsidRPr="007F0923">
              <w:rPr>
                <w:color w:val="auto"/>
              </w:rPr>
              <w:t>14.80</w:t>
            </w:r>
          </w:p>
        </w:tc>
        <w:tc>
          <w:tcPr>
            <w:tcW w:w="826" w:type="pct"/>
          </w:tcPr>
          <w:p w14:paraId="4A48D002" w14:textId="5BAE36BC" w:rsidR="007F0923" w:rsidRPr="007F0923" w:rsidRDefault="007F0923" w:rsidP="00A539FC">
            <w:pPr>
              <w:pStyle w:val="DecimalAligned"/>
              <w:jc w:val="center"/>
              <w:rPr>
                <w:color w:val="auto"/>
              </w:rPr>
            </w:pPr>
          </w:p>
        </w:tc>
      </w:tr>
      <w:tr w:rsidR="007F0923" w14:paraId="18A1E16D" w14:textId="77777777" w:rsidTr="00CF6860">
        <w:tc>
          <w:tcPr>
            <w:tcW w:w="1120" w:type="pct"/>
            <w:tcBorders>
              <w:bottom w:val="nil"/>
            </w:tcBorders>
            <w:noWrap/>
          </w:tcPr>
          <w:p w14:paraId="24FB64DD" w14:textId="7712DB63" w:rsidR="007F0923" w:rsidRPr="007F0923" w:rsidRDefault="007F0923" w:rsidP="00A539FC">
            <w:pPr>
              <w:jc w:val="center"/>
              <w:rPr>
                <w:color w:val="auto"/>
              </w:rPr>
            </w:pPr>
            <w:r w:rsidRPr="007F0923">
              <w:rPr>
                <w:color w:val="auto"/>
              </w:rPr>
              <w:t>Usual Care</w:t>
            </w:r>
          </w:p>
        </w:tc>
        <w:tc>
          <w:tcPr>
            <w:tcW w:w="1357" w:type="pct"/>
            <w:tcBorders>
              <w:bottom w:val="nil"/>
            </w:tcBorders>
          </w:tcPr>
          <w:p w14:paraId="5B592622" w14:textId="42B56A17" w:rsidR="007F0923" w:rsidRPr="007F0923" w:rsidRDefault="007F0923" w:rsidP="00A539FC">
            <w:pPr>
              <w:pStyle w:val="DecimalAligned"/>
              <w:jc w:val="center"/>
              <w:rPr>
                <w:rFonts w:ascii="Arial" w:hAnsi="Arial" w:cs="Arial"/>
                <w:color w:val="auto"/>
                <w:sz w:val="20"/>
                <w:szCs w:val="20"/>
              </w:rPr>
            </w:pPr>
            <w:r w:rsidRPr="007F0923">
              <w:rPr>
                <w:color w:val="auto"/>
              </w:rPr>
              <w:t>$71,573</w:t>
            </w:r>
          </w:p>
        </w:tc>
        <w:tc>
          <w:tcPr>
            <w:tcW w:w="849" w:type="pct"/>
            <w:tcBorders>
              <w:bottom w:val="nil"/>
            </w:tcBorders>
          </w:tcPr>
          <w:p w14:paraId="00ED2B65" w14:textId="1139AF91" w:rsidR="007F0923" w:rsidRPr="007F0923" w:rsidRDefault="007F0923" w:rsidP="00A539FC">
            <w:pPr>
              <w:pStyle w:val="DecimalAligned"/>
              <w:jc w:val="center"/>
              <w:rPr>
                <w:color w:val="auto"/>
              </w:rPr>
            </w:pPr>
            <w:r w:rsidRPr="007F0923">
              <w:rPr>
                <w:color w:val="auto"/>
              </w:rPr>
              <w:t>21.68</w:t>
            </w:r>
          </w:p>
        </w:tc>
        <w:tc>
          <w:tcPr>
            <w:tcW w:w="849" w:type="pct"/>
            <w:tcBorders>
              <w:bottom w:val="nil"/>
            </w:tcBorders>
          </w:tcPr>
          <w:p w14:paraId="0618DADE" w14:textId="24AC4C05" w:rsidR="007F0923" w:rsidRPr="007F0923" w:rsidRDefault="007F0923" w:rsidP="00A539FC">
            <w:pPr>
              <w:pStyle w:val="DecimalAligned"/>
              <w:jc w:val="center"/>
              <w:rPr>
                <w:rFonts w:ascii="Arial" w:hAnsi="Arial" w:cs="Arial"/>
                <w:color w:val="auto"/>
                <w:sz w:val="20"/>
                <w:szCs w:val="20"/>
              </w:rPr>
            </w:pPr>
            <w:r w:rsidRPr="007F0923">
              <w:rPr>
                <w:color w:val="auto"/>
              </w:rPr>
              <w:t>14.28</w:t>
            </w:r>
          </w:p>
        </w:tc>
        <w:tc>
          <w:tcPr>
            <w:tcW w:w="826" w:type="pct"/>
            <w:tcBorders>
              <w:bottom w:val="nil"/>
            </w:tcBorders>
          </w:tcPr>
          <w:p w14:paraId="02913B70" w14:textId="42B34A88" w:rsidR="007F0923" w:rsidRPr="007F0923" w:rsidRDefault="007F0923" w:rsidP="00A539FC">
            <w:pPr>
              <w:pStyle w:val="DecimalAligned"/>
              <w:jc w:val="center"/>
              <w:rPr>
                <w:rFonts w:ascii="Arial" w:hAnsi="Arial" w:cs="Arial"/>
                <w:color w:val="auto"/>
                <w:sz w:val="20"/>
                <w:szCs w:val="20"/>
              </w:rPr>
            </w:pPr>
          </w:p>
        </w:tc>
      </w:tr>
      <w:tr w:rsidR="007F0923" w14:paraId="451A973F" w14:textId="77777777" w:rsidTr="00CF6860">
        <w:tc>
          <w:tcPr>
            <w:tcW w:w="1120" w:type="pct"/>
            <w:tcBorders>
              <w:top w:val="nil"/>
              <w:bottom w:val="nil"/>
            </w:tcBorders>
            <w:noWrap/>
          </w:tcPr>
          <w:p w14:paraId="1551CCBF" w14:textId="1F622555" w:rsidR="007F0923" w:rsidRPr="007F0923" w:rsidRDefault="007F0923" w:rsidP="007F0923">
            <w:pPr>
              <w:jc w:val="center"/>
              <w:rPr>
                <w:b/>
                <w:color w:val="auto"/>
              </w:rPr>
            </w:pPr>
            <w:r w:rsidRPr="007F0923">
              <w:rPr>
                <w:b/>
                <w:color w:val="auto"/>
              </w:rPr>
              <w:t>Difference</w:t>
            </w:r>
          </w:p>
        </w:tc>
        <w:tc>
          <w:tcPr>
            <w:tcW w:w="1357" w:type="pct"/>
            <w:tcBorders>
              <w:top w:val="nil"/>
              <w:bottom w:val="nil"/>
            </w:tcBorders>
            <w:vAlign w:val="bottom"/>
          </w:tcPr>
          <w:p w14:paraId="7E288410" w14:textId="133EF13E" w:rsidR="007F0923" w:rsidRPr="007F0923" w:rsidRDefault="007F0923" w:rsidP="007F0923">
            <w:pPr>
              <w:pStyle w:val="DecimalAligned"/>
              <w:jc w:val="center"/>
              <w:rPr>
                <w:rFonts w:ascii="Arial" w:hAnsi="Arial" w:cs="Arial"/>
                <w:b/>
                <w:color w:val="auto"/>
                <w:sz w:val="20"/>
                <w:szCs w:val="20"/>
              </w:rPr>
            </w:pPr>
            <w:r>
              <w:rPr>
                <w:rFonts w:ascii="Arial" w:hAnsi="Arial" w:cs="Arial"/>
                <w:b/>
                <w:color w:val="auto"/>
                <w:sz w:val="20"/>
                <w:szCs w:val="20"/>
              </w:rPr>
              <w:t>$3,293</w:t>
            </w:r>
          </w:p>
        </w:tc>
        <w:tc>
          <w:tcPr>
            <w:tcW w:w="849" w:type="pct"/>
            <w:tcBorders>
              <w:top w:val="nil"/>
              <w:bottom w:val="nil"/>
            </w:tcBorders>
          </w:tcPr>
          <w:p w14:paraId="7D5A0AC2" w14:textId="13AA2571" w:rsidR="007F0923" w:rsidRPr="007F0923" w:rsidRDefault="007F0923" w:rsidP="007F0923">
            <w:pPr>
              <w:pStyle w:val="DecimalAligned"/>
              <w:jc w:val="center"/>
              <w:rPr>
                <w:rFonts w:ascii="Arial" w:hAnsi="Arial" w:cs="Arial"/>
                <w:b/>
                <w:color w:val="auto"/>
                <w:sz w:val="20"/>
                <w:szCs w:val="20"/>
              </w:rPr>
            </w:pPr>
            <w:r>
              <w:rPr>
                <w:rFonts w:ascii="Arial" w:hAnsi="Arial" w:cs="Arial"/>
                <w:b/>
                <w:color w:val="auto"/>
                <w:sz w:val="20"/>
                <w:szCs w:val="20"/>
              </w:rPr>
              <w:t>0.78</w:t>
            </w:r>
          </w:p>
        </w:tc>
        <w:tc>
          <w:tcPr>
            <w:tcW w:w="849" w:type="pct"/>
            <w:tcBorders>
              <w:top w:val="nil"/>
              <w:bottom w:val="nil"/>
            </w:tcBorders>
            <w:vAlign w:val="bottom"/>
          </w:tcPr>
          <w:p w14:paraId="735F615B" w14:textId="70B99650" w:rsidR="007F0923" w:rsidRPr="007F0923" w:rsidRDefault="007F0923" w:rsidP="007F0923">
            <w:pPr>
              <w:pStyle w:val="DecimalAligned"/>
              <w:jc w:val="center"/>
              <w:rPr>
                <w:rFonts w:ascii="Arial" w:hAnsi="Arial" w:cs="Arial"/>
                <w:b/>
                <w:color w:val="auto"/>
                <w:sz w:val="20"/>
                <w:szCs w:val="20"/>
              </w:rPr>
            </w:pPr>
            <w:r w:rsidRPr="007F0923">
              <w:rPr>
                <w:rFonts w:ascii="Arial" w:hAnsi="Arial" w:cs="Arial"/>
                <w:b/>
                <w:color w:val="auto"/>
                <w:sz w:val="20"/>
                <w:szCs w:val="20"/>
              </w:rPr>
              <w:t>0.52</w:t>
            </w:r>
          </w:p>
        </w:tc>
        <w:tc>
          <w:tcPr>
            <w:tcW w:w="826" w:type="pct"/>
            <w:tcBorders>
              <w:top w:val="nil"/>
              <w:bottom w:val="nil"/>
            </w:tcBorders>
            <w:vAlign w:val="bottom"/>
          </w:tcPr>
          <w:p w14:paraId="2D26D087" w14:textId="2DFC41AD" w:rsidR="007F0923" w:rsidRPr="007F0923" w:rsidRDefault="007F0923" w:rsidP="007F0923">
            <w:pPr>
              <w:pStyle w:val="DecimalAligned"/>
              <w:jc w:val="center"/>
              <w:rPr>
                <w:rFonts w:ascii="Arial" w:hAnsi="Arial" w:cs="Arial"/>
                <w:b/>
                <w:color w:val="auto"/>
                <w:sz w:val="20"/>
                <w:szCs w:val="20"/>
              </w:rPr>
            </w:pPr>
            <w:r w:rsidRPr="007F0923">
              <w:rPr>
                <w:b/>
                <w:color w:val="auto"/>
              </w:rPr>
              <w:t>$6,370/QALY</w:t>
            </w:r>
          </w:p>
        </w:tc>
      </w:tr>
      <w:tr w:rsidR="00CF6860" w14:paraId="64D7440C" w14:textId="77777777" w:rsidTr="00CF6860">
        <w:tc>
          <w:tcPr>
            <w:tcW w:w="1120" w:type="pct"/>
            <w:tcBorders>
              <w:top w:val="nil"/>
              <w:bottom w:val="nil"/>
            </w:tcBorders>
            <w:noWrap/>
          </w:tcPr>
          <w:p w14:paraId="61B27EF4" w14:textId="4957CA8B" w:rsidR="00CF6860" w:rsidRPr="00CF6860" w:rsidRDefault="00CF6860" w:rsidP="00CF6860">
            <w:pPr>
              <w:rPr>
                <w:b/>
                <w:color w:val="auto"/>
                <w:sz w:val="28"/>
                <w:szCs w:val="28"/>
              </w:rPr>
            </w:pPr>
            <w:r>
              <w:rPr>
                <w:b/>
                <w:color w:val="auto"/>
                <w:sz w:val="28"/>
                <w:szCs w:val="28"/>
              </w:rPr>
              <w:t>Scenario</w:t>
            </w:r>
          </w:p>
          <w:p w14:paraId="17BD471C" w14:textId="77777777" w:rsidR="00CF6860" w:rsidRPr="007F0923" w:rsidRDefault="00CF6860" w:rsidP="00CF6860">
            <w:pPr>
              <w:rPr>
                <w:b/>
                <w:color w:val="auto"/>
              </w:rPr>
            </w:pPr>
            <w:r w:rsidRPr="007F0923">
              <w:rPr>
                <w:b/>
                <w:color w:val="auto"/>
              </w:rPr>
              <w:t>Female</w:t>
            </w:r>
          </w:p>
          <w:p w14:paraId="21B563C0" w14:textId="77777777" w:rsidR="00CF6860" w:rsidRPr="007F0923" w:rsidRDefault="00CF6860" w:rsidP="00CF6860">
            <w:pPr>
              <w:jc w:val="center"/>
              <w:rPr>
                <w:b/>
              </w:rPr>
            </w:pPr>
          </w:p>
        </w:tc>
        <w:tc>
          <w:tcPr>
            <w:tcW w:w="1357" w:type="pct"/>
            <w:tcBorders>
              <w:top w:val="nil"/>
              <w:bottom w:val="nil"/>
            </w:tcBorders>
          </w:tcPr>
          <w:p w14:paraId="46C0703A"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tcPr>
          <w:p w14:paraId="5F9E32BE"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tcPr>
          <w:p w14:paraId="530D7C69" w14:textId="77777777" w:rsidR="00CF6860" w:rsidRPr="007F0923" w:rsidRDefault="00CF6860" w:rsidP="00CF6860">
            <w:pPr>
              <w:pStyle w:val="DecimalAligned"/>
              <w:jc w:val="center"/>
              <w:rPr>
                <w:rFonts w:ascii="Arial" w:hAnsi="Arial" w:cs="Arial"/>
                <w:b/>
                <w:sz w:val="20"/>
                <w:szCs w:val="20"/>
              </w:rPr>
            </w:pPr>
          </w:p>
        </w:tc>
        <w:tc>
          <w:tcPr>
            <w:tcW w:w="826" w:type="pct"/>
            <w:tcBorders>
              <w:top w:val="nil"/>
              <w:bottom w:val="nil"/>
            </w:tcBorders>
          </w:tcPr>
          <w:p w14:paraId="476ABCBC" w14:textId="77777777" w:rsidR="00CF6860" w:rsidRPr="007F0923" w:rsidRDefault="00CF6860" w:rsidP="00CF6860">
            <w:pPr>
              <w:pStyle w:val="DecimalAligned"/>
              <w:jc w:val="center"/>
              <w:rPr>
                <w:b/>
              </w:rPr>
            </w:pPr>
          </w:p>
        </w:tc>
      </w:tr>
      <w:tr w:rsidR="00CF6860" w14:paraId="248B4080" w14:textId="77777777" w:rsidTr="00CF6860">
        <w:tc>
          <w:tcPr>
            <w:tcW w:w="1120" w:type="pct"/>
            <w:tcBorders>
              <w:top w:val="nil"/>
              <w:bottom w:val="nil"/>
            </w:tcBorders>
            <w:noWrap/>
          </w:tcPr>
          <w:p w14:paraId="315A72B3" w14:textId="535DC94C" w:rsidR="00CF6860" w:rsidRPr="007F0923" w:rsidRDefault="00CF6860" w:rsidP="00CF6860">
            <w:pPr>
              <w:jc w:val="center"/>
              <w:rPr>
                <w:b/>
              </w:rPr>
            </w:pPr>
            <w:r w:rsidRPr="007F0923">
              <w:rPr>
                <w:color w:val="auto"/>
              </w:rPr>
              <w:t>PHS + Usual Care</w:t>
            </w:r>
          </w:p>
        </w:tc>
        <w:tc>
          <w:tcPr>
            <w:tcW w:w="1357" w:type="pct"/>
            <w:tcBorders>
              <w:top w:val="nil"/>
              <w:bottom w:val="nil"/>
            </w:tcBorders>
          </w:tcPr>
          <w:p w14:paraId="75EF1DE8" w14:textId="4E267363" w:rsidR="00CF6860" w:rsidRDefault="00CF6860" w:rsidP="00CF6860">
            <w:pPr>
              <w:pStyle w:val="DecimalAligned"/>
              <w:jc w:val="center"/>
              <w:rPr>
                <w:rFonts w:ascii="Arial" w:hAnsi="Arial" w:cs="Arial"/>
                <w:b/>
                <w:sz w:val="20"/>
                <w:szCs w:val="20"/>
              </w:rPr>
            </w:pPr>
            <w:r>
              <w:rPr>
                <w:color w:val="auto"/>
              </w:rPr>
              <w:t>$74</w:t>
            </w:r>
            <w:r w:rsidRPr="007F0923">
              <w:rPr>
                <w:color w:val="auto"/>
              </w:rPr>
              <w:t>,</w:t>
            </w:r>
            <w:r>
              <w:rPr>
                <w:color w:val="auto"/>
              </w:rPr>
              <w:t>782</w:t>
            </w:r>
          </w:p>
        </w:tc>
        <w:tc>
          <w:tcPr>
            <w:tcW w:w="849" w:type="pct"/>
            <w:tcBorders>
              <w:top w:val="nil"/>
              <w:bottom w:val="nil"/>
            </w:tcBorders>
          </w:tcPr>
          <w:p w14:paraId="715B4829" w14:textId="1B5E1DD4" w:rsidR="00CF6860" w:rsidRPr="005D4033" w:rsidRDefault="005D4033" w:rsidP="00CF6860">
            <w:pPr>
              <w:pStyle w:val="DecimalAligned"/>
              <w:jc w:val="center"/>
              <w:rPr>
                <w:rFonts w:ascii="Arial" w:hAnsi="Arial" w:cs="Arial"/>
                <w:color w:val="auto"/>
                <w:sz w:val="20"/>
                <w:szCs w:val="20"/>
              </w:rPr>
            </w:pPr>
            <w:r w:rsidRPr="005D4033">
              <w:rPr>
                <w:rFonts w:ascii="Arial" w:hAnsi="Arial" w:cs="Arial"/>
                <w:color w:val="auto"/>
                <w:sz w:val="20"/>
                <w:szCs w:val="20"/>
              </w:rPr>
              <w:t>23.15</w:t>
            </w:r>
          </w:p>
        </w:tc>
        <w:tc>
          <w:tcPr>
            <w:tcW w:w="849" w:type="pct"/>
            <w:tcBorders>
              <w:top w:val="nil"/>
              <w:bottom w:val="nil"/>
            </w:tcBorders>
          </w:tcPr>
          <w:p w14:paraId="55EC48E6" w14:textId="4C00B7A7" w:rsidR="00CF6860" w:rsidRPr="007F0923" w:rsidRDefault="005D4033" w:rsidP="00CF6860">
            <w:pPr>
              <w:pStyle w:val="DecimalAligned"/>
              <w:jc w:val="center"/>
              <w:rPr>
                <w:rFonts w:ascii="Arial" w:hAnsi="Arial" w:cs="Arial"/>
                <w:b/>
                <w:sz w:val="20"/>
                <w:szCs w:val="20"/>
              </w:rPr>
            </w:pPr>
            <w:r>
              <w:rPr>
                <w:color w:val="auto"/>
              </w:rPr>
              <w:t>15.2</w:t>
            </w:r>
            <w:r w:rsidR="00CF6860">
              <w:rPr>
                <w:color w:val="auto"/>
              </w:rPr>
              <w:t>6</w:t>
            </w:r>
          </w:p>
        </w:tc>
        <w:tc>
          <w:tcPr>
            <w:tcW w:w="826" w:type="pct"/>
            <w:tcBorders>
              <w:top w:val="nil"/>
              <w:bottom w:val="nil"/>
            </w:tcBorders>
          </w:tcPr>
          <w:p w14:paraId="64B59112" w14:textId="77777777" w:rsidR="00CF6860" w:rsidRPr="007F0923" w:rsidRDefault="00CF6860" w:rsidP="00CF6860">
            <w:pPr>
              <w:pStyle w:val="DecimalAligned"/>
              <w:jc w:val="center"/>
              <w:rPr>
                <w:b/>
              </w:rPr>
            </w:pPr>
          </w:p>
        </w:tc>
      </w:tr>
      <w:tr w:rsidR="00CF6860" w14:paraId="12692B49" w14:textId="77777777" w:rsidTr="00CF6860">
        <w:tc>
          <w:tcPr>
            <w:tcW w:w="1120" w:type="pct"/>
            <w:tcBorders>
              <w:top w:val="nil"/>
              <w:bottom w:val="nil"/>
            </w:tcBorders>
            <w:noWrap/>
          </w:tcPr>
          <w:p w14:paraId="0D3623A1" w14:textId="5E59189F" w:rsidR="00CF6860" w:rsidRPr="007F0923" w:rsidRDefault="00CF6860" w:rsidP="00CF6860">
            <w:pPr>
              <w:jc w:val="center"/>
              <w:rPr>
                <w:b/>
              </w:rPr>
            </w:pPr>
            <w:r w:rsidRPr="007F0923">
              <w:rPr>
                <w:color w:val="auto"/>
              </w:rPr>
              <w:t>Usual Care</w:t>
            </w:r>
          </w:p>
        </w:tc>
        <w:tc>
          <w:tcPr>
            <w:tcW w:w="1357" w:type="pct"/>
            <w:tcBorders>
              <w:top w:val="nil"/>
              <w:bottom w:val="nil"/>
            </w:tcBorders>
          </w:tcPr>
          <w:p w14:paraId="710182A5" w14:textId="48D65043" w:rsidR="00CF6860" w:rsidRDefault="005D4033" w:rsidP="005D4033">
            <w:pPr>
              <w:pStyle w:val="DecimalAligned"/>
              <w:jc w:val="center"/>
              <w:rPr>
                <w:rFonts w:ascii="Arial" w:hAnsi="Arial" w:cs="Arial"/>
                <w:b/>
                <w:sz w:val="20"/>
                <w:szCs w:val="20"/>
              </w:rPr>
            </w:pPr>
            <w:r>
              <w:rPr>
                <w:color w:val="auto"/>
              </w:rPr>
              <w:t>$73</w:t>
            </w:r>
            <w:r w:rsidR="00CF6860" w:rsidRPr="007F0923">
              <w:rPr>
                <w:color w:val="auto"/>
              </w:rPr>
              <w:t>,</w:t>
            </w:r>
            <w:r>
              <w:rPr>
                <w:color w:val="auto"/>
              </w:rPr>
              <w:t>35</w:t>
            </w:r>
            <w:r w:rsidR="00CF6860" w:rsidRPr="007F0923">
              <w:rPr>
                <w:color w:val="auto"/>
              </w:rPr>
              <w:t>7</w:t>
            </w:r>
          </w:p>
        </w:tc>
        <w:tc>
          <w:tcPr>
            <w:tcW w:w="849" w:type="pct"/>
            <w:tcBorders>
              <w:top w:val="nil"/>
              <w:bottom w:val="nil"/>
            </w:tcBorders>
          </w:tcPr>
          <w:p w14:paraId="61FDE5C1" w14:textId="2B691B46" w:rsidR="00CF6860" w:rsidRPr="005D4033" w:rsidRDefault="00CF6860" w:rsidP="00CF6860">
            <w:pPr>
              <w:pStyle w:val="DecimalAligned"/>
              <w:jc w:val="center"/>
              <w:rPr>
                <w:rFonts w:ascii="Arial" w:hAnsi="Arial" w:cs="Arial"/>
                <w:color w:val="auto"/>
                <w:sz w:val="20"/>
                <w:szCs w:val="20"/>
              </w:rPr>
            </w:pPr>
            <w:r w:rsidRPr="005D4033">
              <w:rPr>
                <w:color w:val="auto"/>
              </w:rPr>
              <w:t>22.86</w:t>
            </w:r>
          </w:p>
        </w:tc>
        <w:tc>
          <w:tcPr>
            <w:tcW w:w="849" w:type="pct"/>
            <w:tcBorders>
              <w:top w:val="nil"/>
              <w:bottom w:val="nil"/>
            </w:tcBorders>
          </w:tcPr>
          <w:p w14:paraId="64641A04" w14:textId="17F67FDB" w:rsidR="00CF6860" w:rsidRPr="007F0923" w:rsidRDefault="005D4033" w:rsidP="00CF6860">
            <w:pPr>
              <w:pStyle w:val="DecimalAligned"/>
              <w:jc w:val="center"/>
              <w:rPr>
                <w:rFonts w:ascii="Arial" w:hAnsi="Arial" w:cs="Arial"/>
                <w:b/>
                <w:sz w:val="20"/>
                <w:szCs w:val="20"/>
              </w:rPr>
            </w:pPr>
            <w:r>
              <w:rPr>
                <w:color w:val="auto"/>
              </w:rPr>
              <w:t>15.0</w:t>
            </w:r>
            <w:r w:rsidR="00CF6860" w:rsidRPr="007F0923">
              <w:rPr>
                <w:color w:val="auto"/>
              </w:rPr>
              <w:t>6</w:t>
            </w:r>
          </w:p>
        </w:tc>
        <w:tc>
          <w:tcPr>
            <w:tcW w:w="826" w:type="pct"/>
            <w:tcBorders>
              <w:top w:val="nil"/>
              <w:bottom w:val="nil"/>
            </w:tcBorders>
          </w:tcPr>
          <w:p w14:paraId="6F4703C9" w14:textId="77777777" w:rsidR="00CF6860" w:rsidRPr="007F0923" w:rsidRDefault="00CF6860" w:rsidP="00CF6860">
            <w:pPr>
              <w:pStyle w:val="DecimalAligned"/>
              <w:jc w:val="center"/>
              <w:rPr>
                <w:b/>
              </w:rPr>
            </w:pPr>
          </w:p>
        </w:tc>
      </w:tr>
      <w:tr w:rsidR="00CF6860" w14:paraId="2255503F" w14:textId="77777777" w:rsidTr="00CF6860">
        <w:tc>
          <w:tcPr>
            <w:tcW w:w="1120" w:type="pct"/>
            <w:tcBorders>
              <w:top w:val="nil"/>
              <w:bottom w:val="nil"/>
            </w:tcBorders>
            <w:noWrap/>
          </w:tcPr>
          <w:p w14:paraId="67AE4D55" w14:textId="3C1C404F" w:rsidR="00CF6860" w:rsidRPr="007F0923" w:rsidRDefault="00CF6860" w:rsidP="00CF6860">
            <w:pPr>
              <w:jc w:val="center"/>
              <w:rPr>
                <w:b/>
              </w:rPr>
            </w:pPr>
            <w:r>
              <w:rPr>
                <w:color w:val="auto"/>
              </w:rPr>
              <w:t>Difference</w:t>
            </w:r>
          </w:p>
        </w:tc>
        <w:tc>
          <w:tcPr>
            <w:tcW w:w="1357" w:type="pct"/>
            <w:tcBorders>
              <w:top w:val="nil"/>
              <w:bottom w:val="nil"/>
            </w:tcBorders>
            <w:vAlign w:val="bottom"/>
          </w:tcPr>
          <w:p w14:paraId="24D9B077" w14:textId="285343EC" w:rsidR="00CF6860" w:rsidRDefault="00CF6860" w:rsidP="00CF6860">
            <w:pPr>
              <w:pStyle w:val="DecimalAligned"/>
              <w:jc w:val="center"/>
              <w:rPr>
                <w:rFonts w:ascii="Arial" w:hAnsi="Arial" w:cs="Arial"/>
                <w:b/>
                <w:sz w:val="20"/>
                <w:szCs w:val="20"/>
              </w:rPr>
            </w:pPr>
            <w:r>
              <w:rPr>
                <w:color w:val="auto"/>
              </w:rPr>
              <w:t>$</w:t>
            </w:r>
            <w:r w:rsidR="005D4033">
              <w:rPr>
                <w:color w:val="auto"/>
              </w:rPr>
              <w:t>1,426</w:t>
            </w:r>
          </w:p>
        </w:tc>
        <w:tc>
          <w:tcPr>
            <w:tcW w:w="849" w:type="pct"/>
            <w:tcBorders>
              <w:top w:val="nil"/>
              <w:bottom w:val="nil"/>
            </w:tcBorders>
          </w:tcPr>
          <w:p w14:paraId="4E537F00" w14:textId="2268BF05" w:rsidR="00CF6860" w:rsidRPr="005D4033" w:rsidRDefault="005D4033" w:rsidP="00CF6860">
            <w:pPr>
              <w:pStyle w:val="DecimalAligned"/>
              <w:jc w:val="center"/>
              <w:rPr>
                <w:rFonts w:ascii="Arial" w:hAnsi="Arial" w:cs="Arial"/>
                <w:color w:val="auto"/>
                <w:sz w:val="20"/>
                <w:szCs w:val="20"/>
              </w:rPr>
            </w:pPr>
            <w:r>
              <w:rPr>
                <w:color w:val="auto"/>
              </w:rPr>
              <w:t>0.29</w:t>
            </w:r>
          </w:p>
        </w:tc>
        <w:tc>
          <w:tcPr>
            <w:tcW w:w="849" w:type="pct"/>
            <w:tcBorders>
              <w:top w:val="nil"/>
              <w:bottom w:val="nil"/>
            </w:tcBorders>
            <w:vAlign w:val="bottom"/>
          </w:tcPr>
          <w:p w14:paraId="743BFE8F" w14:textId="3E494162" w:rsidR="00CF6860" w:rsidRPr="007F0923" w:rsidRDefault="005D4033" w:rsidP="00CF6860">
            <w:pPr>
              <w:pStyle w:val="DecimalAligned"/>
              <w:jc w:val="center"/>
              <w:rPr>
                <w:rFonts w:ascii="Arial" w:hAnsi="Arial" w:cs="Arial"/>
                <w:b/>
                <w:sz w:val="20"/>
                <w:szCs w:val="20"/>
              </w:rPr>
            </w:pPr>
            <w:r>
              <w:rPr>
                <w:color w:val="auto"/>
              </w:rPr>
              <w:t>0.19</w:t>
            </w:r>
          </w:p>
        </w:tc>
        <w:tc>
          <w:tcPr>
            <w:tcW w:w="826" w:type="pct"/>
            <w:tcBorders>
              <w:top w:val="nil"/>
              <w:bottom w:val="nil"/>
            </w:tcBorders>
            <w:vAlign w:val="bottom"/>
          </w:tcPr>
          <w:p w14:paraId="3CA1B2CE" w14:textId="5B9E8D6F" w:rsidR="00CF6860" w:rsidRPr="007F0923" w:rsidRDefault="005D4033" w:rsidP="00CF6860">
            <w:pPr>
              <w:pStyle w:val="DecimalAligned"/>
              <w:jc w:val="center"/>
              <w:rPr>
                <w:b/>
              </w:rPr>
            </w:pPr>
            <w:r>
              <w:rPr>
                <w:color w:val="auto"/>
              </w:rPr>
              <w:t>$7</w:t>
            </w:r>
            <w:r w:rsidR="00CF6860" w:rsidRPr="007F0923">
              <w:rPr>
                <w:color w:val="auto"/>
              </w:rPr>
              <w:t>,</w:t>
            </w:r>
            <w:r>
              <w:rPr>
                <w:color w:val="auto"/>
              </w:rPr>
              <w:t>376</w:t>
            </w:r>
            <w:r w:rsidR="00CF6860" w:rsidRPr="007F0923">
              <w:rPr>
                <w:color w:val="auto"/>
              </w:rPr>
              <w:t>/QALY</w:t>
            </w:r>
          </w:p>
        </w:tc>
      </w:tr>
      <w:tr w:rsidR="00CF6860" w14:paraId="40497504" w14:textId="77777777" w:rsidTr="00CF6860">
        <w:tc>
          <w:tcPr>
            <w:tcW w:w="1120" w:type="pct"/>
            <w:tcBorders>
              <w:top w:val="nil"/>
              <w:bottom w:val="nil"/>
            </w:tcBorders>
            <w:noWrap/>
          </w:tcPr>
          <w:p w14:paraId="3DF43856" w14:textId="05D0498F" w:rsidR="00CF6860" w:rsidRPr="007F0923" w:rsidRDefault="00CF6860" w:rsidP="00CF6860">
            <w:pPr>
              <w:rPr>
                <w:b/>
              </w:rPr>
            </w:pPr>
            <w:r w:rsidRPr="007F0923">
              <w:rPr>
                <w:b/>
                <w:color w:val="auto"/>
              </w:rPr>
              <w:t>Male</w:t>
            </w:r>
          </w:p>
        </w:tc>
        <w:tc>
          <w:tcPr>
            <w:tcW w:w="1357" w:type="pct"/>
            <w:tcBorders>
              <w:top w:val="nil"/>
              <w:bottom w:val="nil"/>
            </w:tcBorders>
            <w:vAlign w:val="bottom"/>
          </w:tcPr>
          <w:p w14:paraId="5D21FE9A"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tcPr>
          <w:p w14:paraId="7C313F18"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vAlign w:val="bottom"/>
          </w:tcPr>
          <w:p w14:paraId="084E842B" w14:textId="77777777" w:rsidR="00CF6860" w:rsidRPr="007F0923" w:rsidRDefault="00CF6860" w:rsidP="00CF6860">
            <w:pPr>
              <w:pStyle w:val="DecimalAligned"/>
              <w:jc w:val="center"/>
              <w:rPr>
                <w:rFonts w:ascii="Arial" w:hAnsi="Arial" w:cs="Arial"/>
                <w:b/>
                <w:sz w:val="20"/>
                <w:szCs w:val="20"/>
              </w:rPr>
            </w:pPr>
          </w:p>
        </w:tc>
        <w:tc>
          <w:tcPr>
            <w:tcW w:w="826" w:type="pct"/>
            <w:tcBorders>
              <w:top w:val="nil"/>
              <w:bottom w:val="nil"/>
            </w:tcBorders>
            <w:vAlign w:val="bottom"/>
          </w:tcPr>
          <w:p w14:paraId="47311041" w14:textId="77777777" w:rsidR="00CF6860" w:rsidRPr="007F0923" w:rsidRDefault="00CF6860" w:rsidP="00CF6860">
            <w:pPr>
              <w:pStyle w:val="DecimalAligned"/>
              <w:jc w:val="center"/>
              <w:rPr>
                <w:b/>
              </w:rPr>
            </w:pPr>
          </w:p>
        </w:tc>
      </w:tr>
      <w:tr w:rsidR="00CF6860" w14:paraId="3A45884B" w14:textId="77777777" w:rsidTr="00CF6860">
        <w:tc>
          <w:tcPr>
            <w:tcW w:w="1120" w:type="pct"/>
            <w:tcBorders>
              <w:top w:val="nil"/>
              <w:bottom w:val="nil"/>
            </w:tcBorders>
            <w:noWrap/>
          </w:tcPr>
          <w:p w14:paraId="5D1AE767" w14:textId="22A29FC2" w:rsidR="00CF6860" w:rsidRPr="007F0923" w:rsidRDefault="00CF6860" w:rsidP="00CF6860">
            <w:pPr>
              <w:jc w:val="center"/>
              <w:rPr>
                <w:b/>
              </w:rPr>
            </w:pPr>
            <w:r w:rsidRPr="007F0923">
              <w:rPr>
                <w:color w:val="auto"/>
              </w:rPr>
              <w:t>PHS + Usual Care</w:t>
            </w:r>
          </w:p>
        </w:tc>
        <w:tc>
          <w:tcPr>
            <w:tcW w:w="1357" w:type="pct"/>
            <w:tcBorders>
              <w:top w:val="nil"/>
              <w:bottom w:val="nil"/>
            </w:tcBorders>
          </w:tcPr>
          <w:p w14:paraId="6C2C4929" w14:textId="6632C46D" w:rsidR="00CF6860" w:rsidRDefault="005D4033" w:rsidP="00CF6860">
            <w:pPr>
              <w:pStyle w:val="DecimalAligned"/>
              <w:jc w:val="center"/>
              <w:rPr>
                <w:rFonts w:ascii="Arial" w:hAnsi="Arial" w:cs="Arial"/>
                <w:b/>
                <w:sz w:val="20"/>
                <w:szCs w:val="20"/>
              </w:rPr>
            </w:pPr>
            <w:r>
              <w:rPr>
                <w:color w:val="auto"/>
              </w:rPr>
              <w:t>$72</w:t>
            </w:r>
            <w:r w:rsidR="00CF6860" w:rsidRPr="007F0923">
              <w:rPr>
                <w:color w:val="auto"/>
              </w:rPr>
              <w:t>,</w:t>
            </w:r>
            <w:r>
              <w:rPr>
                <w:color w:val="auto"/>
              </w:rPr>
              <w:t>974</w:t>
            </w:r>
          </w:p>
        </w:tc>
        <w:tc>
          <w:tcPr>
            <w:tcW w:w="849" w:type="pct"/>
            <w:tcBorders>
              <w:top w:val="nil"/>
              <w:bottom w:val="nil"/>
            </w:tcBorders>
          </w:tcPr>
          <w:p w14:paraId="79FF9590" w14:textId="27958FC2" w:rsidR="00CF6860" w:rsidRDefault="005D4033" w:rsidP="00CF6860">
            <w:pPr>
              <w:pStyle w:val="DecimalAligned"/>
              <w:jc w:val="center"/>
              <w:rPr>
                <w:rFonts w:ascii="Arial" w:hAnsi="Arial" w:cs="Arial"/>
                <w:b/>
                <w:sz w:val="20"/>
                <w:szCs w:val="20"/>
              </w:rPr>
            </w:pPr>
            <w:r>
              <w:rPr>
                <w:color w:val="auto"/>
              </w:rPr>
              <w:t>21.95</w:t>
            </w:r>
          </w:p>
        </w:tc>
        <w:tc>
          <w:tcPr>
            <w:tcW w:w="849" w:type="pct"/>
            <w:tcBorders>
              <w:top w:val="nil"/>
              <w:bottom w:val="nil"/>
            </w:tcBorders>
          </w:tcPr>
          <w:p w14:paraId="5D19B643" w14:textId="3ECE2F82" w:rsidR="00CF6860" w:rsidRPr="007F0923" w:rsidRDefault="00CF6860" w:rsidP="005D4033">
            <w:pPr>
              <w:pStyle w:val="DecimalAligned"/>
              <w:jc w:val="center"/>
              <w:rPr>
                <w:rFonts w:ascii="Arial" w:hAnsi="Arial" w:cs="Arial"/>
                <w:b/>
                <w:sz w:val="20"/>
                <w:szCs w:val="20"/>
              </w:rPr>
            </w:pPr>
            <w:r w:rsidRPr="007F0923">
              <w:rPr>
                <w:color w:val="auto"/>
              </w:rPr>
              <w:t>14</w:t>
            </w:r>
            <w:r w:rsidR="005D4033">
              <w:rPr>
                <w:color w:val="auto"/>
              </w:rPr>
              <w:t>.47</w:t>
            </w:r>
          </w:p>
        </w:tc>
        <w:tc>
          <w:tcPr>
            <w:tcW w:w="826" w:type="pct"/>
            <w:tcBorders>
              <w:top w:val="nil"/>
              <w:bottom w:val="nil"/>
            </w:tcBorders>
          </w:tcPr>
          <w:p w14:paraId="3E721968" w14:textId="77777777" w:rsidR="00CF6860" w:rsidRPr="007F0923" w:rsidRDefault="00CF6860" w:rsidP="00CF6860">
            <w:pPr>
              <w:pStyle w:val="DecimalAligned"/>
              <w:jc w:val="center"/>
              <w:rPr>
                <w:b/>
              </w:rPr>
            </w:pPr>
          </w:p>
        </w:tc>
      </w:tr>
      <w:tr w:rsidR="00CF6860" w14:paraId="01F1F358" w14:textId="77777777" w:rsidTr="00CF6860">
        <w:tc>
          <w:tcPr>
            <w:tcW w:w="1120" w:type="pct"/>
            <w:tcBorders>
              <w:top w:val="nil"/>
              <w:bottom w:val="nil"/>
            </w:tcBorders>
            <w:noWrap/>
          </w:tcPr>
          <w:p w14:paraId="188A7319" w14:textId="464928D8" w:rsidR="00CF6860" w:rsidRPr="007F0923" w:rsidRDefault="00CF6860" w:rsidP="00CF6860">
            <w:pPr>
              <w:jc w:val="center"/>
              <w:rPr>
                <w:b/>
              </w:rPr>
            </w:pPr>
            <w:r w:rsidRPr="007F0923">
              <w:rPr>
                <w:color w:val="auto"/>
              </w:rPr>
              <w:t>Usual Care</w:t>
            </w:r>
          </w:p>
        </w:tc>
        <w:tc>
          <w:tcPr>
            <w:tcW w:w="1357" w:type="pct"/>
            <w:tcBorders>
              <w:top w:val="nil"/>
              <w:bottom w:val="nil"/>
            </w:tcBorders>
          </w:tcPr>
          <w:p w14:paraId="126E555C" w14:textId="7FB0D13D" w:rsidR="00CF6860" w:rsidRDefault="00CF6860" w:rsidP="00CF6860">
            <w:pPr>
              <w:pStyle w:val="DecimalAligned"/>
              <w:jc w:val="center"/>
              <w:rPr>
                <w:rFonts w:ascii="Arial" w:hAnsi="Arial" w:cs="Arial"/>
                <w:b/>
                <w:sz w:val="20"/>
                <w:szCs w:val="20"/>
              </w:rPr>
            </w:pPr>
            <w:r w:rsidRPr="007F0923">
              <w:rPr>
                <w:color w:val="auto"/>
              </w:rPr>
              <w:t>$71,573</w:t>
            </w:r>
          </w:p>
        </w:tc>
        <w:tc>
          <w:tcPr>
            <w:tcW w:w="849" w:type="pct"/>
            <w:tcBorders>
              <w:top w:val="nil"/>
              <w:bottom w:val="nil"/>
            </w:tcBorders>
          </w:tcPr>
          <w:p w14:paraId="2DCD64A5" w14:textId="3D580B25" w:rsidR="00CF6860" w:rsidRDefault="00CF6860" w:rsidP="00CF6860">
            <w:pPr>
              <w:pStyle w:val="DecimalAligned"/>
              <w:jc w:val="center"/>
              <w:rPr>
                <w:rFonts w:ascii="Arial" w:hAnsi="Arial" w:cs="Arial"/>
                <w:b/>
                <w:sz w:val="20"/>
                <w:szCs w:val="20"/>
              </w:rPr>
            </w:pPr>
            <w:r w:rsidRPr="007F0923">
              <w:rPr>
                <w:color w:val="auto"/>
              </w:rPr>
              <w:t>21.68</w:t>
            </w:r>
          </w:p>
        </w:tc>
        <w:tc>
          <w:tcPr>
            <w:tcW w:w="849" w:type="pct"/>
            <w:tcBorders>
              <w:top w:val="nil"/>
              <w:bottom w:val="nil"/>
            </w:tcBorders>
          </w:tcPr>
          <w:p w14:paraId="3B9AC696" w14:textId="75B05930" w:rsidR="00CF6860" w:rsidRPr="007F0923" w:rsidRDefault="00CF6860" w:rsidP="00CF6860">
            <w:pPr>
              <w:pStyle w:val="DecimalAligned"/>
              <w:jc w:val="center"/>
              <w:rPr>
                <w:rFonts w:ascii="Arial" w:hAnsi="Arial" w:cs="Arial"/>
                <w:b/>
                <w:sz w:val="20"/>
                <w:szCs w:val="20"/>
              </w:rPr>
            </w:pPr>
            <w:r w:rsidRPr="007F0923">
              <w:rPr>
                <w:color w:val="auto"/>
              </w:rPr>
              <w:t>14.28</w:t>
            </w:r>
          </w:p>
        </w:tc>
        <w:tc>
          <w:tcPr>
            <w:tcW w:w="826" w:type="pct"/>
            <w:tcBorders>
              <w:top w:val="nil"/>
              <w:bottom w:val="nil"/>
            </w:tcBorders>
          </w:tcPr>
          <w:p w14:paraId="3BC14E9F" w14:textId="77777777" w:rsidR="00CF6860" w:rsidRPr="007F0923" w:rsidRDefault="00CF6860" w:rsidP="00CF6860">
            <w:pPr>
              <w:pStyle w:val="DecimalAligned"/>
              <w:jc w:val="center"/>
              <w:rPr>
                <w:b/>
              </w:rPr>
            </w:pPr>
          </w:p>
        </w:tc>
      </w:tr>
      <w:tr w:rsidR="00CF6860" w14:paraId="7DC8F6EA" w14:textId="77777777" w:rsidTr="00CF6860">
        <w:trPr>
          <w:cnfStyle w:val="010000000000" w:firstRow="0" w:lastRow="1" w:firstColumn="0" w:lastColumn="0" w:oddVBand="0" w:evenVBand="0" w:oddHBand="0" w:evenHBand="0" w:firstRowFirstColumn="0" w:firstRowLastColumn="0" w:lastRowFirstColumn="0" w:lastRowLastColumn="0"/>
        </w:trPr>
        <w:tc>
          <w:tcPr>
            <w:tcW w:w="1120" w:type="pct"/>
            <w:tcBorders>
              <w:top w:val="nil"/>
            </w:tcBorders>
            <w:noWrap/>
          </w:tcPr>
          <w:p w14:paraId="65E4B112" w14:textId="095A82F9" w:rsidR="00CF6860" w:rsidRPr="007F0923" w:rsidRDefault="00CF6860" w:rsidP="00CF6860">
            <w:pPr>
              <w:jc w:val="center"/>
              <w:rPr>
                <w:b w:val="0"/>
              </w:rPr>
            </w:pPr>
            <w:r w:rsidRPr="007F0923">
              <w:rPr>
                <w:b w:val="0"/>
                <w:color w:val="auto"/>
              </w:rPr>
              <w:t>Difference</w:t>
            </w:r>
          </w:p>
        </w:tc>
        <w:tc>
          <w:tcPr>
            <w:tcW w:w="1357" w:type="pct"/>
            <w:tcBorders>
              <w:top w:val="nil"/>
            </w:tcBorders>
            <w:vAlign w:val="bottom"/>
          </w:tcPr>
          <w:p w14:paraId="1169DE07" w14:textId="0D8F3723" w:rsidR="00CF6860" w:rsidRDefault="005D4033" w:rsidP="005D4033">
            <w:pPr>
              <w:pStyle w:val="DecimalAligned"/>
              <w:jc w:val="center"/>
              <w:rPr>
                <w:rFonts w:ascii="Arial" w:hAnsi="Arial" w:cs="Arial"/>
                <w:b w:val="0"/>
                <w:sz w:val="20"/>
                <w:szCs w:val="20"/>
              </w:rPr>
            </w:pPr>
            <w:r>
              <w:rPr>
                <w:rFonts w:ascii="Arial" w:hAnsi="Arial" w:cs="Arial"/>
                <w:b w:val="0"/>
                <w:color w:val="auto"/>
                <w:sz w:val="20"/>
                <w:szCs w:val="20"/>
              </w:rPr>
              <w:t>$1</w:t>
            </w:r>
            <w:r w:rsidR="00CF6860">
              <w:rPr>
                <w:rFonts w:ascii="Arial" w:hAnsi="Arial" w:cs="Arial"/>
                <w:b w:val="0"/>
                <w:color w:val="auto"/>
                <w:sz w:val="20"/>
                <w:szCs w:val="20"/>
              </w:rPr>
              <w:t>,</w:t>
            </w:r>
            <w:r>
              <w:rPr>
                <w:rFonts w:ascii="Arial" w:hAnsi="Arial" w:cs="Arial"/>
                <w:b w:val="0"/>
                <w:color w:val="auto"/>
                <w:sz w:val="20"/>
                <w:szCs w:val="20"/>
              </w:rPr>
              <w:t>401</w:t>
            </w:r>
          </w:p>
        </w:tc>
        <w:tc>
          <w:tcPr>
            <w:tcW w:w="849" w:type="pct"/>
            <w:tcBorders>
              <w:top w:val="nil"/>
            </w:tcBorders>
          </w:tcPr>
          <w:p w14:paraId="257767E5" w14:textId="6202DC1B" w:rsidR="00CF6860" w:rsidRDefault="005D4033" w:rsidP="00CF6860">
            <w:pPr>
              <w:pStyle w:val="DecimalAligned"/>
              <w:jc w:val="center"/>
              <w:rPr>
                <w:rFonts w:ascii="Arial" w:hAnsi="Arial" w:cs="Arial"/>
                <w:b w:val="0"/>
                <w:sz w:val="20"/>
                <w:szCs w:val="20"/>
              </w:rPr>
            </w:pPr>
            <w:r>
              <w:rPr>
                <w:rFonts w:ascii="Arial" w:hAnsi="Arial" w:cs="Arial"/>
                <w:b w:val="0"/>
                <w:color w:val="auto"/>
                <w:sz w:val="20"/>
                <w:szCs w:val="20"/>
              </w:rPr>
              <w:t>0.27</w:t>
            </w:r>
          </w:p>
        </w:tc>
        <w:tc>
          <w:tcPr>
            <w:tcW w:w="849" w:type="pct"/>
            <w:tcBorders>
              <w:top w:val="nil"/>
            </w:tcBorders>
            <w:vAlign w:val="bottom"/>
          </w:tcPr>
          <w:p w14:paraId="70D97C41" w14:textId="599261E9" w:rsidR="00CF6860" w:rsidRPr="007F0923" w:rsidRDefault="005D4033" w:rsidP="00CF6860">
            <w:pPr>
              <w:pStyle w:val="DecimalAligned"/>
              <w:jc w:val="center"/>
              <w:rPr>
                <w:rFonts w:ascii="Arial" w:hAnsi="Arial" w:cs="Arial"/>
                <w:b w:val="0"/>
                <w:sz w:val="20"/>
                <w:szCs w:val="20"/>
              </w:rPr>
            </w:pPr>
            <w:r>
              <w:rPr>
                <w:rFonts w:ascii="Arial" w:hAnsi="Arial" w:cs="Arial"/>
                <w:b w:val="0"/>
                <w:color w:val="auto"/>
                <w:sz w:val="20"/>
                <w:szCs w:val="20"/>
              </w:rPr>
              <w:t>0.19</w:t>
            </w:r>
          </w:p>
        </w:tc>
        <w:tc>
          <w:tcPr>
            <w:tcW w:w="826" w:type="pct"/>
            <w:tcBorders>
              <w:top w:val="nil"/>
            </w:tcBorders>
            <w:vAlign w:val="bottom"/>
          </w:tcPr>
          <w:p w14:paraId="6280AF10" w14:textId="0FF5120C" w:rsidR="00CF6860" w:rsidRPr="007F0923" w:rsidRDefault="005D4033" w:rsidP="00CF6860">
            <w:pPr>
              <w:pStyle w:val="DecimalAligned"/>
              <w:jc w:val="center"/>
              <w:rPr>
                <w:b w:val="0"/>
              </w:rPr>
            </w:pPr>
            <w:r>
              <w:rPr>
                <w:b w:val="0"/>
                <w:color w:val="auto"/>
              </w:rPr>
              <w:t>$7</w:t>
            </w:r>
            <w:r w:rsidR="00CF6860" w:rsidRPr="007F0923">
              <w:rPr>
                <w:b w:val="0"/>
                <w:color w:val="auto"/>
              </w:rPr>
              <w:t>,</w:t>
            </w:r>
            <w:r>
              <w:rPr>
                <w:b w:val="0"/>
                <w:color w:val="auto"/>
              </w:rPr>
              <w:t>668</w:t>
            </w:r>
            <w:r w:rsidR="00CF6860" w:rsidRPr="007F0923">
              <w:rPr>
                <w:b w:val="0"/>
                <w:color w:val="auto"/>
              </w:rPr>
              <w:t>/QALY</w:t>
            </w:r>
          </w:p>
        </w:tc>
      </w:tr>
    </w:tbl>
    <w:p w14:paraId="0426D7E9" w14:textId="77777777" w:rsidR="00726657" w:rsidRDefault="00726657" w:rsidP="00726657">
      <w:pPr>
        <w:spacing w:after="120" w:line="360" w:lineRule="auto"/>
        <w:rPr>
          <w:rFonts w:ascii="Times New Roman" w:hAnsi="Times New Roman" w:cs="Times New Roman"/>
          <w:b/>
        </w:rPr>
      </w:pPr>
    </w:p>
    <w:p w14:paraId="4C34F8FD" w14:textId="3212DFC2" w:rsidR="00726657" w:rsidRPr="00683EB3" w:rsidRDefault="00726657" w:rsidP="00726657">
      <w:pPr>
        <w:spacing w:after="120" w:line="360" w:lineRule="auto"/>
        <w:rPr>
          <w:rFonts w:ascii="Times New Roman" w:hAnsi="Times New Roman" w:cs="Times New Roman"/>
          <w:b/>
        </w:rPr>
      </w:pPr>
      <w:r>
        <w:rPr>
          <w:rFonts w:ascii="Times New Roman" w:hAnsi="Times New Roman" w:cs="Times New Roman"/>
          <w:b/>
        </w:rPr>
        <w:t>Scenario Analysis result</w:t>
      </w:r>
      <w:r w:rsidR="00B8376C">
        <w:rPr>
          <w:rFonts w:ascii="Times New Roman" w:hAnsi="Times New Roman" w:cs="Times New Roman"/>
          <w:b/>
        </w:rPr>
        <w:t xml:space="preserve"> (One year PHS then usual care)</w:t>
      </w:r>
    </w:p>
    <w:p w14:paraId="1DEFDD01" w14:textId="526C6531" w:rsidR="00784650" w:rsidRDefault="00CF6860" w:rsidP="00683EB3">
      <w:pPr>
        <w:pStyle w:val="NoSpacing"/>
        <w:spacing w:after="120" w:line="360" w:lineRule="auto"/>
        <w:rPr>
          <w:rFonts w:ascii="Times New Roman" w:hAnsi="Times New Roman" w:cs="Times New Roman"/>
        </w:rPr>
      </w:pPr>
      <w:r>
        <w:rPr>
          <w:rFonts w:ascii="Times New Roman" w:hAnsi="Times New Roman" w:cs="Times New Roman"/>
        </w:rPr>
        <w:lastRenderedPageBreak/>
        <w:t>Scenario analysis of one year PHS then transition to usual care resulted in higher ICER values compared to the lifetime assumptio</w:t>
      </w:r>
      <w:r w:rsidR="005D4033">
        <w:rPr>
          <w:rFonts w:ascii="Times New Roman" w:hAnsi="Times New Roman" w:cs="Times New Roman"/>
        </w:rPr>
        <w:t xml:space="preserve">n. Lifetime costs of PHS were $74,782 ($72,974) for females (males). Discounted Lys and QALYs for the PHS arm were 23.15 (21.95) and 15.26 (14.47) for females (males), respectively. The ICER equaled $7,376 (7,668) / QALY for females (males). </w:t>
      </w:r>
    </w:p>
    <w:p w14:paraId="13B01AF7" w14:textId="77777777" w:rsidR="00CF6860" w:rsidRDefault="00CF6860" w:rsidP="00683EB3">
      <w:pPr>
        <w:pStyle w:val="NoSpacing"/>
        <w:spacing w:after="120" w:line="360" w:lineRule="auto"/>
        <w:rPr>
          <w:rFonts w:ascii="Times New Roman" w:hAnsi="Times New Roman" w:cs="Times New Roman"/>
        </w:rPr>
      </w:pPr>
    </w:p>
    <w:p w14:paraId="64DCA105" w14:textId="6941B9C0" w:rsidR="00726657" w:rsidRPr="00683EB3" w:rsidRDefault="00726657" w:rsidP="00726657">
      <w:pPr>
        <w:spacing w:after="120" w:line="360" w:lineRule="auto"/>
        <w:rPr>
          <w:rFonts w:ascii="Times New Roman" w:hAnsi="Times New Roman" w:cs="Times New Roman"/>
          <w:b/>
        </w:rPr>
      </w:pPr>
      <w:r>
        <w:rPr>
          <w:rFonts w:ascii="Times New Roman" w:hAnsi="Times New Roman" w:cs="Times New Roman"/>
          <w:b/>
        </w:rPr>
        <w:t>Sensitivity analysis result</w:t>
      </w:r>
    </w:p>
    <w:p w14:paraId="47B4242D" w14:textId="07BE91C5" w:rsidR="00726657" w:rsidRDefault="008B3DD8" w:rsidP="00683EB3">
      <w:pPr>
        <w:pStyle w:val="NoSpacing"/>
        <w:spacing w:after="120" w:line="360" w:lineRule="auto"/>
        <w:rPr>
          <w:rFonts w:ascii="Times New Roman" w:hAnsi="Times New Roman" w:cs="Times New Roman"/>
        </w:rPr>
      </w:pPr>
      <w:r>
        <w:rPr>
          <w:rFonts w:ascii="Times New Roman" w:hAnsi="Times New Roman" w:cs="Times New Roman"/>
        </w:rPr>
        <w:t xml:space="preserve">The one-way sensitivity analysis indicated that the </w:t>
      </w:r>
      <w:r w:rsidR="00784AB5">
        <w:rPr>
          <w:rFonts w:ascii="Times New Roman" w:hAnsi="Times New Roman" w:cs="Times New Roman"/>
        </w:rPr>
        <w:t>probability of asthma-related mortality for uncontrolled patients</w:t>
      </w:r>
      <w:r>
        <w:rPr>
          <w:rFonts w:ascii="Times New Roman" w:hAnsi="Times New Roman" w:cs="Times New Roman"/>
        </w:rPr>
        <w:t xml:space="preserve"> was the most influential. </w:t>
      </w:r>
      <w:r w:rsidR="00784AB5">
        <w:rPr>
          <w:rFonts w:ascii="Times New Roman" w:hAnsi="Times New Roman" w:cs="Times New Roman"/>
        </w:rPr>
        <w:t xml:space="preserve">In the base case, the probability of asthma-related mortality was set as 0.00238. When varied based on the 95% bounds (0.0006118, 0.0053), the ICER ranged from $4,832 to $12,138, respectively. The results were also sensitive to the cost of non-exacerbation state from ($3,397 to $8,251), utility of non-exacerbation state ($6,409 to $4,249), and the probability of asthma-related mortality for controlled patients ($5,232 to $7,080) (Fig.2). </w:t>
      </w:r>
    </w:p>
    <w:p w14:paraId="2EF74D43" w14:textId="5B31BBA4" w:rsidR="008B3DD8" w:rsidRDefault="00784AB5" w:rsidP="008B3DD8">
      <w:pPr>
        <w:pStyle w:val="NoSpacing"/>
      </w:pPr>
      <w:r>
        <w:rPr>
          <w:noProof/>
          <w:lang w:eastAsia="ko-KR" w:bidi="ar-SA"/>
        </w:rPr>
        <w:drawing>
          <wp:inline distT="0" distB="0" distL="0" distR="0" wp14:anchorId="1DF85BF8" wp14:editId="1F3E8426">
            <wp:extent cx="5943600" cy="2863215"/>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0F1A93" w14:textId="40E41AAB" w:rsidR="008B3DD8" w:rsidRPr="008B3DD8" w:rsidRDefault="008B3DD8" w:rsidP="008B3DD8">
      <w:pPr>
        <w:pStyle w:val="NoSpacing"/>
      </w:pPr>
      <w:r>
        <w:rPr>
          <w:b/>
        </w:rPr>
        <w:t>Figure 2.</w:t>
      </w:r>
      <w:r>
        <w:t xml:space="preserve"> Tornado Diagram of One-way Sensitivity Analysis on US Cost per QALY Outcome. (Parameters that had less than a US $100 difference in the ICER were not displayed) </w:t>
      </w:r>
    </w:p>
    <w:p w14:paraId="692B8BCA" w14:textId="0402F1AD" w:rsidR="008B3DD8" w:rsidRDefault="00784AB5" w:rsidP="008B3DD8">
      <w:pPr>
        <w:pStyle w:val="NoSpacing"/>
      </w:pPr>
      <w:r>
        <w:rPr>
          <w:noProof/>
          <w:lang w:eastAsia="ko-KR" w:bidi="ar-SA"/>
        </w:rPr>
        <w:lastRenderedPageBreak/>
        <w:drawing>
          <wp:inline distT="0" distB="0" distL="0" distR="0" wp14:anchorId="7FFE3B09" wp14:editId="4E226128">
            <wp:extent cx="5915025" cy="2800350"/>
            <wp:effectExtent l="0" t="0" r="0" b="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F61273" w14:textId="7183FC3A" w:rsidR="009E3D14" w:rsidRDefault="009E3D14" w:rsidP="008B3DD8">
      <w:pPr>
        <w:pStyle w:val="NoSpacing"/>
      </w:pPr>
      <w:r>
        <w:rPr>
          <w:b/>
        </w:rPr>
        <w:t xml:space="preserve">Figure 3. </w:t>
      </w:r>
      <w:r>
        <w:t>Cost-Effectiveness Acceptability Curve. (Displays the probability of an intervention strategy being cost-effective over a range of willingness-to-pay threshold for an additional quality-adjusted life year).</w:t>
      </w:r>
    </w:p>
    <w:p w14:paraId="241C6CBB" w14:textId="77777777" w:rsidR="009E3D14" w:rsidRDefault="009E3D14" w:rsidP="008B3DD8">
      <w:pPr>
        <w:pStyle w:val="NoSpacing"/>
      </w:pPr>
    </w:p>
    <w:p w14:paraId="6F70230C" w14:textId="0F32C619" w:rsidR="009E3D14" w:rsidRDefault="009E3D14" w:rsidP="009E3D14">
      <w:pPr>
        <w:pStyle w:val="NoSpacing"/>
      </w:pPr>
      <w:r>
        <w:t>The cost-effectiveness acceptability curve illustrates the probability of PHS being cost effective at a range of willingness-to-pay threshold. At a $15,000 / QALY threshold, PHS had the best net health benefit in 54% of the simulations (Fig. 2).</w:t>
      </w:r>
    </w:p>
    <w:p w14:paraId="14AB0D60" w14:textId="77777777" w:rsidR="009E3D14" w:rsidRDefault="009E3D14" w:rsidP="009E3D14">
      <w:pPr>
        <w:pStyle w:val="NoSpacing"/>
      </w:pPr>
    </w:p>
    <w:p w14:paraId="53049C82" w14:textId="77777777" w:rsidR="009E3D14" w:rsidRDefault="009E3D14" w:rsidP="009E3D14">
      <w:pPr>
        <w:pStyle w:val="NoSpacing"/>
        <w:rPr>
          <w:rFonts w:ascii="Times New Roman" w:hAnsi="Times New Roman" w:cs="Times New Roman"/>
          <w:sz w:val="28"/>
        </w:rPr>
      </w:pPr>
      <w:r>
        <w:rPr>
          <w:noProof/>
          <w:lang w:eastAsia="ko-KR" w:bidi="ar-SA"/>
        </w:rPr>
        <w:drawing>
          <wp:inline distT="0" distB="0" distL="0" distR="0" wp14:anchorId="40138E5C" wp14:editId="19600E6E">
            <wp:extent cx="5943600" cy="4050665"/>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F51AD7" w14:textId="77777777" w:rsidR="009E3D14" w:rsidRDefault="009E3D14" w:rsidP="009E3D14">
      <w:pPr>
        <w:pStyle w:val="NoSpacing"/>
        <w:rPr>
          <w:rFonts w:ascii="Times New Roman" w:hAnsi="Times New Roman" w:cs="Times New Roman"/>
          <w:szCs w:val="22"/>
        </w:rPr>
      </w:pPr>
      <w:r>
        <w:rPr>
          <w:rFonts w:ascii="Times New Roman" w:hAnsi="Times New Roman" w:cs="Times New Roman"/>
          <w:b/>
          <w:szCs w:val="22"/>
        </w:rPr>
        <w:lastRenderedPageBreak/>
        <w:t>Fig 3.</w:t>
      </w:r>
      <w:r>
        <w:rPr>
          <w:rFonts w:ascii="Times New Roman" w:hAnsi="Times New Roman" w:cs="Times New Roman"/>
          <w:szCs w:val="22"/>
        </w:rPr>
        <w:t xml:space="preserve"> Cost-Effectiveness Acceptability Curve of Subgroups. </w:t>
      </w:r>
    </w:p>
    <w:p w14:paraId="012CD4C0" w14:textId="77777777" w:rsidR="009E3D14" w:rsidRPr="009E3D14" w:rsidRDefault="009E3D14" w:rsidP="009E3D14">
      <w:pPr>
        <w:pStyle w:val="NoSpacing"/>
      </w:pPr>
    </w:p>
    <w:p w14:paraId="1C136B88" w14:textId="540BDF1C" w:rsidR="009E3D14" w:rsidRDefault="009E3D14" w:rsidP="009E3D14">
      <w:pPr>
        <w:pStyle w:val="NoSpacing"/>
      </w:pPr>
      <w:r>
        <w:t xml:space="preserve">The cost-effectiveness acceptability curve of subgroups illustrates the probability of PHS being cost effective at a range of willingness-to-pay threshold. The results indicate that females have a higher probability of PHS being cost effective at lower WTP thresholds. Additionally, younger adults also have a higher probability of PHS being cost effective at lower WTP thresholds. </w:t>
      </w:r>
    </w:p>
    <w:p w14:paraId="469EC02A" w14:textId="77777777" w:rsidR="008B3DD8" w:rsidRDefault="008B3DD8" w:rsidP="008B3DD8">
      <w:pPr>
        <w:pStyle w:val="NoSpacing"/>
      </w:pPr>
    </w:p>
    <w:p w14:paraId="30648A1E" w14:textId="77777777" w:rsidR="009E3D14" w:rsidRPr="008B3DD8" w:rsidRDefault="009E3D14" w:rsidP="008B3DD8">
      <w:pPr>
        <w:pStyle w:val="NoSpacing"/>
      </w:pPr>
    </w:p>
    <w:p w14:paraId="6CB40350" w14:textId="08A031C1" w:rsidR="00726657" w:rsidRPr="00683EB3" w:rsidRDefault="00726657" w:rsidP="00726657">
      <w:pPr>
        <w:spacing w:after="120" w:line="360" w:lineRule="auto"/>
        <w:rPr>
          <w:rFonts w:ascii="Times New Roman" w:hAnsi="Times New Roman" w:cs="Times New Roman"/>
          <w:b/>
          <w:sz w:val="28"/>
        </w:rPr>
      </w:pPr>
      <w:r>
        <w:rPr>
          <w:rFonts w:ascii="Times New Roman" w:hAnsi="Times New Roman" w:cs="Times New Roman"/>
          <w:b/>
          <w:sz w:val="28"/>
        </w:rPr>
        <w:t>Discussions</w:t>
      </w:r>
    </w:p>
    <w:p w14:paraId="59000AFB" w14:textId="48CCC154" w:rsidR="00DA4E00" w:rsidRDefault="006D71C0" w:rsidP="00683EB3">
      <w:pPr>
        <w:pStyle w:val="NoSpacing"/>
        <w:spacing w:after="120" w:line="360" w:lineRule="auto"/>
        <w:rPr>
          <w:rFonts w:ascii="Times New Roman" w:hAnsi="Times New Roman" w:cs="Times New Roman"/>
        </w:rPr>
      </w:pPr>
      <w:r>
        <w:rPr>
          <w:rFonts w:ascii="Times New Roman" w:hAnsi="Times New Roman" w:cs="Times New Roman"/>
        </w:rPr>
        <w:t xml:space="preserve">The objective of this article was to estimate the costs and consequences of Propeller Health system plus usual care compared to usual care alone from a US payer perspective. We found the incremental value of PHS to usual care was </w:t>
      </w:r>
      <w:r w:rsidR="00DA4E00">
        <w:rPr>
          <w:rFonts w:ascii="Times New Roman" w:hAnsi="Times New Roman" w:cs="Times New Roman"/>
        </w:rPr>
        <w:t xml:space="preserve">$6,022 ($6,370) / QALY and the scenario analysis only implementing PHS for one year yielding $7,376 ($7,668) / QALY for females (males). The outcome was most sensitive to differences in probability of asthma mortality in uncontrolled population. </w:t>
      </w:r>
    </w:p>
    <w:p w14:paraId="4E4F073F" w14:textId="27FEA977" w:rsidR="00DA4E00" w:rsidRDefault="00DA4E00" w:rsidP="00683EB3">
      <w:pPr>
        <w:pStyle w:val="NoSpacing"/>
        <w:spacing w:after="120" w:line="360" w:lineRule="auto"/>
        <w:rPr>
          <w:rFonts w:ascii="Times New Roman" w:hAnsi="Times New Roman" w:cs="Times New Roman"/>
        </w:rPr>
      </w:pPr>
      <w:r>
        <w:rPr>
          <w:rFonts w:ascii="Times New Roman" w:hAnsi="Times New Roman" w:cs="Times New Roman"/>
        </w:rPr>
        <w:t>There currently are no empirical evidence regarding the cost-effectiveness of real-time monitoring of asthma management, but Ryan et al. published the only other clinical and cost-effectiveness analysis of tele management of asthma in UK. Interestingly, Ryan et al reported that self-monitoring of asthma was not cost-effective. The present research adds to this gap in identifying the cost-effectiveness of telehealth management of asthm</w:t>
      </w:r>
      <w:r w:rsidR="00F439ED">
        <w:rPr>
          <w:rFonts w:ascii="Times New Roman" w:hAnsi="Times New Roman" w:cs="Times New Roman"/>
        </w:rPr>
        <w:t xml:space="preserve">a. </w:t>
      </w:r>
    </w:p>
    <w:p w14:paraId="47EF2F13" w14:textId="4E946434" w:rsidR="00784650" w:rsidRDefault="00784650" w:rsidP="00683EB3">
      <w:pPr>
        <w:pStyle w:val="NoSpacing"/>
        <w:spacing w:after="120" w:line="360" w:lineRule="auto"/>
        <w:rPr>
          <w:rFonts w:ascii="Times New Roman" w:hAnsi="Times New Roman" w:cs="Times New Roman"/>
        </w:rPr>
      </w:pPr>
      <w:r>
        <w:rPr>
          <w:rFonts w:ascii="Times New Roman" w:hAnsi="Times New Roman" w:cs="Times New Roman"/>
        </w:rPr>
        <w:t>There are limitations to this study. The findings were based on a simulation model.</w:t>
      </w:r>
      <w:r w:rsidR="00F439ED">
        <w:rPr>
          <w:rFonts w:ascii="Times New Roman" w:hAnsi="Times New Roman" w:cs="Times New Roman"/>
        </w:rPr>
        <w:t xml:space="preserve"> The long term cost and consequences may not provide the most robust and valid result as a randomized controlled trial yet efforts were made to provide the best evidence as inputs to the simulation model. The model structure utilized similar peer-reviewed asthma CEA models. The findings from the base case and scenario analysis were not very different and demonstrated only a small difference in cost and QALYs. </w:t>
      </w:r>
    </w:p>
    <w:p w14:paraId="59A78368" w14:textId="37704F97" w:rsidR="00784650" w:rsidRDefault="00784650" w:rsidP="00683EB3">
      <w:pPr>
        <w:pStyle w:val="NoSpacing"/>
        <w:spacing w:after="120" w:line="360" w:lineRule="auto"/>
        <w:rPr>
          <w:rFonts w:ascii="Times New Roman" w:hAnsi="Times New Roman" w:cs="Times New Roman"/>
        </w:rPr>
      </w:pPr>
      <w:r>
        <w:rPr>
          <w:rFonts w:ascii="Times New Roman" w:hAnsi="Times New Roman" w:cs="Times New Roman"/>
        </w:rPr>
        <w:t xml:space="preserve">Another limitation was the inability to use the patient-level meta-analysis for the purposes of estimating health-related quality-of-life utilities. </w:t>
      </w:r>
      <w:r w:rsidR="00F439ED">
        <w:rPr>
          <w:rFonts w:ascii="Times New Roman" w:hAnsi="Times New Roman" w:cs="Times New Roman"/>
        </w:rPr>
        <w:t>Further research should be conducted to identify and utilize better input values that better reflect the HRQoL utility values.</w:t>
      </w:r>
    </w:p>
    <w:p w14:paraId="6BC5F40A" w14:textId="4D4C0959" w:rsidR="00784650" w:rsidRDefault="00784650" w:rsidP="00683EB3">
      <w:pPr>
        <w:pStyle w:val="NoSpacing"/>
        <w:spacing w:after="120" w:line="360" w:lineRule="auto"/>
        <w:rPr>
          <w:rFonts w:ascii="Times New Roman" w:hAnsi="Times New Roman" w:cs="Times New Roman"/>
        </w:rPr>
      </w:pPr>
      <w:r>
        <w:rPr>
          <w:rFonts w:ascii="Times New Roman" w:hAnsi="Times New Roman" w:cs="Times New Roman"/>
        </w:rPr>
        <w:t>Additionally, the exact information regarding routine care for each patient was not captured through the trial such as implementation of asthma registry, emphasis on ACT testing, monitoring of SABA refills, a</w:t>
      </w:r>
      <w:r w:rsidR="00F439ED">
        <w:rPr>
          <w:rFonts w:ascii="Times New Roman" w:hAnsi="Times New Roman" w:cs="Times New Roman"/>
        </w:rPr>
        <w:t>nd referral to specialty care. Although these information was not captured, the trial study design was a randomized control study therefore baseline characteristics may be assumed to be randomly allocated with similar distribution of asthma management routine in each group</w:t>
      </w:r>
      <w:r w:rsidR="003F0281">
        <w:rPr>
          <w:rFonts w:ascii="Times New Roman" w:hAnsi="Times New Roman" w:cs="Times New Roman"/>
        </w:rPr>
        <w:t xml:space="preserve"> which may not have substantial impact on the results of this analysis</w:t>
      </w:r>
      <w:r w:rsidR="00F439ED">
        <w:rPr>
          <w:rFonts w:ascii="Times New Roman" w:hAnsi="Times New Roman" w:cs="Times New Roman"/>
        </w:rPr>
        <w:t xml:space="preserve">. </w:t>
      </w:r>
    </w:p>
    <w:p w14:paraId="260E1F01" w14:textId="2EF6AA47" w:rsidR="002E10CD" w:rsidRPr="00683EB3" w:rsidRDefault="002E10CD" w:rsidP="00683EB3">
      <w:pPr>
        <w:pStyle w:val="NoSpacing"/>
        <w:spacing w:after="120" w:line="360" w:lineRule="auto"/>
        <w:rPr>
          <w:rFonts w:ascii="Times New Roman" w:hAnsi="Times New Roman" w:cs="Times New Roman"/>
        </w:rPr>
      </w:pPr>
      <w:r>
        <w:rPr>
          <w:rFonts w:ascii="Times New Roman" w:hAnsi="Times New Roman" w:cs="Times New Roman"/>
        </w:rPr>
        <w:lastRenderedPageBreak/>
        <w:t xml:space="preserve">The findings suggest that PHS along with usual care improves QALYs at an increase in direct medical costs. The cost-effectiveness of PHS </w:t>
      </w:r>
      <w:r w:rsidR="00784650">
        <w:rPr>
          <w:rFonts w:ascii="Times New Roman" w:hAnsi="Times New Roman" w:cs="Times New Roman"/>
        </w:rPr>
        <w:t xml:space="preserve">at a WTP of $50,000 indicates a highly cost-effective solution to asthma management. The findings also suggest that PHS is more cost effective for the younger adult population as well as females which may guide decision makers with regards to their patient population. </w:t>
      </w:r>
    </w:p>
    <w:p w14:paraId="3031059E" w14:textId="12513A42" w:rsidR="005B5C7C" w:rsidRPr="00683EB3" w:rsidRDefault="005B5C7C" w:rsidP="00683EB3">
      <w:pPr>
        <w:tabs>
          <w:tab w:val="left" w:pos="5706"/>
        </w:tabs>
        <w:spacing w:after="120" w:line="360" w:lineRule="auto"/>
        <w:rPr>
          <w:rFonts w:ascii="Times New Roman" w:hAnsi="Times New Roman" w:cs="Times New Roman"/>
          <w:b/>
          <w:sz w:val="28"/>
        </w:rPr>
      </w:pPr>
      <w:r w:rsidRPr="00683EB3">
        <w:rPr>
          <w:rFonts w:ascii="Times New Roman" w:hAnsi="Times New Roman" w:cs="Times New Roman"/>
          <w:b/>
          <w:sz w:val="28"/>
        </w:rPr>
        <w:br w:type="page"/>
      </w:r>
    </w:p>
    <w:p w14:paraId="6113500C" w14:textId="100D8722" w:rsidR="00BF2D52" w:rsidRPr="00683EB3" w:rsidRDefault="00BF2D52" w:rsidP="00683EB3">
      <w:pPr>
        <w:spacing w:after="120" w:line="360" w:lineRule="auto"/>
        <w:rPr>
          <w:rFonts w:ascii="Times New Roman" w:hAnsi="Times New Roman" w:cs="Times New Roman"/>
          <w:b/>
          <w:sz w:val="28"/>
        </w:rPr>
      </w:pPr>
      <w:r w:rsidRPr="00683EB3">
        <w:rPr>
          <w:rFonts w:ascii="Times New Roman" w:hAnsi="Times New Roman" w:cs="Times New Roman"/>
          <w:b/>
          <w:sz w:val="28"/>
        </w:rPr>
        <w:lastRenderedPageBreak/>
        <w:t>Acknowledgements</w:t>
      </w:r>
    </w:p>
    <w:p w14:paraId="43CF0B73" w14:textId="15A9AB42" w:rsidR="00227A9E" w:rsidRPr="00683EB3" w:rsidRDefault="002E10CD" w:rsidP="00683EB3">
      <w:pPr>
        <w:spacing w:after="120" w:line="360" w:lineRule="auto"/>
        <w:rPr>
          <w:rFonts w:ascii="Times New Roman" w:hAnsi="Times New Roman" w:cs="Times New Roman"/>
          <w:b/>
          <w:sz w:val="28"/>
          <w:lang w:val="en-GB"/>
        </w:rPr>
      </w:pPr>
      <w:r>
        <w:rPr>
          <w:rFonts w:ascii="Times New Roman" w:hAnsi="Times New Roman" w:cs="Times New Roman"/>
          <w:szCs w:val="22"/>
          <w:lang w:val="en-GB"/>
        </w:rPr>
        <w:t>The authors incorporated information from the breathing institute within the University of Colorado Denver Anschutz Medical Campus to perform the research summarized in this manuscript</w:t>
      </w:r>
      <w:r w:rsidR="002B065A" w:rsidRPr="00683EB3">
        <w:rPr>
          <w:rFonts w:ascii="Times New Roman" w:hAnsi="Times New Roman" w:cs="Times New Roman"/>
          <w:szCs w:val="22"/>
          <w:lang w:val="en-GB"/>
        </w:rPr>
        <w:t xml:space="preserve">. </w:t>
      </w:r>
    </w:p>
    <w:p w14:paraId="38E53A7A" w14:textId="77777777" w:rsidR="00726657" w:rsidRPr="00683EB3" w:rsidRDefault="00726657" w:rsidP="0034162E">
      <w:pPr>
        <w:spacing w:after="120" w:line="360" w:lineRule="auto"/>
        <w:rPr>
          <w:rFonts w:ascii="Times New Roman" w:hAnsi="Times New Roman" w:cs="Times New Roman"/>
          <w:b/>
          <w:sz w:val="28"/>
          <w:lang w:val="en-GB"/>
        </w:rPr>
      </w:pPr>
    </w:p>
    <w:p w14:paraId="0CC04A2F" w14:textId="77777777" w:rsidR="00227A9E" w:rsidRPr="00683EB3" w:rsidRDefault="00227A9E" w:rsidP="0034162E">
      <w:pPr>
        <w:spacing w:after="120" w:line="360" w:lineRule="auto"/>
        <w:rPr>
          <w:rFonts w:ascii="Times New Roman" w:hAnsi="Times New Roman" w:cs="Times New Roman"/>
          <w:b/>
          <w:sz w:val="28"/>
          <w:lang w:val="en-GB"/>
        </w:rPr>
      </w:pPr>
    </w:p>
    <w:p w14:paraId="2BE011B3" w14:textId="701F9A1D" w:rsidR="00227A9E" w:rsidRPr="000552B3" w:rsidRDefault="004D78CF" w:rsidP="00227A9E">
      <w:pPr>
        <w:spacing w:after="120" w:line="360" w:lineRule="auto"/>
        <w:rPr>
          <w:rFonts w:ascii="Times New Roman" w:hAnsi="Times New Roman" w:cs="Times New Roman"/>
          <w:b/>
          <w:sz w:val="28"/>
          <w:lang w:val="es-ES"/>
        </w:rPr>
      </w:pPr>
      <w:r w:rsidRPr="000552B3">
        <w:rPr>
          <w:rFonts w:ascii="Times New Roman" w:hAnsi="Times New Roman" w:cs="Times New Roman"/>
          <w:b/>
          <w:sz w:val="28"/>
          <w:lang w:val="es-ES"/>
        </w:rPr>
        <w:t>References</w:t>
      </w:r>
    </w:p>
    <w:p w14:paraId="7A5B5098" w14:textId="77777777" w:rsidR="003C33C5" w:rsidRPr="003C33C5" w:rsidRDefault="00227A9E" w:rsidP="003C33C5">
      <w:pPr>
        <w:pStyle w:val="EndNoteBibliography"/>
        <w:spacing w:after="0"/>
        <w:ind w:left="720" w:hanging="720"/>
      </w:pPr>
      <w:r w:rsidRPr="00683EB3">
        <w:rPr>
          <w:rFonts w:ascii="Times New Roman" w:hAnsi="Times New Roman" w:cs="Times New Roman"/>
        </w:rPr>
        <w:fldChar w:fldCharType="begin"/>
      </w:r>
      <w:r w:rsidRPr="000552B3">
        <w:rPr>
          <w:rFonts w:ascii="Times New Roman" w:hAnsi="Times New Roman" w:cs="Times New Roman"/>
          <w:lang w:val="es-ES"/>
        </w:rPr>
        <w:instrText xml:space="preserve"> ADDIN EN.REFLIST </w:instrText>
      </w:r>
      <w:r w:rsidRPr="00683EB3">
        <w:rPr>
          <w:rFonts w:ascii="Times New Roman" w:hAnsi="Times New Roman" w:cs="Times New Roman"/>
        </w:rPr>
        <w:fldChar w:fldCharType="separate"/>
      </w:r>
      <w:r w:rsidR="003C33C5" w:rsidRPr="003C33C5">
        <w:t>1</w:t>
      </w:r>
      <w:r w:rsidR="003C33C5" w:rsidRPr="003C33C5">
        <w:tab/>
        <w:t xml:space="preserve">Patel, M. R., Leo, H. L., Baptist, A. P., Cao, Y. &amp; Brown, R. W. Asthma outcomes in children and adolescents with multiple morbidities: Findings from the National Health Interview Survey. </w:t>
      </w:r>
      <w:r w:rsidR="003C33C5" w:rsidRPr="003C33C5">
        <w:rPr>
          <w:i/>
        </w:rPr>
        <w:t>J Allergy Clin Immunol</w:t>
      </w:r>
      <w:r w:rsidR="003C33C5" w:rsidRPr="003C33C5">
        <w:t xml:space="preserve"> </w:t>
      </w:r>
      <w:r w:rsidR="003C33C5" w:rsidRPr="003C33C5">
        <w:rPr>
          <w:b/>
        </w:rPr>
        <w:t>135</w:t>
      </w:r>
      <w:r w:rsidR="003C33C5" w:rsidRPr="003C33C5">
        <w:t>, 1444-1449, doi:10.1016/j.jaci.2014.11.008 (2015).</w:t>
      </w:r>
    </w:p>
    <w:p w14:paraId="6EE46488" w14:textId="77777777" w:rsidR="003C33C5" w:rsidRPr="003C33C5" w:rsidRDefault="003C33C5" w:rsidP="003C33C5">
      <w:pPr>
        <w:pStyle w:val="EndNoteBibliography"/>
        <w:spacing w:after="0"/>
        <w:ind w:left="720" w:hanging="720"/>
      </w:pPr>
      <w:r w:rsidRPr="003C33C5">
        <w:t>2</w:t>
      </w:r>
      <w:r w:rsidRPr="003C33C5">
        <w:tab/>
        <w:t>Okelo, S. O.</w:t>
      </w:r>
      <w:r w:rsidRPr="003C33C5">
        <w:rPr>
          <w:i/>
        </w:rPr>
        <w:t xml:space="preserve"> et al.</w:t>
      </w:r>
      <w:r w:rsidRPr="003C33C5">
        <w:t xml:space="preserve"> Interventions to modify health care provider adherence to asthma guidelines: a systematic review. </w:t>
      </w:r>
      <w:r w:rsidRPr="003C33C5">
        <w:rPr>
          <w:i/>
        </w:rPr>
        <w:t>Pediatrics</w:t>
      </w:r>
      <w:r w:rsidRPr="003C33C5">
        <w:t xml:space="preserve"> </w:t>
      </w:r>
      <w:r w:rsidRPr="003C33C5">
        <w:rPr>
          <w:b/>
        </w:rPr>
        <w:t>132</w:t>
      </w:r>
      <w:r w:rsidRPr="003C33C5">
        <w:t>, 517-534, doi:10.1542/peds.2013-0779 (2013).</w:t>
      </w:r>
    </w:p>
    <w:p w14:paraId="1286AF86" w14:textId="77777777" w:rsidR="003C33C5" w:rsidRPr="003C33C5" w:rsidRDefault="003C33C5" w:rsidP="003C33C5">
      <w:pPr>
        <w:pStyle w:val="EndNoteBibliography"/>
        <w:spacing w:after="0"/>
        <w:ind w:left="720" w:hanging="720"/>
      </w:pPr>
      <w:r w:rsidRPr="003C33C5">
        <w:t>3</w:t>
      </w:r>
      <w:r w:rsidRPr="003C33C5">
        <w:tab/>
        <w:t>Horak, F.</w:t>
      </w:r>
      <w:r w:rsidRPr="003C33C5">
        <w:rPr>
          <w:i/>
        </w:rPr>
        <w:t xml:space="preserve"> et al.</w:t>
      </w:r>
      <w:r w:rsidRPr="003C33C5">
        <w:t xml:space="preserve"> Diagnosis and management of asthma - Statement on the 2015 GINA Guidelines. </w:t>
      </w:r>
      <w:r w:rsidRPr="003C33C5">
        <w:rPr>
          <w:i/>
        </w:rPr>
        <w:t>Wien Klin Wochenschr</w:t>
      </w:r>
      <w:r w:rsidRPr="003C33C5">
        <w:t xml:space="preserve"> </w:t>
      </w:r>
      <w:r w:rsidRPr="003C33C5">
        <w:rPr>
          <w:b/>
        </w:rPr>
        <w:t>128</w:t>
      </w:r>
      <w:r w:rsidRPr="003C33C5">
        <w:t>, 541-554, doi:10.1007/s00508-016-1019-4 (2016).</w:t>
      </w:r>
    </w:p>
    <w:p w14:paraId="2C97EF62" w14:textId="77777777" w:rsidR="003C33C5" w:rsidRPr="003C33C5" w:rsidRDefault="003C33C5" w:rsidP="003C33C5">
      <w:pPr>
        <w:pStyle w:val="EndNoteBibliography"/>
        <w:spacing w:after="0"/>
        <w:ind w:left="720" w:hanging="720"/>
      </w:pPr>
      <w:r w:rsidRPr="003C33C5">
        <w:t>4</w:t>
      </w:r>
      <w:r w:rsidRPr="003C33C5">
        <w:tab/>
        <w:t xml:space="preserve">Merchant, R. K., Inamdar, R. &amp; Quade, R. C. Effectiveness of Population Health Management Using the Propeller Health Asthma Platform: A Randomized Clinical Trial. </w:t>
      </w:r>
      <w:r w:rsidRPr="003C33C5">
        <w:rPr>
          <w:i/>
        </w:rPr>
        <w:t>The Journal of Allergy and Clinical Immunology: In Practice</w:t>
      </w:r>
      <w:r w:rsidRPr="003C33C5">
        <w:t xml:space="preserve"> </w:t>
      </w:r>
      <w:r w:rsidRPr="003C33C5">
        <w:rPr>
          <w:b/>
        </w:rPr>
        <w:t>4</w:t>
      </w:r>
      <w:r w:rsidRPr="003C33C5">
        <w:t>, 455-463 (2016).</w:t>
      </w:r>
    </w:p>
    <w:p w14:paraId="61ED4A02" w14:textId="77777777" w:rsidR="003C33C5" w:rsidRPr="003C33C5" w:rsidRDefault="003C33C5" w:rsidP="003C33C5">
      <w:pPr>
        <w:pStyle w:val="EndNoteBibliography"/>
        <w:spacing w:after="0"/>
        <w:ind w:left="720" w:hanging="720"/>
      </w:pPr>
      <w:r w:rsidRPr="003C33C5">
        <w:t>5</w:t>
      </w:r>
      <w:r w:rsidRPr="003C33C5">
        <w:tab/>
        <w:t xml:space="preserve">Campbell, J. D., Spackman, D. E. &amp; Sullivan, S. D. The costs and consequences of omalizumab in uncontrolled asthma from a USA payer perspective. </w:t>
      </w:r>
      <w:r w:rsidRPr="003C33C5">
        <w:rPr>
          <w:i/>
        </w:rPr>
        <w:t>Allergy</w:t>
      </w:r>
      <w:r w:rsidRPr="003C33C5">
        <w:t xml:space="preserve"> </w:t>
      </w:r>
      <w:r w:rsidRPr="003C33C5">
        <w:rPr>
          <w:b/>
        </w:rPr>
        <w:t>65</w:t>
      </w:r>
      <w:r w:rsidRPr="003C33C5">
        <w:t>, 1141-1148, doi:10.1111/j.1398-9995.2010.02336.x (2010).</w:t>
      </w:r>
    </w:p>
    <w:p w14:paraId="2BE5EFB2" w14:textId="77777777" w:rsidR="003C33C5" w:rsidRPr="003C33C5" w:rsidRDefault="003C33C5" w:rsidP="003C33C5">
      <w:pPr>
        <w:pStyle w:val="EndNoteBibliography"/>
        <w:spacing w:after="0"/>
        <w:ind w:left="720" w:hanging="720"/>
      </w:pPr>
      <w:r w:rsidRPr="003C33C5">
        <w:t>6</w:t>
      </w:r>
      <w:r w:rsidRPr="003C33C5">
        <w:tab/>
        <w:t>Paltiel, A. D.</w:t>
      </w:r>
      <w:r w:rsidRPr="003C33C5">
        <w:rPr>
          <w:i/>
        </w:rPr>
        <w:t xml:space="preserve"> et al.</w:t>
      </w:r>
      <w:r w:rsidRPr="003C33C5">
        <w:t xml:space="preserve"> Cost-effectiveness of inhaled corticosteroids in adults with mild-to-moderate asthma: results from the asthma policy model. </w:t>
      </w:r>
      <w:r w:rsidRPr="003C33C5">
        <w:rPr>
          <w:i/>
        </w:rPr>
        <w:t>J Allergy Clin Immunol</w:t>
      </w:r>
      <w:r w:rsidRPr="003C33C5">
        <w:t xml:space="preserve"> </w:t>
      </w:r>
      <w:r w:rsidRPr="003C33C5">
        <w:rPr>
          <w:b/>
        </w:rPr>
        <w:t>108</w:t>
      </w:r>
      <w:r w:rsidRPr="003C33C5">
        <w:t>, 39-46 (2001).</w:t>
      </w:r>
    </w:p>
    <w:p w14:paraId="58D8ED5C" w14:textId="77777777" w:rsidR="003C33C5" w:rsidRPr="003C33C5" w:rsidRDefault="003C33C5" w:rsidP="003C33C5">
      <w:pPr>
        <w:pStyle w:val="EndNoteBibliography"/>
        <w:spacing w:after="0"/>
        <w:ind w:left="720" w:hanging="720"/>
      </w:pPr>
      <w:r w:rsidRPr="003C33C5">
        <w:t>7</w:t>
      </w:r>
      <w:r w:rsidRPr="003C33C5">
        <w:tab/>
        <w:t xml:space="preserve">de Vries, F., Setakis, E., Zhang, B. &amp; van Staa, T. P. Long-acting {beta}2-agonists in adult asthma and the pattern of risk of death and severe asthma outcomes: a study using the GPRD. </w:t>
      </w:r>
      <w:r w:rsidRPr="003C33C5">
        <w:rPr>
          <w:i/>
        </w:rPr>
        <w:t>Eur Respir J</w:t>
      </w:r>
      <w:r w:rsidRPr="003C33C5">
        <w:t xml:space="preserve"> </w:t>
      </w:r>
      <w:r w:rsidRPr="003C33C5">
        <w:rPr>
          <w:b/>
        </w:rPr>
        <w:t>36</w:t>
      </w:r>
      <w:r w:rsidRPr="003C33C5">
        <w:t>, 494-502, doi:10.1183/09031936.00124209 (2010).</w:t>
      </w:r>
    </w:p>
    <w:p w14:paraId="374AF188" w14:textId="77777777" w:rsidR="003C33C5" w:rsidRPr="003C33C5" w:rsidRDefault="003C33C5" w:rsidP="003C33C5">
      <w:pPr>
        <w:pStyle w:val="EndNoteBibliography"/>
        <w:spacing w:after="0"/>
        <w:ind w:left="720" w:hanging="720"/>
      </w:pPr>
      <w:r w:rsidRPr="003C33C5">
        <w:t>8</w:t>
      </w:r>
      <w:r w:rsidRPr="003C33C5">
        <w:tab/>
        <w:t>Sullivan, P. W.</w:t>
      </w:r>
      <w:r w:rsidRPr="003C33C5">
        <w:rPr>
          <w:i/>
        </w:rPr>
        <w:t xml:space="preserve"> et al.</w:t>
      </w:r>
      <w:r w:rsidRPr="003C33C5">
        <w:t xml:space="preserve"> Measuring the effect of asthma control on exacerbations and health resource use. </w:t>
      </w:r>
      <w:r w:rsidRPr="003C33C5">
        <w:rPr>
          <w:i/>
        </w:rPr>
        <w:t>Journal of Allergy and Clinical Immunology</w:t>
      </w:r>
      <w:r w:rsidRPr="003C33C5">
        <w:t xml:space="preserve"> </w:t>
      </w:r>
      <w:r w:rsidRPr="003C33C5">
        <w:rPr>
          <w:b/>
        </w:rPr>
        <w:t>136</w:t>
      </w:r>
      <w:r w:rsidRPr="003C33C5">
        <w:t>, 1409 (2015).</w:t>
      </w:r>
    </w:p>
    <w:p w14:paraId="641DF587" w14:textId="77777777" w:rsidR="003C33C5" w:rsidRPr="003C33C5" w:rsidRDefault="003C33C5" w:rsidP="003C33C5">
      <w:pPr>
        <w:pStyle w:val="EndNoteBibliography"/>
        <w:spacing w:after="0"/>
        <w:ind w:left="720" w:hanging="720"/>
      </w:pPr>
      <w:r w:rsidRPr="003C33C5">
        <w:t>9</w:t>
      </w:r>
      <w:r w:rsidRPr="003C33C5">
        <w:tab/>
        <w:t>Ayres, J. G.</w:t>
      </w:r>
      <w:r w:rsidRPr="003C33C5">
        <w:rPr>
          <w:i/>
        </w:rPr>
        <w:t xml:space="preserve"> et al.</w:t>
      </w:r>
      <w:r w:rsidRPr="003C33C5">
        <w:t xml:space="preserve"> Efficacy and tolerability of anti-immunoglobulin E therapy with omalizumab in patients with poorly controlled (moderate-to-severe) allergic asthma. </w:t>
      </w:r>
      <w:r w:rsidRPr="003C33C5">
        <w:rPr>
          <w:i/>
        </w:rPr>
        <w:t>Allergy</w:t>
      </w:r>
      <w:r w:rsidRPr="003C33C5">
        <w:t xml:space="preserve"> </w:t>
      </w:r>
      <w:r w:rsidRPr="003C33C5">
        <w:rPr>
          <w:b/>
        </w:rPr>
        <w:t>59</w:t>
      </w:r>
      <w:r w:rsidRPr="003C33C5">
        <w:t>, 701-708, doi:10.1111/j.1398-9995.2004.00533.x (2004).</w:t>
      </w:r>
    </w:p>
    <w:p w14:paraId="67E6DEDA" w14:textId="77777777" w:rsidR="003C33C5" w:rsidRPr="003C33C5" w:rsidRDefault="003C33C5" w:rsidP="003C33C5">
      <w:pPr>
        <w:pStyle w:val="EndNoteBibliography"/>
        <w:spacing w:after="0"/>
        <w:ind w:left="720" w:hanging="720"/>
      </w:pPr>
      <w:r w:rsidRPr="003C33C5">
        <w:t>10</w:t>
      </w:r>
      <w:r w:rsidRPr="003C33C5">
        <w:tab/>
        <w:t>2006., M. D.</w:t>
      </w:r>
    </w:p>
    <w:p w14:paraId="0729D6A4" w14:textId="77777777" w:rsidR="003C33C5" w:rsidRPr="003C33C5" w:rsidRDefault="003C33C5" w:rsidP="003C33C5">
      <w:pPr>
        <w:pStyle w:val="EndNoteBibliography"/>
        <w:spacing w:after="0"/>
        <w:ind w:left="720" w:hanging="720"/>
      </w:pPr>
      <w:r w:rsidRPr="003C33C5">
        <w:t>11</w:t>
      </w:r>
      <w:r w:rsidRPr="003C33C5">
        <w:tab/>
        <w:t>Chen, H.</w:t>
      </w:r>
      <w:r w:rsidRPr="003C33C5">
        <w:rPr>
          <w:i/>
        </w:rPr>
        <w:t xml:space="preserve"> et al.</w:t>
      </w:r>
      <w:r w:rsidRPr="003C33C5">
        <w:t xml:space="preserve"> Asthma control, severity, and quality of life: quantifying the effect of uncontrolled disease. </w:t>
      </w:r>
      <w:r w:rsidRPr="003C33C5">
        <w:rPr>
          <w:i/>
        </w:rPr>
        <w:t>J Allergy Clin Immunol</w:t>
      </w:r>
      <w:r w:rsidRPr="003C33C5">
        <w:t xml:space="preserve"> </w:t>
      </w:r>
      <w:r w:rsidRPr="003C33C5">
        <w:rPr>
          <w:b/>
        </w:rPr>
        <w:t>120</w:t>
      </w:r>
      <w:r w:rsidRPr="003C33C5">
        <w:t>, 396-402, doi:10.1016/j.jaci.2007.04.040 (2007).</w:t>
      </w:r>
    </w:p>
    <w:p w14:paraId="2EC986F0" w14:textId="77777777" w:rsidR="003C33C5" w:rsidRPr="003C33C5" w:rsidRDefault="003C33C5" w:rsidP="003C33C5">
      <w:pPr>
        <w:pStyle w:val="EndNoteBibliography"/>
        <w:spacing w:after="0"/>
        <w:ind w:left="720" w:hanging="720"/>
      </w:pPr>
      <w:r w:rsidRPr="003C33C5">
        <w:t>12</w:t>
      </w:r>
      <w:r w:rsidRPr="003C33C5">
        <w:tab/>
        <w:t xml:space="preserve">Price, D., Brown, R. &amp; Lloyd, A. Burden of poorly controlled asthma for patients and society in the UK. </w:t>
      </w:r>
      <w:r w:rsidRPr="003C33C5">
        <w:rPr>
          <w:i/>
        </w:rPr>
        <w:t>Prim Care Resp J</w:t>
      </w:r>
      <w:r w:rsidRPr="003C33C5">
        <w:t xml:space="preserve"> </w:t>
      </w:r>
      <w:r w:rsidRPr="003C33C5">
        <w:rPr>
          <w:b/>
        </w:rPr>
        <w:t>13</w:t>
      </w:r>
      <w:r w:rsidRPr="003C33C5">
        <w:t>, 113 (2004).</w:t>
      </w:r>
    </w:p>
    <w:p w14:paraId="6A6AED6D" w14:textId="77777777" w:rsidR="003C33C5" w:rsidRPr="003C33C5" w:rsidRDefault="003C33C5" w:rsidP="003C33C5">
      <w:pPr>
        <w:pStyle w:val="EndNoteBibliography"/>
        <w:spacing w:after="0"/>
        <w:ind w:left="720" w:hanging="720"/>
      </w:pPr>
      <w:r w:rsidRPr="003C33C5">
        <w:t>13</w:t>
      </w:r>
      <w:r w:rsidRPr="003C33C5">
        <w:tab/>
        <w:t>Sullivan, P. W.</w:t>
      </w:r>
      <w:r w:rsidRPr="003C33C5">
        <w:rPr>
          <w:i/>
        </w:rPr>
        <w:t xml:space="preserve"> et al.</w:t>
      </w:r>
      <w:r w:rsidRPr="003C33C5">
        <w:t xml:space="preserve"> Measuring the cost of poor asthma control and exacerbations. </w:t>
      </w:r>
      <w:r w:rsidRPr="003C33C5">
        <w:rPr>
          <w:i/>
        </w:rPr>
        <w:t>J Asthma</w:t>
      </w:r>
      <w:r w:rsidRPr="003C33C5">
        <w:t>, 1-8, doi:10.1080/02770903.2016.1194430 (2016).</w:t>
      </w:r>
    </w:p>
    <w:p w14:paraId="0B0DED15" w14:textId="77777777" w:rsidR="003C33C5" w:rsidRPr="003C33C5" w:rsidRDefault="003C33C5" w:rsidP="003C33C5">
      <w:pPr>
        <w:pStyle w:val="EndNoteBibliography"/>
        <w:ind w:left="720" w:hanging="720"/>
      </w:pPr>
      <w:r w:rsidRPr="003C33C5">
        <w:t>14</w:t>
      </w:r>
      <w:r w:rsidRPr="003C33C5">
        <w:tab/>
        <w:t xml:space="preserve">Einarson, T. R., Bereza, B. G., Nielsen, T. A. &amp; Hemels, M. E. Utilities for asthma and COPD according to category of severity: a comprehensive literature review. </w:t>
      </w:r>
      <w:r w:rsidRPr="003C33C5">
        <w:rPr>
          <w:i/>
        </w:rPr>
        <w:t>J Med Econ</w:t>
      </w:r>
      <w:r w:rsidRPr="003C33C5">
        <w:t xml:space="preserve"> </w:t>
      </w:r>
      <w:r w:rsidRPr="003C33C5">
        <w:rPr>
          <w:b/>
        </w:rPr>
        <w:t>18</w:t>
      </w:r>
      <w:r w:rsidRPr="003C33C5">
        <w:t>, 550-563, doi:10.3111/13696998.2015.1025793 (2015).</w:t>
      </w:r>
    </w:p>
    <w:p w14:paraId="4DBB7EAA" w14:textId="1C9E96DA" w:rsidR="00454601" w:rsidRDefault="00227A9E">
      <w:pPr>
        <w:rPr>
          <w:rFonts w:ascii="Times New Roman" w:hAnsi="Times New Roman" w:cs="Times New Roman"/>
        </w:rPr>
      </w:pPr>
      <w:r w:rsidRPr="00683EB3">
        <w:rPr>
          <w:rFonts w:ascii="Times New Roman" w:hAnsi="Times New Roman" w:cs="Times New Roman"/>
        </w:rPr>
        <w:fldChar w:fldCharType="end"/>
      </w:r>
    </w:p>
    <w:p w14:paraId="57025F11" w14:textId="7BDAE24E" w:rsidR="00521A8C" w:rsidRPr="000552B3" w:rsidRDefault="00521A8C" w:rsidP="00521A8C">
      <w:pPr>
        <w:spacing w:after="120" w:line="360" w:lineRule="auto"/>
        <w:rPr>
          <w:rFonts w:ascii="Times New Roman" w:hAnsi="Times New Roman" w:cs="Times New Roman"/>
          <w:b/>
          <w:sz w:val="28"/>
          <w:lang w:val="es-ES"/>
        </w:rPr>
      </w:pPr>
      <w:r>
        <w:rPr>
          <w:rFonts w:ascii="Times New Roman" w:hAnsi="Times New Roman" w:cs="Times New Roman"/>
          <w:b/>
          <w:sz w:val="28"/>
          <w:lang w:val="es-ES"/>
        </w:rPr>
        <w:lastRenderedPageBreak/>
        <w:t>Appendix</w:t>
      </w:r>
    </w:p>
    <w:p w14:paraId="11DA0B3D" w14:textId="5B7C030E" w:rsidR="007A1838" w:rsidRDefault="00521A8C" w:rsidP="00726657">
      <w:pPr>
        <w:spacing w:after="120" w:line="360" w:lineRule="auto"/>
      </w:pPr>
      <w:r w:rsidRPr="004A2C03">
        <w:rPr>
          <w:b/>
        </w:rPr>
        <w:t>Appendix 1</w:t>
      </w:r>
      <w:r>
        <w:t>. One-way S</w:t>
      </w:r>
      <w:bookmarkStart w:id="6" w:name="_GoBack"/>
      <w:bookmarkEnd w:id="6"/>
      <w:r>
        <w:t>ensitivity Analysis Assumptions and Values</w:t>
      </w:r>
    </w:p>
    <w:tbl>
      <w:tblPr>
        <w:tblStyle w:val="ListTable7Colorful-Accent5"/>
        <w:tblW w:w="0" w:type="auto"/>
        <w:tblLook w:val="04A0" w:firstRow="1" w:lastRow="0" w:firstColumn="1" w:lastColumn="0" w:noHBand="0" w:noVBand="1"/>
      </w:tblPr>
      <w:tblGrid>
        <w:gridCol w:w="5130"/>
        <w:gridCol w:w="1080"/>
        <w:gridCol w:w="1080"/>
        <w:gridCol w:w="2060"/>
      </w:tblGrid>
      <w:tr w:rsidR="004A2C03" w14:paraId="7B447618" w14:textId="77777777" w:rsidTr="004A2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30" w:type="dxa"/>
            <w:vAlign w:val="bottom"/>
          </w:tcPr>
          <w:p w14:paraId="0FA6300C" w14:textId="264950E0" w:rsidR="004A2C03" w:rsidRDefault="004A2C03" w:rsidP="004A2C03">
            <w:pPr>
              <w:spacing w:after="120" w:line="360" w:lineRule="auto"/>
            </w:pPr>
            <w:r>
              <w:rPr>
                <w:rFonts w:ascii="Calibri" w:hAnsi="Calibri" w:cs="Calibri"/>
                <w:b/>
                <w:bCs/>
                <w:color w:val="000000"/>
                <w:sz w:val="22"/>
                <w:szCs w:val="22"/>
              </w:rPr>
              <w:t>Variable</w:t>
            </w:r>
          </w:p>
        </w:tc>
        <w:tc>
          <w:tcPr>
            <w:tcW w:w="1080" w:type="dxa"/>
            <w:vAlign w:val="bottom"/>
          </w:tcPr>
          <w:p w14:paraId="758DFA06" w14:textId="65B056F2" w:rsid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pPr>
            <w:r>
              <w:rPr>
                <w:rFonts w:ascii="Calibri" w:hAnsi="Calibri" w:cs="Calibri"/>
                <w:b/>
                <w:bCs/>
                <w:color w:val="000000"/>
                <w:sz w:val="22"/>
                <w:szCs w:val="22"/>
              </w:rPr>
              <w:t>Lower</w:t>
            </w:r>
          </w:p>
        </w:tc>
        <w:tc>
          <w:tcPr>
            <w:tcW w:w="1080" w:type="dxa"/>
            <w:vAlign w:val="bottom"/>
          </w:tcPr>
          <w:p w14:paraId="62BDA4D3" w14:textId="39047D3F" w:rsid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pPr>
            <w:r>
              <w:rPr>
                <w:rFonts w:ascii="Calibri" w:hAnsi="Calibri" w:cs="Calibri"/>
                <w:b/>
                <w:bCs/>
                <w:color w:val="000000"/>
                <w:sz w:val="22"/>
                <w:szCs w:val="22"/>
              </w:rPr>
              <w:t>Upper</w:t>
            </w:r>
          </w:p>
        </w:tc>
        <w:tc>
          <w:tcPr>
            <w:tcW w:w="2060" w:type="dxa"/>
            <w:vAlign w:val="bottom"/>
          </w:tcPr>
          <w:p w14:paraId="20691B2E" w14:textId="7C45B2F9" w:rsid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pPr>
            <w:r>
              <w:rPr>
                <w:rFonts w:ascii="Calibri" w:hAnsi="Calibri" w:cs="Calibri"/>
                <w:b/>
                <w:bCs/>
                <w:color w:val="000000"/>
                <w:sz w:val="22"/>
                <w:szCs w:val="22"/>
              </w:rPr>
              <w:t>Ref</w:t>
            </w:r>
          </w:p>
        </w:tc>
      </w:tr>
      <w:tr w:rsidR="004A2C03" w14:paraId="54E10F07"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0C737461" w14:textId="18EFF98A" w:rsidR="004A2C03" w:rsidRDefault="004A2C03" w:rsidP="004A2C03">
            <w:pPr>
              <w:spacing w:after="120" w:line="360" w:lineRule="auto"/>
            </w:pPr>
            <w:r>
              <w:rPr>
                <w:rFonts w:ascii="Arial" w:hAnsi="Arial" w:cs="Arial"/>
                <w:sz w:val="20"/>
                <w:szCs w:val="20"/>
              </w:rPr>
              <w:t>Probability of Asthma-related Mortality for 2 weeks for Uncontrolled Patients</w:t>
            </w:r>
          </w:p>
        </w:tc>
        <w:tc>
          <w:tcPr>
            <w:tcW w:w="1080" w:type="dxa"/>
            <w:vAlign w:val="bottom"/>
          </w:tcPr>
          <w:p w14:paraId="444451E1" w14:textId="4944D90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0.000612</w:t>
            </w:r>
          </w:p>
        </w:tc>
        <w:tc>
          <w:tcPr>
            <w:tcW w:w="1080" w:type="dxa"/>
            <w:vAlign w:val="bottom"/>
          </w:tcPr>
          <w:p w14:paraId="0C05F7C3" w14:textId="7145EC3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0.005309</w:t>
            </w:r>
          </w:p>
        </w:tc>
        <w:tc>
          <w:tcPr>
            <w:tcW w:w="2060" w:type="dxa"/>
            <w:vAlign w:val="bottom"/>
          </w:tcPr>
          <w:p w14:paraId="5BFEB134" w14:textId="228375DD"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7F6E2369"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590A520A" w14:textId="284D5336" w:rsidR="004A2C03" w:rsidRDefault="004A2C03" w:rsidP="004A2C03">
            <w:pPr>
              <w:spacing w:after="120" w:line="360" w:lineRule="auto"/>
            </w:pPr>
            <w:r>
              <w:rPr>
                <w:rFonts w:ascii="Arial" w:hAnsi="Arial" w:cs="Arial"/>
                <w:sz w:val="20"/>
                <w:szCs w:val="20"/>
              </w:rPr>
              <w:t>Additional risk of death given asthma hospitalization</w:t>
            </w:r>
          </w:p>
        </w:tc>
        <w:tc>
          <w:tcPr>
            <w:tcW w:w="1080" w:type="dxa"/>
            <w:vAlign w:val="bottom"/>
          </w:tcPr>
          <w:p w14:paraId="7BFA22F2" w14:textId="397E13B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0.008431</w:t>
            </w:r>
          </w:p>
        </w:tc>
        <w:tc>
          <w:tcPr>
            <w:tcW w:w="1080" w:type="dxa"/>
            <w:vAlign w:val="bottom"/>
          </w:tcPr>
          <w:p w14:paraId="461B8B89" w14:textId="34C7FA5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0.015376</w:t>
            </w:r>
          </w:p>
        </w:tc>
        <w:tc>
          <w:tcPr>
            <w:tcW w:w="2060" w:type="dxa"/>
            <w:vAlign w:val="bottom"/>
          </w:tcPr>
          <w:p w14:paraId="29C4D6B8" w14:textId="76DB129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4430F34B"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3F5179CB" w14:textId="4D66611C" w:rsidR="004A2C03" w:rsidRDefault="004A2C03" w:rsidP="004A2C03">
            <w:pPr>
              <w:spacing w:after="120" w:line="360" w:lineRule="auto"/>
            </w:pPr>
            <w:r>
              <w:rPr>
                <w:rFonts w:ascii="Arial" w:hAnsi="Arial" w:cs="Arial"/>
                <w:sz w:val="20"/>
                <w:szCs w:val="20"/>
              </w:rPr>
              <w:t>Probability of Asthma-related Mortality for 2 weeks for Controlled Patients</w:t>
            </w:r>
          </w:p>
        </w:tc>
        <w:tc>
          <w:tcPr>
            <w:tcW w:w="1080" w:type="dxa"/>
            <w:vAlign w:val="bottom"/>
          </w:tcPr>
          <w:p w14:paraId="33BA23F5" w14:textId="6BA8590B"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3.08E-07</w:t>
            </w:r>
          </w:p>
        </w:tc>
        <w:tc>
          <w:tcPr>
            <w:tcW w:w="1080" w:type="dxa"/>
            <w:vAlign w:val="bottom"/>
          </w:tcPr>
          <w:p w14:paraId="07024539" w14:textId="346CEE1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0.000732</w:t>
            </w:r>
          </w:p>
        </w:tc>
        <w:tc>
          <w:tcPr>
            <w:tcW w:w="2060" w:type="dxa"/>
            <w:vAlign w:val="bottom"/>
          </w:tcPr>
          <w:p w14:paraId="7D265FAA" w14:textId="51F69BD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6F68DB8E"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24F26BE0" w14:textId="7CC50C0C" w:rsidR="004A2C03" w:rsidRDefault="004A2C03" w:rsidP="004A2C03">
            <w:pPr>
              <w:spacing w:after="120" w:line="360" w:lineRule="auto"/>
            </w:pPr>
            <w:r>
              <w:rPr>
                <w:rFonts w:ascii="Arial" w:hAnsi="Arial" w:cs="Arial"/>
                <w:sz w:val="20"/>
                <w:szCs w:val="20"/>
              </w:rPr>
              <w:t>Probability of OC Burst per 2 week</w:t>
            </w:r>
          </w:p>
        </w:tc>
        <w:tc>
          <w:tcPr>
            <w:tcW w:w="1080" w:type="dxa"/>
            <w:vAlign w:val="bottom"/>
          </w:tcPr>
          <w:p w14:paraId="03212BDF" w14:textId="2E6C281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0.087612</w:t>
            </w:r>
          </w:p>
        </w:tc>
        <w:tc>
          <w:tcPr>
            <w:tcW w:w="1080" w:type="dxa"/>
            <w:vAlign w:val="bottom"/>
          </w:tcPr>
          <w:p w14:paraId="2A9CC608" w14:textId="064BAED7"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0.114055</w:t>
            </w:r>
          </w:p>
        </w:tc>
        <w:tc>
          <w:tcPr>
            <w:tcW w:w="2060" w:type="dxa"/>
            <w:vAlign w:val="bottom"/>
          </w:tcPr>
          <w:p w14:paraId="5B65E757" w14:textId="207F1A77"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3DAED960"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24BBC675" w14:textId="47270F16" w:rsidR="004A2C03" w:rsidRDefault="004A2C03" w:rsidP="004A2C03">
            <w:pPr>
              <w:spacing w:after="120" w:line="360" w:lineRule="auto"/>
            </w:pPr>
            <w:r>
              <w:rPr>
                <w:rFonts w:ascii="Arial" w:hAnsi="Arial" w:cs="Arial"/>
                <w:sz w:val="20"/>
                <w:szCs w:val="20"/>
              </w:rPr>
              <w:t>Probability of Emergency Room Visit per 2 week</w:t>
            </w:r>
          </w:p>
        </w:tc>
        <w:tc>
          <w:tcPr>
            <w:tcW w:w="1080" w:type="dxa"/>
            <w:vAlign w:val="bottom"/>
          </w:tcPr>
          <w:p w14:paraId="52B93152" w14:textId="407AA04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0.002908</w:t>
            </w:r>
          </w:p>
        </w:tc>
        <w:tc>
          <w:tcPr>
            <w:tcW w:w="1080" w:type="dxa"/>
            <w:vAlign w:val="bottom"/>
          </w:tcPr>
          <w:p w14:paraId="25A6072F" w14:textId="3B62884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0.009504</w:t>
            </w:r>
          </w:p>
        </w:tc>
        <w:tc>
          <w:tcPr>
            <w:tcW w:w="2060" w:type="dxa"/>
            <w:vAlign w:val="bottom"/>
          </w:tcPr>
          <w:p w14:paraId="6D6E5B3B" w14:textId="4E11C04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6A8B6E22"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77D603ED" w14:textId="1A0AA3D6" w:rsidR="004A2C03" w:rsidRDefault="004A2C03" w:rsidP="004A2C03">
            <w:pPr>
              <w:spacing w:after="120" w:line="360" w:lineRule="auto"/>
            </w:pPr>
            <w:r>
              <w:rPr>
                <w:rFonts w:ascii="Arial" w:hAnsi="Arial" w:cs="Arial"/>
                <w:sz w:val="20"/>
                <w:szCs w:val="20"/>
              </w:rPr>
              <w:t>Probability of Asthma Hospitalization per 2 week</w:t>
            </w:r>
          </w:p>
        </w:tc>
        <w:tc>
          <w:tcPr>
            <w:tcW w:w="1080" w:type="dxa"/>
            <w:vAlign w:val="bottom"/>
          </w:tcPr>
          <w:p w14:paraId="686182F2" w14:textId="253C112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0.000697</w:t>
            </w:r>
          </w:p>
        </w:tc>
        <w:tc>
          <w:tcPr>
            <w:tcW w:w="1080" w:type="dxa"/>
            <w:vAlign w:val="bottom"/>
          </w:tcPr>
          <w:p w14:paraId="7FE974D2" w14:textId="0C69BDF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0.004835</w:t>
            </w:r>
          </w:p>
        </w:tc>
        <w:tc>
          <w:tcPr>
            <w:tcW w:w="2060" w:type="dxa"/>
            <w:vAlign w:val="bottom"/>
          </w:tcPr>
          <w:p w14:paraId="3A33A69B" w14:textId="4FA85456"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7BAA0382"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020D08CA" w14:textId="07B85145" w:rsidR="004A2C03" w:rsidRDefault="004A2C03" w:rsidP="004A2C03">
            <w:pPr>
              <w:spacing w:after="120" w:line="360" w:lineRule="auto"/>
            </w:pPr>
            <w:r>
              <w:rPr>
                <w:rFonts w:ascii="Arial" w:hAnsi="Arial" w:cs="Arial"/>
                <w:sz w:val="20"/>
                <w:szCs w:val="20"/>
              </w:rPr>
              <w:t>Probability of OC Burst per 2 week for controlled asthma</w:t>
            </w:r>
          </w:p>
        </w:tc>
        <w:tc>
          <w:tcPr>
            <w:tcW w:w="1080" w:type="dxa"/>
            <w:vAlign w:val="bottom"/>
          </w:tcPr>
          <w:p w14:paraId="4916D937" w14:textId="4512785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0.086949</w:t>
            </w:r>
          </w:p>
        </w:tc>
        <w:tc>
          <w:tcPr>
            <w:tcW w:w="1080" w:type="dxa"/>
            <w:vAlign w:val="bottom"/>
          </w:tcPr>
          <w:p w14:paraId="0C97F6CA" w14:textId="70A07FB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0.106074</w:t>
            </w:r>
          </w:p>
        </w:tc>
        <w:tc>
          <w:tcPr>
            <w:tcW w:w="2060" w:type="dxa"/>
            <w:vAlign w:val="bottom"/>
          </w:tcPr>
          <w:p w14:paraId="3CE36BC4" w14:textId="585194C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6882AEE5"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4455931A" w14:textId="4CC69B8C" w:rsidR="004A2C03" w:rsidRDefault="004A2C03" w:rsidP="004A2C03">
            <w:pPr>
              <w:spacing w:after="120" w:line="360" w:lineRule="auto"/>
            </w:pPr>
            <w:r>
              <w:rPr>
                <w:rFonts w:ascii="Arial" w:hAnsi="Arial" w:cs="Arial"/>
                <w:sz w:val="20"/>
                <w:szCs w:val="20"/>
              </w:rPr>
              <w:t xml:space="preserve">Probability of Emergency Room Visit per 2 week for controlled asthma </w:t>
            </w:r>
          </w:p>
        </w:tc>
        <w:tc>
          <w:tcPr>
            <w:tcW w:w="1080" w:type="dxa"/>
            <w:vAlign w:val="bottom"/>
          </w:tcPr>
          <w:p w14:paraId="21F93679" w14:textId="7A4A153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0.001018</w:t>
            </w:r>
          </w:p>
        </w:tc>
        <w:tc>
          <w:tcPr>
            <w:tcW w:w="1080" w:type="dxa"/>
            <w:vAlign w:val="bottom"/>
          </w:tcPr>
          <w:p w14:paraId="70AB7441" w14:textId="071D94A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0.004092</w:t>
            </w:r>
          </w:p>
        </w:tc>
        <w:tc>
          <w:tcPr>
            <w:tcW w:w="2060" w:type="dxa"/>
            <w:vAlign w:val="bottom"/>
          </w:tcPr>
          <w:p w14:paraId="7C97D992" w14:textId="14DCE69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07D36EF2"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787C86F1" w14:textId="79872ED4" w:rsidR="004A2C03" w:rsidRDefault="004A2C03" w:rsidP="004A2C03">
            <w:pPr>
              <w:spacing w:after="120" w:line="360" w:lineRule="auto"/>
            </w:pPr>
            <w:r>
              <w:rPr>
                <w:rFonts w:ascii="Arial" w:hAnsi="Arial" w:cs="Arial"/>
                <w:sz w:val="20"/>
                <w:szCs w:val="20"/>
              </w:rPr>
              <w:t>Probability of Asthma Hospitalization per 2 week for controlled asthma</w:t>
            </w:r>
          </w:p>
        </w:tc>
        <w:tc>
          <w:tcPr>
            <w:tcW w:w="1080" w:type="dxa"/>
            <w:vAlign w:val="bottom"/>
          </w:tcPr>
          <w:p w14:paraId="5C51C023" w14:textId="521C848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0.001018</w:t>
            </w:r>
          </w:p>
        </w:tc>
        <w:tc>
          <w:tcPr>
            <w:tcW w:w="1080" w:type="dxa"/>
            <w:vAlign w:val="bottom"/>
          </w:tcPr>
          <w:p w14:paraId="4744F0D5" w14:textId="2B14550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0.004092</w:t>
            </w:r>
          </w:p>
        </w:tc>
        <w:tc>
          <w:tcPr>
            <w:tcW w:w="2060" w:type="dxa"/>
            <w:vAlign w:val="bottom"/>
          </w:tcPr>
          <w:p w14:paraId="3AD7E75B" w14:textId="460FCE2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76409E23"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5553E812" w14:textId="6764A6BA" w:rsidR="004A2C03" w:rsidRDefault="004A2C03" w:rsidP="004A2C03">
            <w:pPr>
              <w:spacing w:after="120" w:line="360" w:lineRule="auto"/>
            </w:pPr>
            <w:r>
              <w:rPr>
                <w:rFonts w:ascii="Arial" w:hAnsi="Arial" w:cs="Arial"/>
                <w:sz w:val="20"/>
                <w:szCs w:val="20"/>
              </w:rPr>
              <w:t>Usual care pharmacotherapy per 2 weeks</w:t>
            </w:r>
          </w:p>
        </w:tc>
        <w:tc>
          <w:tcPr>
            <w:tcW w:w="1080" w:type="dxa"/>
            <w:vAlign w:val="bottom"/>
          </w:tcPr>
          <w:p w14:paraId="0EFAD02F" w14:textId="1B5D116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52.83646</w:t>
            </w:r>
          </w:p>
        </w:tc>
        <w:tc>
          <w:tcPr>
            <w:tcW w:w="1080" w:type="dxa"/>
            <w:vAlign w:val="bottom"/>
          </w:tcPr>
          <w:p w14:paraId="47116627" w14:textId="5C70679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142.934</w:t>
            </w:r>
          </w:p>
        </w:tc>
        <w:tc>
          <w:tcPr>
            <w:tcW w:w="2060" w:type="dxa"/>
            <w:vAlign w:val="bottom"/>
          </w:tcPr>
          <w:p w14:paraId="0188C029" w14:textId="5F43E6C6"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Gamma dist 95% CI</w:t>
            </w:r>
          </w:p>
        </w:tc>
      </w:tr>
      <w:tr w:rsidR="004A2C03" w14:paraId="3C97782E"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27FF9C3A" w14:textId="4AF9139E" w:rsidR="004A2C03" w:rsidRDefault="004A2C03" w:rsidP="004A2C03">
            <w:pPr>
              <w:spacing w:after="120" w:line="360" w:lineRule="auto"/>
            </w:pPr>
            <w:r>
              <w:rPr>
                <w:rFonts w:ascii="Arial" w:hAnsi="Arial" w:cs="Arial"/>
                <w:sz w:val="20"/>
                <w:szCs w:val="20"/>
              </w:rPr>
              <w:t>Mild exacerbation unit cost</w:t>
            </w:r>
          </w:p>
        </w:tc>
        <w:tc>
          <w:tcPr>
            <w:tcW w:w="1080" w:type="dxa"/>
            <w:vAlign w:val="bottom"/>
          </w:tcPr>
          <w:p w14:paraId="141937A9" w14:textId="50727E7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97.63679</w:t>
            </w:r>
          </w:p>
        </w:tc>
        <w:tc>
          <w:tcPr>
            <w:tcW w:w="1080" w:type="dxa"/>
            <w:vAlign w:val="bottom"/>
          </w:tcPr>
          <w:p w14:paraId="26791906" w14:textId="536BAFC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144.6347</w:t>
            </w:r>
          </w:p>
        </w:tc>
        <w:tc>
          <w:tcPr>
            <w:tcW w:w="2060" w:type="dxa"/>
            <w:vAlign w:val="bottom"/>
          </w:tcPr>
          <w:p w14:paraId="0EC1D1BA" w14:textId="6542E60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Gamma dist 95% CI</w:t>
            </w:r>
          </w:p>
        </w:tc>
      </w:tr>
      <w:tr w:rsidR="004A2C03" w14:paraId="19DCDEF1"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19EA4B9D" w14:textId="528006CB" w:rsidR="004A2C03" w:rsidRDefault="004A2C03" w:rsidP="004A2C03">
            <w:pPr>
              <w:spacing w:after="120" w:line="360" w:lineRule="auto"/>
            </w:pPr>
            <w:r>
              <w:rPr>
                <w:rFonts w:ascii="Arial" w:hAnsi="Arial" w:cs="Arial"/>
                <w:sz w:val="20"/>
                <w:szCs w:val="20"/>
              </w:rPr>
              <w:t>Emergency room unit cost</w:t>
            </w:r>
          </w:p>
        </w:tc>
        <w:tc>
          <w:tcPr>
            <w:tcW w:w="1080" w:type="dxa"/>
            <w:vAlign w:val="bottom"/>
          </w:tcPr>
          <w:p w14:paraId="4C6383C7" w14:textId="1491689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445.5216</w:t>
            </w:r>
          </w:p>
        </w:tc>
        <w:tc>
          <w:tcPr>
            <w:tcW w:w="1080" w:type="dxa"/>
            <w:vAlign w:val="bottom"/>
          </w:tcPr>
          <w:p w14:paraId="20C3368C" w14:textId="2965862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660.9275</w:t>
            </w:r>
          </w:p>
        </w:tc>
        <w:tc>
          <w:tcPr>
            <w:tcW w:w="2060" w:type="dxa"/>
            <w:vAlign w:val="bottom"/>
          </w:tcPr>
          <w:p w14:paraId="7C1056BF" w14:textId="36D93DB8"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Gamma dist 95% CI</w:t>
            </w:r>
          </w:p>
        </w:tc>
      </w:tr>
      <w:tr w:rsidR="004A2C03" w14:paraId="1303897C"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49617946" w14:textId="47219FB9" w:rsidR="004A2C03" w:rsidRDefault="004A2C03" w:rsidP="004A2C03">
            <w:pPr>
              <w:spacing w:after="120" w:line="360" w:lineRule="auto"/>
            </w:pPr>
            <w:r>
              <w:rPr>
                <w:rFonts w:ascii="Arial" w:hAnsi="Arial" w:cs="Arial"/>
                <w:sz w:val="20"/>
                <w:szCs w:val="20"/>
              </w:rPr>
              <w:t>Hospitalization stay unit cost</w:t>
            </w:r>
          </w:p>
        </w:tc>
        <w:tc>
          <w:tcPr>
            <w:tcW w:w="1080" w:type="dxa"/>
            <w:vAlign w:val="bottom"/>
          </w:tcPr>
          <w:p w14:paraId="3B765556" w14:textId="6FF95AE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7430.513</w:t>
            </w:r>
          </w:p>
        </w:tc>
        <w:tc>
          <w:tcPr>
            <w:tcW w:w="1080" w:type="dxa"/>
            <w:vAlign w:val="bottom"/>
          </w:tcPr>
          <w:p w14:paraId="45B49517" w14:textId="4C21B3A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11006.27</w:t>
            </w:r>
          </w:p>
        </w:tc>
        <w:tc>
          <w:tcPr>
            <w:tcW w:w="2060" w:type="dxa"/>
            <w:vAlign w:val="bottom"/>
          </w:tcPr>
          <w:p w14:paraId="3BC86CD2" w14:textId="43F4DB4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Gamma dist 95% CI</w:t>
            </w:r>
          </w:p>
        </w:tc>
      </w:tr>
      <w:tr w:rsidR="004A2C03" w14:paraId="06B0915C"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09BE21AF" w14:textId="238C86E3" w:rsidR="004A2C03" w:rsidRDefault="004A2C03" w:rsidP="004A2C03">
            <w:pPr>
              <w:spacing w:after="120" w:line="360" w:lineRule="auto"/>
            </w:pPr>
            <w:r>
              <w:rPr>
                <w:rFonts w:ascii="Arial" w:hAnsi="Arial" w:cs="Arial"/>
                <w:sz w:val="20"/>
                <w:szCs w:val="20"/>
              </w:rPr>
              <w:t>One time cost of PH system registration</w:t>
            </w:r>
          </w:p>
        </w:tc>
        <w:tc>
          <w:tcPr>
            <w:tcW w:w="1080" w:type="dxa"/>
            <w:vAlign w:val="bottom"/>
          </w:tcPr>
          <w:p w14:paraId="5E1EDC90" w14:textId="611F7B5E"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57.15864</w:t>
            </w:r>
          </w:p>
        </w:tc>
        <w:tc>
          <w:tcPr>
            <w:tcW w:w="1080" w:type="dxa"/>
            <w:vAlign w:val="bottom"/>
          </w:tcPr>
          <w:p w14:paraId="61005DAC" w14:textId="0FCCBB3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154.6264</w:t>
            </w:r>
          </w:p>
        </w:tc>
        <w:tc>
          <w:tcPr>
            <w:tcW w:w="2060" w:type="dxa"/>
            <w:vAlign w:val="bottom"/>
          </w:tcPr>
          <w:p w14:paraId="661675C2" w14:textId="3C37D0D4"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Gamma dist 95% CI</w:t>
            </w:r>
          </w:p>
        </w:tc>
      </w:tr>
      <w:tr w:rsidR="004A2C03" w14:paraId="052A5AFF"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3EC52FE4" w14:textId="44531B4C" w:rsidR="004A2C03" w:rsidRDefault="004A2C03" w:rsidP="004A2C03">
            <w:pPr>
              <w:spacing w:after="120" w:line="360" w:lineRule="auto"/>
            </w:pPr>
            <w:r>
              <w:rPr>
                <w:rFonts w:ascii="Arial" w:hAnsi="Arial" w:cs="Arial"/>
                <w:sz w:val="20"/>
                <w:szCs w:val="20"/>
              </w:rPr>
              <w:t>Cost of PH system per 2 weeks (recurrent)</w:t>
            </w:r>
          </w:p>
        </w:tc>
        <w:tc>
          <w:tcPr>
            <w:tcW w:w="1080" w:type="dxa"/>
            <w:vAlign w:val="bottom"/>
          </w:tcPr>
          <w:p w14:paraId="2DCB23E2" w14:textId="434B1AF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14.28966</w:t>
            </w:r>
          </w:p>
        </w:tc>
        <w:tc>
          <w:tcPr>
            <w:tcW w:w="1080" w:type="dxa"/>
            <w:vAlign w:val="bottom"/>
          </w:tcPr>
          <w:p w14:paraId="652C57B6" w14:textId="3357105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38.65659</w:t>
            </w:r>
          </w:p>
        </w:tc>
        <w:tc>
          <w:tcPr>
            <w:tcW w:w="2060" w:type="dxa"/>
            <w:vAlign w:val="bottom"/>
          </w:tcPr>
          <w:p w14:paraId="712DCD50" w14:textId="2E1B78F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Gamma dist 95% CI</w:t>
            </w:r>
          </w:p>
        </w:tc>
      </w:tr>
      <w:tr w:rsidR="004A2C03" w14:paraId="0FF72E61"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44F18F86" w14:textId="6EFC192E" w:rsidR="004A2C03" w:rsidRDefault="004A2C03" w:rsidP="004A2C03">
            <w:pPr>
              <w:spacing w:after="120" w:line="360" w:lineRule="auto"/>
            </w:pPr>
            <w:r>
              <w:rPr>
                <w:rFonts w:ascii="Arial" w:hAnsi="Arial" w:cs="Arial"/>
                <w:sz w:val="20"/>
                <w:szCs w:val="20"/>
              </w:rPr>
              <w:t xml:space="preserve">Utility score for Non Exacerbation State (Chronic Asthma) </w:t>
            </w:r>
          </w:p>
        </w:tc>
        <w:tc>
          <w:tcPr>
            <w:tcW w:w="1080" w:type="dxa"/>
            <w:vAlign w:val="bottom"/>
          </w:tcPr>
          <w:p w14:paraId="021BEBF0" w14:textId="585EF32B"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0.57</w:t>
            </w:r>
          </w:p>
        </w:tc>
        <w:tc>
          <w:tcPr>
            <w:tcW w:w="1080" w:type="dxa"/>
            <w:vAlign w:val="bottom"/>
          </w:tcPr>
          <w:p w14:paraId="04370B04" w14:textId="4DA3A365"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0.89</w:t>
            </w:r>
          </w:p>
        </w:tc>
        <w:tc>
          <w:tcPr>
            <w:tcW w:w="2060" w:type="dxa"/>
            <w:vAlign w:val="bottom"/>
          </w:tcPr>
          <w:p w14:paraId="4EAE4E1B" w14:textId="19C02D5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Brown 76 2007, Norman 2013</w:t>
            </w:r>
          </w:p>
        </w:tc>
      </w:tr>
      <w:tr w:rsidR="004A2C03" w14:paraId="0BA2BA45"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18BAFBDC" w14:textId="7C9724CF" w:rsidR="004A2C03" w:rsidRDefault="004A2C03" w:rsidP="004A2C03">
            <w:pPr>
              <w:spacing w:after="120" w:line="360" w:lineRule="auto"/>
            </w:pPr>
            <w:r>
              <w:rPr>
                <w:rFonts w:ascii="Arial" w:hAnsi="Arial" w:cs="Arial"/>
                <w:sz w:val="20"/>
                <w:szCs w:val="20"/>
              </w:rPr>
              <w:t>Utility score for OC Burst</w:t>
            </w:r>
          </w:p>
        </w:tc>
        <w:tc>
          <w:tcPr>
            <w:tcW w:w="1080" w:type="dxa"/>
            <w:vAlign w:val="bottom"/>
          </w:tcPr>
          <w:p w14:paraId="585CD860" w14:textId="4D6C15BB"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0.326</w:t>
            </w:r>
          </w:p>
        </w:tc>
        <w:tc>
          <w:tcPr>
            <w:tcW w:w="1080" w:type="dxa"/>
            <w:vAlign w:val="bottom"/>
          </w:tcPr>
          <w:p w14:paraId="7CE5B037" w14:textId="468A7C9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0.65</w:t>
            </w:r>
          </w:p>
        </w:tc>
        <w:tc>
          <w:tcPr>
            <w:tcW w:w="2060" w:type="dxa"/>
            <w:vAlign w:val="bottom"/>
          </w:tcPr>
          <w:p w14:paraId="12A629EA" w14:textId="49DA04D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van Nooten 2013,  Wilson 87 2014</w:t>
            </w:r>
          </w:p>
        </w:tc>
      </w:tr>
      <w:tr w:rsidR="004A2C03" w14:paraId="0D75C19C"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7CD0AEBF" w14:textId="4BF8AC75" w:rsidR="004A2C03" w:rsidRDefault="004A2C03" w:rsidP="004A2C03">
            <w:pPr>
              <w:spacing w:after="120" w:line="360" w:lineRule="auto"/>
            </w:pPr>
            <w:r>
              <w:rPr>
                <w:rFonts w:ascii="Arial" w:hAnsi="Arial" w:cs="Arial"/>
                <w:sz w:val="20"/>
                <w:szCs w:val="20"/>
              </w:rPr>
              <w:lastRenderedPageBreak/>
              <w:t>Utility score for ER visit</w:t>
            </w:r>
          </w:p>
        </w:tc>
        <w:tc>
          <w:tcPr>
            <w:tcW w:w="1080" w:type="dxa"/>
            <w:vAlign w:val="bottom"/>
          </w:tcPr>
          <w:p w14:paraId="6CCCD2BD" w14:textId="1DFCE41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0.326</w:t>
            </w:r>
          </w:p>
        </w:tc>
        <w:tc>
          <w:tcPr>
            <w:tcW w:w="1080" w:type="dxa"/>
            <w:vAlign w:val="bottom"/>
          </w:tcPr>
          <w:p w14:paraId="08BD9885" w14:textId="09C7FDB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0.65</w:t>
            </w:r>
          </w:p>
        </w:tc>
        <w:tc>
          <w:tcPr>
            <w:tcW w:w="2060" w:type="dxa"/>
            <w:vAlign w:val="bottom"/>
          </w:tcPr>
          <w:p w14:paraId="6C90E388" w14:textId="585BF18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van Nooten 2013,  Wilson 87 2014</w:t>
            </w:r>
          </w:p>
        </w:tc>
      </w:tr>
      <w:tr w:rsidR="004A2C03" w14:paraId="3E7AA4EE"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7991320B" w14:textId="5A4E72EE" w:rsidR="004A2C03" w:rsidRDefault="004A2C03" w:rsidP="004A2C03">
            <w:pPr>
              <w:spacing w:after="120" w:line="360" w:lineRule="auto"/>
            </w:pPr>
            <w:r>
              <w:rPr>
                <w:rFonts w:ascii="Arial" w:hAnsi="Arial" w:cs="Arial"/>
                <w:sz w:val="20"/>
                <w:szCs w:val="20"/>
              </w:rPr>
              <w:t>Utility score for Hospitalization</w:t>
            </w:r>
          </w:p>
        </w:tc>
        <w:tc>
          <w:tcPr>
            <w:tcW w:w="1080" w:type="dxa"/>
            <w:vAlign w:val="bottom"/>
          </w:tcPr>
          <w:p w14:paraId="5239CEED" w14:textId="0E9C03F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0.326</w:t>
            </w:r>
          </w:p>
        </w:tc>
        <w:tc>
          <w:tcPr>
            <w:tcW w:w="1080" w:type="dxa"/>
            <w:vAlign w:val="bottom"/>
          </w:tcPr>
          <w:p w14:paraId="0EC4288D" w14:textId="12508C4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0.59</w:t>
            </w:r>
          </w:p>
        </w:tc>
        <w:tc>
          <w:tcPr>
            <w:tcW w:w="2060" w:type="dxa"/>
            <w:vAlign w:val="bottom"/>
          </w:tcPr>
          <w:p w14:paraId="16546385" w14:textId="37220AB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van Nooten 2013,  Norman 2013</w:t>
            </w:r>
          </w:p>
        </w:tc>
      </w:tr>
      <w:tr w:rsidR="004A2C03" w14:paraId="76334C13"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02162079" w14:textId="300295B4" w:rsidR="004A2C03" w:rsidRDefault="004A2C03" w:rsidP="004A2C03">
            <w:pPr>
              <w:spacing w:after="120" w:line="360" w:lineRule="auto"/>
            </w:pPr>
            <w:r>
              <w:rPr>
                <w:rFonts w:ascii="Arial" w:hAnsi="Arial" w:cs="Arial"/>
                <w:sz w:val="20"/>
                <w:szCs w:val="20"/>
              </w:rPr>
              <w:t>Probability of Controlled Asthma using PH system at 2 wks</w:t>
            </w:r>
          </w:p>
        </w:tc>
        <w:tc>
          <w:tcPr>
            <w:tcW w:w="1080" w:type="dxa"/>
            <w:vAlign w:val="bottom"/>
          </w:tcPr>
          <w:p w14:paraId="25E8658D" w14:textId="6E35F83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0.014072</w:t>
            </w:r>
          </w:p>
        </w:tc>
        <w:tc>
          <w:tcPr>
            <w:tcW w:w="1080" w:type="dxa"/>
            <w:vAlign w:val="bottom"/>
          </w:tcPr>
          <w:p w14:paraId="5F8C906A" w14:textId="277FA64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0.07141</w:t>
            </w:r>
          </w:p>
        </w:tc>
        <w:tc>
          <w:tcPr>
            <w:tcW w:w="2060" w:type="dxa"/>
            <w:vAlign w:val="bottom"/>
          </w:tcPr>
          <w:p w14:paraId="2E8D1A36" w14:textId="6719CA7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207609EB"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28FA7987" w14:textId="6379935E" w:rsidR="004A2C03" w:rsidRDefault="004A2C03" w:rsidP="004A2C03">
            <w:pPr>
              <w:spacing w:after="120" w:line="360" w:lineRule="auto"/>
            </w:pPr>
            <w:r>
              <w:rPr>
                <w:rFonts w:ascii="Arial" w:hAnsi="Arial" w:cs="Arial"/>
                <w:sz w:val="20"/>
                <w:szCs w:val="20"/>
              </w:rPr>
              <w:t>Probability of Controlled Asthma under Usual Care at 2 wks</w:t>
            </w:r>
          </w:p>
        </w:tc>
        <w:tc>
          <w:tcPr>
            <w:tcW w:w="1080" w:type="dxa"/>
            <w:vAlign w:val="bottom"/>
          </w:tcPr>
          <w:p w14:paraId="2C14F700" w14:textId="4A17705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0.002742</w:t>
            </w:r>
          </w:p>
        </w:tc>
        <w:tc>
          <w:tcPr>
            <w:tcW w:w="1080" w:type="dxa"/>
            <w:vAlign w:val="bottom"/>
          </w:tcPr>
          <w:p w14:paraId="3B54955D" w14:textId="003C8DE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0.072084</w:t>
            </w:r>
          </w:p>
        </w:tc>
        <w:tc>
          <w:tcPr>
            <w:tcW w:w="2060" w:type="dxa"/>
            <w:vAlign w:val="bottom"/>
          </w:tcPr>
          <w:p w14:paraId="36F2ECDF" w14:textId="2E1B719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164C2A29"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6B674D37" w14:textId="6DE07B13" w:rsidR="004A2C03" w:rsidRDefault="004A2C03" w:rsidP="004A2C03">
            <w:pPr>
              <w:spacing w:after="120" w:line="360" w:lineRule="auto"/>
            </w:pPr>
            <w:r>
              <w:rPr>
                <w:rFonts w:ascii="Arial" w:hAnsi="Arial" w:cs="Arial"/>
                <w:sz w:val="20"/>
                <w:szCs w:val="20"/>
              </w:rPr>
              <w:t>Probability of Uncontrolled Asthma using PH system at  2 wks as initially controlled</w:t>
            </w:r>
          </w:p>
        </w:tc>
        <w:tc>
          <w:tcPr>
            <w:tcW w:w="1080" w:type="dxa"/>
            <w:vAlign w:val="bottom"/>
          </w:tcPr>
          <w:p w14:paraId="750A36CE" w14:textId="57DE875B"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6.52E-05</w:t>
            </w:r>
          </w:p>
        </w:tc>
        <w:tc>
          <w:tcPr>
            <w:tcW w:w="1080" w:type="dxa"/>
            <w:vAlign w:val="bottom"/>
          </w:tcPr>
          <w:p w14:paraId="23E5788B" w14:textId="0EFB86D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0.029481</w:t>
            </w:r>
          </w:p>
        </w:tc>
        <w:tc>
          <w:tcPr>
            <w:tcW w:w="2060" w:type="dxa"/>
            <w:vAlign w:val="bottom"/>
          </w:tcPr>
          <w:p w14:paraId="354E4224" w14:textId="6271160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2334364B"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02FA1A86" w14:textId="276743FE" w:rsidR="004A2C03" w:rsidRDefault="004A2C03" w:rsidP="004A2C03">
            <w:pPr>
              <w:spacing w:after="120" w:line="360" w:lineRule="auto"/>
            </w:pPr>
            <w:r>
              <w:rPr>
                <w:rFonts w:ascii="Arial" w:hAnsi="Arial" w:cs="Arial"/>
                <w:sz w:val="20"/>
                <w:szCs w:val="20"/>
              </w:rPr>
              <w:t>Probability of Uncontrolled Asthma under Usual Care at 2 wks as initially controlled</w:t>
            </w:r>
          </w:p>
        </w:tc>
        <w:tc>
          <w:tcPr>
            <w:tcW w:w="1080" w:type="dxa"/>
            <w:vAlign w:val="bottom"/>
          </w:tcPr>
          <w:p w14:paraId="4FD83FED" w14:textId="3FA8304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1.9E-06</w:t>
            </w:r>
          </w:p>
        </w:tc>
        <w:tc>
          <w:tcPr>
            <w:tcW w:w="1080" w:type="dxa"/>
            <w:vAlign w:val="bottom"/>
          </w:tcPr>
          <w:p w14:paraId="36193840" w14:textId="3250044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0.030877</w:t>
            </w:r>
          </w:p>
        </w:tc>
        <w:tc>
          <w:tcPr>
            <w:tcW w:w="2060" w:type="dxa"/>
            <w:vAlign w:val="bottom"/>
          </w:tcPr>
          <w:p w14:paraId="008FAEDE" w14:textId="42C2043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bl>
    <w:p w14:paraId="0A9A45FF" w14:textId="77777777" w:rsidR="00521A8C" w:rsidRDefault="00521A8C" w:rsidP="00726657">
      <w:pPr>
        <w:spacing w:after="120" w:line="360" w:lineRule="auto"/>
      </w:pPr>
    </w:p>
    <w:p w14:paraId="2EDDB697" w14:textId="7432DA0F" w:rsidR="004A2C03" w:rsidRDefault="004A2C03" w:rsidP="004A2C03">
      <w:pPr>
        <w:spacing w:after="120" w:line="360" w:lineRule="auto"/>
      </w:pPr>
      <w:r w:rsidRPr="004A2C03">
        <w:rPr>
          <w:b/>
        </w:rPr>
        <w:t>Appendix 2</w:t>
      </w:r>
      <w:r>
        <w:t>. Probabilistic Sensitivity Analysis Standard Errors and Parameter Values</w:t>
      </w:r>
    </w:p>
    <w:tbl>
      <w:tblPr>
        <w:tblStyle w:val="ListTable7Colorful-Accent5"/>
        <w:tblW w:w="0" w:type="auto"/>
        <w:tblLook w:val="04A0" w:firstRow="1" w:lastRow="0" w:firstColumn="1" w:lastColumn="0" w:noHBand="0" w:noVBand="1"/>
      </w:tblPr>
      <w:tblGrid>
        <w:gridCol w:w="5580"/>
        <w:gridCol w:w="1620"/>
        <w:gridCol w:w="1080"/>
        <w:gridCol w:w="1070"/>
      </w:tblGrid>
      <w:tr w:rsidR="004A2C03" w14:paraId="113A738B" w14:textId="77777777" w:rsidTr="004A2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vAlign w:val="bottom"/>
          </w:tcPr>
          <w:p w14:paraId="12B29EE5" w14:textId="4336606E" w:rsidR="004A2C03" w:rsidRPr="004A2C03" w:rsidRDefault="004A2C03" w:rsidP="004A2C03">
            <w:pPr>
              <w:spacing w:after="120" w:line="360" w:lineRule="auto"/>
              <w:rPr>
                <w:b/>
              </w:rPr>
            </w:pPr>
            <w:r w:rsidRPr="004A2C03">
              <w:rPr>
                <w:rFonts w:ascii="Calibri" w:hAnsi="Calibri" w:cs="Calibri"/>
                <w:b/>
                <w:bCs/>
                <w:color w:val="000000"/>
                <w:sz w:val="22"/>
                <w:szCs w:val="22"/>
              </w:rPr>
              <w:t>Variable</w:t>
            </w:r>
          </w:p>
        </w:tc>
        <w:tc>
          <w:tcPr>
            <w:tcW w:w="1620" w:type="dxa"/>
            <w:vAlign w:val="bottom"/>
          </w:tcPr>
          <w:p w14:paraId="69868052" w14:textId="684AC5DD" w:rsidR="004A2C03" w:rsidRP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rPr>
                <w:b/>
              </w:rPr>
            </w:pPr>
            <w:r w:rsidRPr="004A2C03">
              <w:rPr>
                <w:rFonts w:ascii="Calibri" w:hAnsi="Calibri" w:cs="Calibri"/>
                <w:b/>
                <w:color w:val="000000"/>
                <w:sz w:val="22"/>
                <w:szCs w:val="22"/>
              </w:rPr>
              <w:t>Standard Error</w:t>
            </w:r>
          </w:p>
        </w:tc>
        <w:tc>
          <w:tcPr>
            <w:tcW w:w="1080" w:type="dxa"/>
            <w:vAlign w:val="bottom"/>
          </w:tcPr>
          <w:p w14:paraId="67F5AE6A" w14:textId="5A33A8F2" w:rsidR="004A2C03" w:rsidRP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rPr>
                <w:b/>
              </w:rPr>
            </w:pPr>
            <w:r w:rsidRPr="004A2C03">
              <w:rPr>
                <w:rFonts w:ascii="Calibri" w:hAnsi="Calibri" w:cs="Calibri"/>
                <w:b/>
                <w:color w:val="000000"/>
                <w:sz w:val="22"/>
                <w:szCs w:val="22"/>
              </w:rPr>
              <w:t>α</w:t>
            </w:r>
          </w:p>
        </w:tc>
        <w:tc>
          <w:tcPr>
            <w:tcW w:w="1070" w:type="dxa"/>
            <w:vAlign w:val="bottom"/>
          </w:tcPr>
          <w:p w14:paraId="57311689" w14:textId="0AE52BFA" w:rsidR="004A2C03" w:rsidRP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rPr>
                <w:b/>
              </w:rPr>
            </w:pPr>
            <w:r w:rsidRPr="004A2C03">
              <w:rPr>
                <w:rFonts w:ascii="Calibri" w:hAnsi="Calibri" w:cs="Calibri"/>
                <w:b/>
                <w:color w:val="000000"/>
                <w:sz w:val="22"/>
                <w:szCs w:val="22"/>
              </w:rPr>
              <w:t>β</w:t>
            </w:r>
          </w:p>
        </w:tc>
      </w:tr>
      <w:tr w:rsidR="004A2C03" w14:paraId="00EC4D49"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0A6F52F2" w14:textId="14D4C40E" w:rsidR="004A2C03" w:rsidRDefault="004A2C03" w:rsidP="004A2C03">
            <w:pPr>
              <w:spacing w:after="120" w:line="360" w:lineRule="auto"/>
            </w:pPr>
            <w:r>
              <w:rPr>
                <w:rFonts w:ascii="Arial" w:hAnsi="Arial" w:cs="Arial"/>
                <w:sz w:val="20"/>
                <w:szCs w:val="20"/>
              </w:rPr>
              <w:t>Probability of Asthma-related Mortality for 2 weeks for Uncontrolled Patients</w:t>
            </w:r>
          </w:p>
        </w:tc>
        <w:tc>
          <w:tcPr>
            <w:tcW w:w="1620" w:type="dxa"/>
            <w:vAlign w:val="bottom"/>
          </w:tcPr>
          <w:p w14:paraId="6BCDD146" w14:textId="4172035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0.001225168</w:t>
            </w:r>
          </w:p>
        </w:tc>
        <w:tc>
          <w:tcPr>
            <w:tcW w:w="1080" w:type="dxa"/>
            <w:vAlign w:val="bottom"/>
          </w:tcPr>
          <w:p w14:paraId="51E24F95" w14:textId="4DF6C133"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3.747321</w:t>
            </w:r>
          </w:p>
        </w:tc>
        <w:tc>
          <w:tcPr>
            <w:tcW w:w="1070" w:type="dxa"/>
            <w:vAlign w:val="bottom"/>
          </w:tcPr>
          <w:p w14:paraId="7213E95B" w14:textId="0E5E9BE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1573.903</w:t>
            </w:r>
          </w:p>
        </w:tc>
      </w:tr>
      <w:tr w:rsidR="004A2C03" w14:paraId="760F861C"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045D9B80" w14:textId="5E8F55EA" w:rsidR="004A2C03" w:rsidRDefault="004A2C03" w:rsidP="004A2C03">
            <w:pPr>
              <w:spacing w:after="120" w:line="360" w:lineRule="auto"/>
            </w:pPr>
            <w:r>
              <w:rPr>
                <w:rFonts w:ascii="Arial" w:hAnsi="Arial" w:cs="Arial"/>
                <w:sz w:val="20"/>
                <w:szCs w:val="20"/>
              </w:rPr>
              <w:t>Additional risk of death given asthma hospitalization</w:t>
            </w:r>
          </w:p>
        </w:tc>
        <w:tc>
          <w:tcPr>
            <w:tcW w:w="1620" w:type="dxa"/>
            <w:vAlign w:val="bottom"/>
          </w:tcPr>
          <w:p w14:paraId="162336E6" w14:textId="3BDFD4E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0.001775211</w:t>
            </w:r>
          </w:p>
        </w:tc>
        <w:tc>
          <w:tcPr>
            <w:tcW w:w="1080" w:type="dxa"/>
            <w:vAlign w:val="bottom"/>
          </w:tcPr>
          <w:p w14:paraId="5FFDD9C5" w14:textId="14F7E5D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42.56058</w:t>
            </w:r>
          </w:p>
        </w:tc>
        <w:tc>
          <w:tcPr>
            <w:tcW w:w="1070" w:type="dxa"/>
            <w:vAlign w:val="bottom"/>
          </w:tcPr>
          <w:p w14:paraId="28984EB0" w14:textId="0539DC07"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3610.439</w:t>
            </w:r>
          </w:p>
        </w:tc>
      </w:tr>
      <w:tr w:rsidR="004A2C03" w14:paraId="5F60CD95"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C98C7A6" w14:textId="17BAA760" w:rsidR="004A2C03" w:rsidRDefault="004A2C03" w:rsidP="004A2C03">
            <w:pPr>
              <w:spacing w:after="120" w:line="360" w:lineRule="auto"/>
            </w:pPr>
            <w:r>
              <w:rPr>
                <w:rFonts w:ascii="Arial" w:hAnsi="Arial" w:cs="Arial"/>
                <w:sz w:val="20"/>
                <w:szCs w:val="20"/>
              </w:rPr>
              <w:t>Probability of Asthma-related Mortality for 2 weeks for Controlled Patients</w:t>
            </w:r>
          </w:p>
        </w:tc>
        <w:tc>
          <w:tcPr>
            <w:tcW w:w="1620" w:type="dxa"/>
            <w:vAlign w:val="bottom"/>
          </w:tcPr>
          <w:p w14:paraId="1C2FFF4D" w14:textId="6EB3D58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0.000204886</w:t>
            </w:r>
          </w:p>
        </w:tc>
        <w:tc>
          <w:tcPr>
            <w:tcW w:w="1080" w:type="dxa"/>
            <w:vAlign w:val="bottom"/>
          </w:tcPr>
          <w:p w14:paraId="7861F833" w14:textId="0412A89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0.560417</w:t>
            </w:r>
          </w:p>
        </w:tc>
        <w:tc>
          <w:tcPr>
            <w:tcW w:w="1070" w:type="dxa"/>
            <w:vAlign w:val="bottom"/>
          </w:tcPr>
          <w:p w14:paraId="617BA474" w14:textId="5ADA1333"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3652.44</w:t>
            </w:r>
          </w:p>
        </w:tc>
      </w:tr>
      <w:tr w:rsidR="004A2C03" w14:paraId="4D8A775E"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1FBBA5FF" w14:textId="7B1F78C5" w:rsidR="004A2C03" w:rsidRDefault="004A2C03" w:rsidP="004A2C03">
            <w:pPr>
              <w:spacing w:after="120" w:line="360" w:lineRule="auto"/>
            </w:pPr>
            <w:r>
              <w:rPr>
                <w:rFonts w:ascii="Arial" w:hAnsi="Arial" w:cs="Arial"/>
                <w:sz w:val="20"/>
                <w:szCs w:val="20"/>
              </w:rPr>
              <w:t>Probability of OC Burst per 2 week</w:t>
            </w:r>
          </w:p>
        </w:tc>
        <w:tc>
          <w:tcPr>
            <w:tcW w:w="1620" w:type="dxa"/>
            <w:vAlign w:val="bottom"/>
          </w:tcPr>
          <w:p w14:paraId="7CDBEB72" w14:textId="01691754"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0.006748711</w:t>
            </w:r>
          </w:p>
        </w:tc>
        <w:tc>
          <w:tcPr>
            <w:tcW w:w="1080" w:type="dxa"/>
            <w:vAlign w:val="bottom"/>
          </w:tcPr>
          <w:p w14:paraId="1BE45D04" w14:textId="37B0AB7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199.1965</w:t>
            </w:r>
          </w:p>
        </w:tc>
        <w:tc>
          <w:tcPr>
            <w:tcW w:w="1070" w:type="dxa"/>
            <w:vAlign w:val="bottom"/>
          </w:tcPr>
          <w:p w14:paraId="22D12BCF" w14:textId="0FADAAD4"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1783.803</w:t>
            </w:r>
          </w:p>
        </w:tc>
      </w:tr>
      <w:tr w:rsidR="004A2C03" w14:paraId="6460B996"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541242D0" w14:textId="147F3C5E" w:rsidR="004A2C03" w:rsidRDefault="004A2C03" w:rsidP="004A2C03">
            <w:pPr>
              <w:spacing w:after="120" w:line="360" w:lineRule="auto"/>
            </w:pPr>
            <w:r>
              <w:rPr>
                <w:rFonts w:ascii="Arial" w:hAnsi="Arial" w:cs="Arial"/>
                <w:sz w:val="20"/>
                <w:szCs w:val="20"/>
              </w:rPr>
              <w:t>Probability of Emergency Room Visit per 2 week</w:t>
            </w:r>
          </w:p>
        </w:tc>
        <w:tc>
          <w:tcPr>
            <w:tcW w:w="1620" w:type="dxa"/>
            <w:vAlign w:val="bottom"/>
          </w:tcPr>
          <w:p w14:paraId="5B9A1474" w14:textId="703BA23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0.001695581</w:t>
            </w:r>
          </w:p>
        </w:tc>
        <w:tc>
          <w:tcPr>
            <w:tcW w:w="1080" w:type="dxa"/>
            <w:vAlign w:val="bottom"/>
          </w:tcPr>
          <w:p w14:paraId="410F9FC0" w14:textId="3ACAD71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11.37628</w:t>
            </w:r>
          </w:p>
        </w:tc>
        <w:tc>
          <w:tcPr>
            <w:tcW w:w="1070" w:type="dxa"/>
            <w:vAlign w:val="bottom"/>
          </w:tcPr>
          <w:p w14:paraId="0F705B06" w14:textId="12A9A54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1971.624</w:t>
            </w:r>
          </w:p>
        </w:tc>
      </w:tr>
      <w:tr w:rsidR="004A2C03" w14:paraId="6973D327"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6DBCA979" w14:textId="11368989" w:rsidR="004A2C03" w:rsidRDefault="004A2C03" w:rsidP="004A2C03">
            <w:pPr>
              <w:spacing w:after="120" w:line="360" w:lineRule="auto"/>
            </w:pPr>
            <w:r>
              <w:rPr>
                <w:rFonts w:ascii="Arial" w:hAnsi="Arial" w:cs="Arial"/>
                <w:sz w:val="20"/>
                <w:szCs w:val="20"/>
              </w:rPr>
              <w:t>Probability of Asthma Hospitalization per 2 week</w:t>
            </w:r>
          </w:p>
        </w:tc>
        <w:tc>
          <w:tcPr>
            <w:tcW w:w="1620" w:type="dxa"/>
            <w:vAlign w:val="bottom"/>
          </w:tcPr>
          <w:p w14:paraId="79BE7C11" w14:textId="74470018"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0.001075159</w:t>
            </w:r>
          </w:p>
        </w:tc>
        <w:tc>
          <w:tcPr>
            <w:tcW w:w="1080" w:type="dxa"/>
            <w:vAlign w:val="bottom"/>
          </w:tcPr>
          <w:p w14:paraId="1BAA94C9" w14:textId="62DB82D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4.558367</w:t>
            </w:r>
          </w:p>
        </w:tc>
        <w:tc>
          <w:tcPr>
            <w:tcW w:w="1070" w:type="dxa"/>
            <w:vAlign w:val="bottom"/>
          </w:tcPr>
          <w:p w14:paraId="7A1A9931" w14:textId="1A366D8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1978.442</w:t>
            </w:r>
          </w:p>
        </w:tc>
      </w:tr>
      <w:tr w:rsidR="004A2C03" w14:paraId="72DD7ED0"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1B785DCE" w14:textId="3515D46D" w:rsidR="004A2C03" w:rsidRDefault="004A2C03" w:rsidP="004A2C03">
            <w:pPr>
              <w:spacing w:after="120" w:line="360" w:lineRule="auto"/>
            </w:pPr>
            <w:r>
              <w:rPr>
                <w:rFonts w:ascii="Arial" w:hAnsi="Arial" w:cs="Arial"/>
                <w:sz w:val="20"/>
                <w:szCs w:val="20"/>
              </w:rPr>
              <w:t>Probability of OC Burst per 2 week for controlled asthma</w:t>
            </w:r>
          </w:p>
        </w:tc>
        <w:tc>
          <w:tcPr>
            <w:tcW w:w="1620" w:type="dxa"/>
            <w:vAlign w:val="bottom"/>
          </w:tcPr>
          <w:p w14:paraId="73B36B1E" w14:textId="21832C6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0.004880287</w:t>
            </w:r>
          </w:p>
        </w:tc>
        <w:tc>
          <w:tcPr>
            <w:tcW w:w="1080" w:type="dxa"/>
            <w:vAlign w:val="bottom"/>
          </w:tcPr>
          <w:p w14:paraId="45216272" w14:textId="404AED8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351.7918</w:t>
            </w:r>
          </w:p>
        </w:tc>
        <w:tc>
          <w:tcPr>
            <w:tcW w:w="1070" w:type="dxa"/>
            <w:vAlign w:val="bottom"/>
          </w:tcPr>
          <w:p w14:paraId="2CCA95B1" w14:textId="1586BE1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3301.208</w:t>
            </w:r>
          </w:p>
        </w:tc>
      </w:tr>
      <w:tr w:rsidR="004A2C03" w14:paraId="08A52971"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3656F7C3" w14:textId="6D3749BA" w:rsidR="004A2C03" w:rsidRDefault="004A2C03" w:rsidP="004A2C03">
            <w:pPr>
              <w:spacing w:after="120" w:line="360" w:lineRule="auto"/>
            </w:pPr>
            <w:r>
              <w:rPr>
                <w:rFonts w:ascii="Arial" w:hAnsi="Arial" w:cs="Arial"/>
                <w:sz w:val="20"/>
                <w:szCs w:val="20"/>
              </w:rPr>
              <w:t xml:space="preserve">Probability of Emergency Room Visit per 2 week for controlled asthma </w:t>
            </w:r>
          </w:p>
        </w:tc>
        <w:tc>
          <w:tcPr>
            <w:tcW w:w="1620" w:type="dxa"/>
            <w:vAlign w:val="bottom"/>
          </w:tcPr>
          <w:p w14:paraId="416BB39B" w14:textId="7D144872"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0.000792245</w:t>
            </w:r>
          </w:p>
        </w:tc>
        <w:tc>
          <w:tcPr>
            <w:tcW w:w="1080" w:type="dxa"/>
            <w:vAlign w:val="bottom"/>
          </w:tcPr>
          <w:p w14:paraId="5BD60AE3" w14:textId="0E2C429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8.397234</w:t>
            </w:r>
          </w:p>
        </w:tc>
        <w:tc>
          <w:tcPr>
            <w:tcW w:w="1070" w:type="dxa"/>
            <w:vAlign w:val="bottom"/>
          </w:tcPr>
          <w:p w14:paraId="3D6C8E8A" w14:textId="53025F9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3644.603</w:t>
            </w:r>
          </w:p>
        </w:tc>
      </w:tr>
      <w:tr w:rsidR="004A2C03" w14:paraId="7D978D35"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3337758" w14:textId="1D1AC096" w:rsidR="004A2C03" w:rsidRDefault="004A2C03" w:rsidP="004A2C03">
            <w:pPr>
              <w:spacing w:after="120" w:line="360" w:lineRule="auto"/>
            </w:pPr>
            <w:r>
              <w:rPr>
                <w:rFonts w:ascii="Arial" w:hAnsi="Arial" w:cs="Arial"/>
                <w:sz w:val="20"/>
                <w:szCs w:val="20"/>
              </w:rPr>
              <w:t>Probability of Asthma Hospitalization per 2 week for controlled asthma</w:t>
            </w:r>
          </w:p>
        </w:tc>
        <w:tc>
          <w:tcPr>
            <w:tcW w:w="1620" w:type="dxa"/>
            <w:vAlign w:val="bottom"/>
          </w:tcPr>
          <w:p w14:paraId="287633A7" w14:textId="265AF6F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0.000792245</w:t>
            </w:r>
          </w:p>
        </w:tc>
        <w:tc>
          <w:tcPr>
            <w:tcW w:w="1080" w:type="dxa"/>
            <w:vAlign w:val="bottom"/>
          </w:tcPr>
          <w:p w14:paraId="59A8487C" w14:textId="0AC1054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8.397234</w:t>
            </w:r>
          </w:p>
        </w:tc>
        <w:tc>
          <w:tcPr>
            <w:tcW w:w="1070" w:type="dxa"/>
            <w:vAlign w:val="bottom"/>
          </w:tcPr>
          <w:p w14:paraId="27F1AD71" w14:textId="29F31F7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3644.603</w:t>
            </w:r>
          </w:p>
        </w:tc>
      </w:tr>
      <w:tr w:rsidR="004A2C03" w14:paraId="62F0C34F"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3A111D32" w14:textId="6F0B39C6" w:rsidR="004A2C03" w:rsidRDefault="004A2C03" w:rsidP="004A2C03">
            <w:pPr>
              <w:spacing w:after="120" w:line="360" w:lineRule="auto"/>
            </w:pPr>
            <w:r>
              <w:rPr>
                <w:rFonts w:ascii="Arial" w:hAnsi="Arial" w:cs="Arial"/>
                <w:sz w:val="20"/>
                <w:szCs w:val="20"/>
              </w:rPr>
              <w:t>Usual care pharmacotherapy per 2 weeks</w:t>
            </w:r>
          </w:p>
        </w:tc>
        <w:tc>
          <w:tcPr>
            <w:tcW w:w="1620" w:type="dxa"/>
            <w:vAlign w:val="bottom"/>
          </w:tcPr>
          <w:p w14:paraId="3D99D337" w14:textId="1CB4527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28.23</w:t>
            </w:r>
          </w:p>
        </w:tc>
        <w:tc>
          <w:tcPr>
            <w:tcW w:w="1080" w:type="dxa"/>
            <w:vAlign w:val="bottom"/>
          </w:tcPr>
          <w:p w14:paraId="5148CCD5" w14:textId="4CCBC072"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16</w:t>
            </w:r>
          </w:p>
        </w:tc>
        <w:tc>
          <w:tcPr>
            <w:tcW w:w="1070" w:type="dxa"/>
            <w:vAlign w:val="bottom"/>
          </w:tcPr>
          <w:p w14:paraId="70E6D7C6" w14:textId="3FA2B7D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7.0575</w:t>
            </w:r>
          </w:p>
        </w:tc>
      </w:tr>
      <w:tr w:rsidR="004A2C03" w14:paraId="573DF340"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9819B9E" w14:textId="6074B369" w:rsidR="004A2C03" w:rsidRDefault="004A2C03" w:rsidP="004A2C03">
            <w:pPr>
              <w:spacing w:after="120" w:line="360" w:lineRule="auto"/>
            </w:pPr>
            <w:r>
              <w:rPr>
                <w:rFonts w:ascii="Arial" w:hAnsi="Arial" w:cs="Arial"/>
                <w:sz w:val="20"/>
                <w:szCs w:val="20"/>
              </w:rPr>
              <w:lastRenderedPageBreak/>
              <w:t>Mild exacerbation unit cost</w:t>
            </w:r>
          </w:p>
        </w:tc>
        <w:tc>
          <w:tcPr>
            <w:tcW w:w="1620" w:type="dxa"/>
            <w:vAlign w:val="bottom"/>
          </w:tcPr>
          <w:p w14:paraId="0C3BE826" w14:textId="7813B55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12</w:t>
            </w:r>
          </w:p>
        </w:tc>
        <w:tc>
          <w:tcPr>
            <w:tcW w:w="1080" w:type="dxa"/>
            <w:vAlign w:val="bottom"/>
          </w:tcPr>
          <w:p w14:paraId="7145B4EC" w14:textId="2720773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150.6347</w:t>
            </w:r>
          </w:p>
        </w:tc>
        <w:tc>
          <w:tcPr>
            <w:tcW w:w="1070" w:type="dxa"/>
            <w:vAlign w:val="bottom"/>
          </w:tcPr>
          <w:p w14:paraId="1A3AA7A4" w14:textId="23894947"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0.977729</w:t>
            </w:r>
          </w:p>
        </w:tc>
      </w:tr>
      <w:tr w:rsidR="004A2C03" w14:paraId="27A5EC5C"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7EA9D2AF" w14:textId="64CCDE4A" w:rsidR="004A2C03" w:rsidRDefault="004A2C03" w:rsidP="004A2C03">
            <w:pPr>
              <w:spacing w:after="120" w:line="360" w:lineRule="auto"/>
            </w:pPr>
            <w:r>
              <w:rPr>
                <w:rFonts w:ascii="Arial" w:hAnsi="Arial" w:cs="Arial"/>
                <w:sz w:val="20"/>
                <w:szCs w:val="20"/>
              </w:rPr>
              <w:t>Emergency room unit cost</w:t>
            </w:r>
          </w:p>
        </w:tc>
        <w:tc>
          <w:tcPr>
            <w:tcW w:w="1620" w:type="dxa"/>
            <w:vAlign w:val="bottom"/>
          </w:tcPr>
          <w:p w14:paraId="54048E1E" w14:textId="2278B14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55</w:t>
            </w:r>
          </w:p>
        </w:tc>
        <w:tc>
          <w:tcPr>
            <w:tcW w:w="1080" w:type="dxa"/>
            <w:vAlign w:val="bottom"/>
          </w:tcPr>
          <w:p w14:paraId="4DCCE931" w14:textId="0B349B1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149.5551</w:t>
            </w:r>
          </w:p>
        </w:tc>
        <w:tc>
          <w:tcPr>
            <w:tcW w:w="1070" w:type="dxa"/>
            <w:vAlign w:val="bottom"/>
          </w:tcPr>
          <w:p w14:paraId="491AE3E7" w14:textId="7C2EE66B"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4.497406</w:t>
            </w:r>
          </w:p>
        </w:tc>
      </w:tr>
      <w:tr w:rsidR="004A2C03" w14:paraId="6A641999"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23695E4A" w14:textId="2E4A9CFF" w:rsidR="004A2C03" w:rsidRDefault="004A2C03" w:rsidP="004A2C03">
            <w:pPr>
              <w:spacing w:after="120" w:line="360" w:lineRule="auto"/>
            </w:pPr>
            <w:r>
              <w:rPr>
                <w:rFonts w:ascii="Arial" w:hAnsi="Arial" w:cs="Arial"/>
                <w:sz w:val="20"/>
                <w:szCs w:val="20"/>
              </w:rPr>
              <w:t>Hospitalization stay unit cost</w:t>
            </w:r>
          </w:p>
        </w:tc>
        <w:tc>
          <w:tcPr>
            <w:tcW w:w="1620" w:type="dxa"/>
            <w:vAlign w:val="bottom"/>
          </w:tcPr>
          <w:p w14:paraId="1C5300B2" w14:textId="7F759B8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913</w:t>
            </w:r>
          </w:p>
        </w:tc>
        <w:tc>
          <w:tcPr>
            <w:tcW w:w="1080" w:type="dxa"/>
            <w:vAlign w:val="bottom"/>
          </w:tcPr>
          <w:p w14:paraId="374E6EE7" w14:textId="5DDB9EE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150.7177</w:t>
            </w:r>
          </w:p>
        </w:tc>
        <w:tc>
          <w:tcPr>
            <w:tcW w:w="1070" w:type="dxa"/>
            <w:vAlign w:val="bottom"/>
          </w:tcPr>
          <w:p w14:paraId="57015D46" w14:textId="4D6B9AE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74.36843</w:t>
            </w:r>
          </w:p>
        </w:tc>
      </w:tr>
      <w:tr w:rsidR="004A2C03" w14:paraId="2C193E36"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1D36F440" w14:textId="34232082" w:rsidR="004A2C03" w:rsidRDefault="004A2C03" w:rsidP="004A2C03">
            <w:pPr>
              <w:spacing w:after="120" w:line="360" w:lineRule="auto"/>
            </w:pPr>
            <w:r>
              <w:rPr>
                <w:rFonts w:ascii="Arial" w:hAnsi="Arial" w:cs="Arial"/>
                <w:sz w:val="20"/>
                <w:szCs w:val="20"/>
              </w:rPr>
              <w:t>One time cost of PH system registration</w:t>
            </w:r>
          </w:p>
        </w:tc>
        <w:tc>
          <w:tcPr>
            <w:tcW w:w="1620" w:type="dxa"/>
            <w:vAlign w:val="bottom"/>
          </w:tcPr>
          <w:p w14:paraId="604503C7" w14:textId="42A2EDB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25</w:t>
            </w:r>
          </w:p>
        </w:tc>
        <w:tc>
          <w:tcPr>
            <w:tcW w:w="1080" w:type="dxa"/>
            <w:vAlign w:val="bottom"/>
          </w:tcPr>
          <w:p w14:paraId="52AEE2E7" w14:textId="7F86AB85"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16</w:t>
            </w:r>
          </w:p>
        </w:tc>
        <w:tc>
          <w:tcPr>
            <w:tcW w:w="1070" w:type="dxa"/>
            <w:vAlign w:val="bottom"/>
          </w:tcPr>
          <w:p w14:paraId="1A438A31" w14:textId="6C6EFAE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6.25</w:t>
            </w:r>
          </w:p>
        </w:tc>
      </w:tr>
      <w:tr w:rsidR="004A2C03" w14:paraId="657414AA"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5F74713C" w14:textId="789D9922" w:rsidR="004A2C03" w:rsidRDefault="004A2C03" w:rsidP="004A2C03">
            <w:pPr>
              <w:spacing w:after="120" w:line="360" w:lineRule="auto"/>
            </w:pPr>
            <w:r>
              <w:rPr>
                <w:rFonts w:ascii="Arial" w:hAnsi="Arial" w:cs="Arial"/>
                <w:sz w:val="20"/>
                <w:szCs w:val="20"/>
              </w:rPr>
              <w:t>Cost of PH system per 2 weeks (recurrent)</w:t>
            </w:r>
          </w:p>
        </w:tc>
        <w:tc>
          <w:tcPr>
            <w:tcW w:w="1620" w:type="dxa"/>
            <w:vAlign w:val="bottom"/>
          </w:tcPr>
          <w:p w14:paraId="1128FFEA" w14:textId="5108A65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6.25</w:t>
            </w:r>
          </w:p>
        </w:tc>
        <w:tc>
          <w:tcPr>
            <w:tcW w:w="1080" w:type="dxa"/>
            <w:vAlign w:val="bottom"/>
          </w:tcPr>
          <w:p w14:paraId="6CEE63CF" w14:textId="53E2FEB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16</w:t>
            </w:r>
          </w:p>
        </w:tc>
        <w:tc>
          <w:tcPr>
            <w:tcW w:w="1070" w:type="dxa"/>
            <w:vAlign w:val="bottom"/>
          </w:tcPr>
          <w:p w14:paraId="1077F80F" w14:textId="4653D1B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1.5625</w:t>
            </w:r>
          </w:p>
        </w:tc>
      </w:tr>
      <w:tr w:rsidR="004A2C03" w14:paraId="5FD9D7FE"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3149A6F5" w14:textId="18A1E5CD" w:rsidR="004A2C03" w:rsidRDefault="004A2C03" w:rsidP="004A2C03">
            <w:pPr>
              <w:spacing w:after="120" w:line="360" w:lineRule="auto"/>
            </w:pPr>
            <w:r>
              <w:rPr>
                <w:rFonts w:ascii="Arial" w:hAnsi="Arial" w:cs="Arial"/>
                <w:sz w:val="20"/>
                <w:szCs w:val="20"/>
              </w:rPr>
              <w:t xml:space="preserve">Utility score for Non Exacerbation State (Chronic Asthma) </w:t>
            </w:r>
          </w:p>
        </w:tc>
        <w:tc>
          <w:tcPr>
            <w:tcW w:w="1620" w:type="dxa"/>
            <w:vAlign w:val="bottom"/>
          </w:tcPr>
          <w:p w14:paraId="7196DFBD" w14:textId="15F9AE6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0.15</w:t>
            </w:r>
          </w:p>
        </w:tc>
        <w:tc>
          <w:tcPr>
            <w:tcW w:w="1080" w:type="dxa"/>
            <w:vAlign w:val="bottom"/>
          </w:tcPr>
          <w:p w14:paraId="44125497" w14:textId="26A4A9D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5.913867</w:t>
            </w:r>
          </w:p>
        </w:tc>
        <w:tc>
          <w:tcPr>
            <w:tcW w:w="1070" w:type="dxa"/>
            <w:vAlign w:val="bottom"/>
          </w:tcPr>
          <w:p w14:paraId="0E43F34F" w14:textId="16138F32"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2.9128</w:t>
            </w:r>
          </w:p>
        </w:tc>
      </w:tr>
      <w:tr w:rsidR="004A2C03" w14:paraId="658F7026"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3401140" w14:textId="07692398" w:rsidR="004A2C03" w:rsidRDefault="004A2C03" w:rsidP="004A2C03">
            <w:pPr>
              <w:spacing w:after="120" w:line="360" w:lineRule="auto"/>
            </w:pPr>
            <w:r>
              <w:rPr>
                <w:rFonts w:ascii="Arial" w:hAnsi="Arial" w:cs="Arial"/>
                <w:sz w:val="20"/>
                <w:szCs w:val="20"/>
              </w:rPr>
              <w:t>Utility score for OC Burst</w:t>
            </w:r>
          </w:p>
        </w:tc>
        <w:tc>
          <w:tcPr>
            <w:tcW w:w="1620" w:type="dxa"/>
            <w:vAlign w:val="bottom"/>
          </w:tcPr>
          <w:p w14:paraId="0BE2A642" w14:textId="67873B0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0.36</w:t>
            </w:r>
          </w:p>
        </w:tc>
        <w:tc>
          <w:tcPr>
            <w:tcW w:w="1080" w:type="dxa"/>
            <w:vAlign w:val="bottom"/>
          </w:tcPr>
          <w:p w14:paraId="1110FBEF" w14:textId="49F19B2B"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0.508515</w:t>
            </w:r>
          </w:p>
        </w:tc>
        <w:tc>
          <w:tcPr>
            <w:tcW w:w="1070" w:type="dxa"/>
            <w:vAlign w:val="bottom"/>
          </w:tcPr>
          <w:p w14:paraId="539DBE04" w14:textId="54DAAFF7"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0.380497</w:t>
            </w:r>
          </w:p>
        </w:tc>
      </w:tr>
      <w:tr w:rsidR="004A2C03" w14:paraId="3B8070DA"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4ACE53B2" w14:textId="649D6D6C" w:rsidR="004A2C03" w:rsidRDefault="004A2C03" w:rsidP="004A2C03">
            <w:pPr>
              <w:spacing w:after="120" w:line="360" w:lineRule="auto"/>
            </w:pPr>
            <w:r>
              <w:rPr>
                <w:rFonts w:ascii="Arial" w:hAnsi="Arial" w:cs="Arial"/>
                <w:sz w:val="20"/>
                <w:szCs w:val="20"/>
              </w:rPr>
              <w:t>Utility score for ER visit</w:t>
            </w:r>
          </w:p>
        </w:tc>
        <w:tc>
          <w:tcPr>
            <w:tcW w:w="1620" w:type="dxa"/>
            <w:vAlign w:val="bottom"/>
          </w:tcPr>
          <w:p w14:paraId="686DB119" w14:textId="067BA825"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0.37</w:t>
            </w:r>
          </w:p>
        </w:tc>
        <w:tc>
          <w:tcPr>
            <w:tcW w:w="1080" w:type="dxa"/>
            <w:vAlign w:val="bottom"/>
          </w:tcPr>
          <w:p w14:paraId="532FF954" w14:textId="50EE5A1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0.362411</w:t>
            </w:r>
          </w:p>
        </w:tc>
        <w:tc>
          <w:tcPr>
            <w:tcW w:w="1070" w:type="dxa"/>
            <w:vAlign w:val="bottom"/>
          </w:tcPr>
          <w:p w14:paraId="727CDEE8" w14:textId="630355E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0.44474</w:t>
            </w:r>
          </w:p>
        </w:tc>
      </w:tr>
      <w:tr w:rsidR="004A2C03" w14:paraId="27ADD0DA"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9763DBA" w14:textId="12049E66" w:rsidR="004A2C03" w:rsidRDefault="004A2C03" w:rsidP="004A2C03">
            <w:pPr>
              <w:spacing w:after="120" w:line="360" w:lineRule="auto"/>
            </w:pPr>
            <w:r>
              <w:rPr>
                <w:rFonts w:ascii="Arial" w:hAnsi="Arial" w:cs="Arial"/>
                <w:sz w:val="20"/>
                <w:szCs w:val="20"/>
              </w:rPr>
              <w:t>Utility score for Hospitalization</w:t>
            </w:r>
          </w:p>
        </w:tc>
        <w:tc>
          <w:tcPr>
            <w:tcW w:w="1620" w:type="dxa"/>
            <w:vAlign w:val="bottom"/>
          </w:tcPr>
          <w:p w14:paraId="582ADCF0" w14:textId="563D6A1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0.39</w:t>
            </w:r>
          </w:p>
        </w:tc>
        <w:tc>
          <w:tcPr>
            <w:tcW w:w="1080" w:type="dxa"/>
            <w:vAlign w:val="bottom"/>
          </w:tcPr>
          <w:p w14:paraId="7F6AD141" w14:textId="0D1C200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0.14494</w:t>
            </w:r>
          </w:p>
        </w:tc>
        <w:tc>
          <w:tcPr>
            <w:tcW w:w="1070" w:type="dxa"/>
            <w:vAlign w:val="bottom"/>
          </w:tcPr>
          <w:p w14:paraId="3FEAA44C" w14:textId="0B05189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0.299662</w:t>
            </w:r>
          </w:p>
        </w:tc>
      </w:tr>
      <w:tr w:rsidR="004A2C03" w14:paraId="0B0F3939"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5231FB7C" w14:textId="5D8E0CBC" w:rsidR="004A2C03" w:rsidRDefault="004A2C03" w:rsidP="004A2C03">
            <w:pPr>
              <w:spacing w:after="120" w:line="360" w:lineRule="auto"/>
            </w:pPr>
            <w:r>
              <w:rPr>
                <w:rFonts w:ascii="Arial" w:hAnsi="Arial" w:cs="Arial"/>
                <w:sz w:val="20"/>
                <w:szCs w:val="20"/>
              </w:rPr>
              <w:t>Probability of Controlled Asthma using PH system at 2 wks</w:t>
            </w:r>
          </w:p>
        </w:tc>
        <w:tc>
          <w:tcPr>
            <w:tcW w:w="1620" w:type="dxa"/>
            <w:vAlign w:val="bottom"/>
          </w:tcPr>
          <w:p w14:paraId="6289980A" w14:textId="2D8B700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0.014828272</w:t>
            </w:r>
          </w:p>
        </w:tc>
        <w:tc>
          <w:tcPr>
            <w:tcW w:w="1080" w:type="dxa"/>
            <w:vAlign w:val="bottom"/>
          </w:tcPr>
          <w:p w14:paraId="539AA939" w14:textId="59547276"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6.091872</w:t>
            </w:r>
          </w:p>
        </w:tc>
        <w:tc>
          <w:tcPr>
            <w:tcW w:w="1070" w:type="dxa"/>
            <w:vAlign w:val="bottom"/>
          </w:tcPr>
          <w:p w14:paraId="6F5AD7A1" w14:textId="17B7F72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bookmarkStart w:id="7" w:name="RANGE!D21"/>
            <w:r>
              <w:rPr>
                <w:rFonts w:ascii="Calibri" w:hAnsi="Calibri" w:cs="Calibri"/>
                <w:color w:val="000000"/>
                <w:szCs w:val="22"/>
              </w:rPr>
              <w:t>156.7155</w:t>
            </w:r>
            <w:bookmarkEnd w:id="7"/>
          </w:p>
        </w:tc>
      </w:tr>
      <w:tr w:rsidR="004A2C03" w14:paraId="05AD42B2"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6212EB63" w14:textId="079073CD" w:rsidR="004A2C03" w:rsidRDefault="004A2C03" w:rsidP="004A2C03">
            <w:pPr>
              <w:spacing w:after="120" w:line="360" w:lineRule="auto"/>
            </w:pPr>
            <w:r>
              <w:rPr>
                <w:rFonts w:ascii="Arial" w:hAnsi="Arial" w:cs="Arial"/>
                <w:sz w:val="20"/>
                <w:szCs w:val="20"/>
              </w:rPr>
              <w:t>Probability of Controlled Asthma under Usual Care at 2 wks</w:t>
            </w:r>
          </w:p>
        </w:tc>
        <w:tc>
          <w:tcPr>
            <w:tcW w:w="1620" w:type="dxa"/>
            <w:vAlign w:val="bottom"/>
          </w:tcPr>
          <w:p w14:paraId="0ADD3133" w14:textId="4BB7258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0.018433353</w:t>
            </w:r>
          </w:p>
        </w:tc>
        <w:tc>
          <w:tcPr>
            <w:tcW w:w="1080" w:type="dxa"/>
            <w:vAlign w:val="bottom"/>
          </w:tcPr>
          <w:p w14:paraId="62B52B25" w14:textId="4C27DD1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1.838851</w:t>
            </w:r>
          </w:p>
        </w:tc>
        <w:tc>
          <w:tcPr>
            <w:tcW w:w="1070" w:type="dxa"/>
            <w:vAlign w:val="bottom"/>
          </w:tcPr>
          <w:p w14:paraId="5B451E6E" w14:textId="3059EA3D"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70.28362</w:t>
            </w:r>
          </w:p>
        </w:tc>
      </w:tr>
      <w:tr w:rsidR="004A2C03" w14:paraId="0DBCE930"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62E46D3F" w14:textId="047BFE0E" w:rsidR="004A2C03" w:rsidRDefault="004A2C03" w:rsidP="004A2C03">
            <w:pPr>
              <w:spacing w:after="120" w:line="360" w:lineRule="auto"/>
            </w:pPr>
            <w:r>
              <w:rPr>
                <w:rFonts w:ascii="Arial" w:hAnsi="Arial" w:cs="Arial"/>
                <w:sz w:val="20"/>
                <w:szCs w:val="20"/>
              </w:rPr>
              <w:t>Probability of Uncontrolled Asthma using PH system at  2 wks as initially controlled</w:t>
            </w:r>
          </w:p>
        </w:tc>
        <w:tc>
          <w:tcPr>
            <w:tcW w:w="1620" w:type="dxa"/>
            <w:vAlign w:val="bottom"/>
          </w:tcPr>
          <w:p w14:paraId="703FE7C5" w14:textId="23CE150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0.008119091</w:t>
            </w:r>
          </w:p>
        </w:tc>
        <w:tc>
          <w:tcPr>
            <w:tcW w:w="1080" w:type="dxa"/>
            <w:vAlign w:val="bottom"/>
          </w:tcPr>
          <w:p w14:paraId="5EAB6142" w14:textId="3409CBB8"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0.756736</w:t>
            </w:r>
          </w:p>
        </w:tc>
        <w:tc>
          <w:tcPr>
            <w:tcW w:w="1070" w:type="dxa"/>
            <w:vAlign w:val="bottom"/>
          </w:tcPr>
          <w:p w14:paraId="6FBF0202" w14:textId="76D9165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105.5055</w:t>
            </w:r>
          </w:p>
        </w:tc>
      </w:tr>
      <w:tr w:rsidR="004A2C03" w14:paraId="50E4F417"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234A7DA1" w14:textId="013A6F1C" w:rsidR="004A2C03" w:rsidRDefault="004A2C03" w:rsidP="004A2C03">
            <w:pPr>
              <w:spacing w:after="120" w:line="360" w:lineRule="auto"/>
            </w:pPr>
            <w:r>
              <w:rPr>
                <w:rFonts w:ascii="Arial" w:hAnsi="Arial" w:cs="Arial"/>
                <w:sz w:val="20"/>
                <w:szCs w:val="20"/>
              </w:rPr>
              <w:t>Probability of Uncontrolled Asthma under Usual Care at 2 wks as initially controlled</w:t>
            </w:r>
          </w:p>
        </w:tc>
        <w:tc>
          <w:tcPr>
            <w:tcW w:w="1620" w:type="dxa"/>
            <w:vAlign w:val="bottom"/>
          </w:tcPr>
          <w:p w14:paraId="7BC23CE3" w14:textId="39C52983"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0.008719456</w:t>
            </w:r>
          </w:p>
        </w:tc>
        <w:tc>
          <w:tcPr>
            <w:tcW w:w="1080" w:type="dxa"/>
            <w:vAlign w:val="bottom"/>
          </w:tcPr>
          <w:p w14:paraId="65A6C188" w14:textId="5BD6641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0.429344</w:t>
            </w:r>
          </w:p>
        </w:tc>
        <w:tc>
          <w:tcPr>
            <w:tcW w:w="1070" w:type="dxa"/>
            <w:vAlign w:val="bottom"/>
          </w:tcPr>
          <w:p w14:paraId="495B5BFE" w14:textId="4ACB12C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74.0026</w:t>
            </w:r>
          </w:p>
        </w:tc>
      </w:tr>
    </w:tbl>
    <w:p w14:paraId="3E466D59" w14:textId="77777777" w:rsidR="004A2C03" w:rsidRPr="0074057C" w:rsidRDefault="004A2C03" w:rsidP="00726657">
      <w:pPr>
        <w:spacing w:after="120" w:line="360" w:lineRule="auto"/>
      </w:pPr>
    </w:p>
    <w:sectPr w:rsidR="004A2C03" w:rsidRPr="0074057C" w:rsidSect="0072665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E1EC3" w14:textId="77777777" w:rsidR="00BE2AB8" w:rsidRDefault="00BE2AB8" w:rsidP="008F2842">
      <w:pPr>
        <w:spacing w:after="0" w:line="240" w:lineRule="auto"/>
      </w:pPr>
      <w:r>
        <w:separator/>
      </w:r>
    </w:p>
  </w:endnote>
  <w:endnote w:type="continuationSeparator" w:id="0">
    <w:p w14:paraId="25E832A8" w14:textId="77777777" w:rsidR="00BE2AB8" w:rsidRDefault="00BE2AB8" w:rsidP="008F2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104B4" w14:textId="77777777" w:rsidR="00BE2AB8" w:rsidRDefault="00BE2AB8" w:rsidP="008F2842">
      <w:pPr>
        <w:spacing w:after="0" w:line="240" w:lineRule="auto"/>
      </w:pPr>
      <w:r>
        <w:separator/>
      </w:r>
    </w:p>
  </w:footnote>
  <w:footnote w:type="continuationSeparator" w:id="0">
    <w:p w14:paraId="24DB4035" w14:textId="77777777" w:rsidR="00BE2AB8" w:rsidRDefault="00BE2AB8" w:rsidP="008F28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624D"/>
    <w:multiLevelType w:val="hybridMultilevel"/>
    <w:tmpl w:val="DEE6BBC8"/>
    <w:lvl w:ilvl="0" w:tplc="8F683142">
      <w:start w:val="1"/>
      <w:numFmt w:val="bullet"/>
      <w:lvlText w:val="•"/>
      <w:lvlJc w:val="left"/>
      <w:pPr>
        <w:tabs>
          <w:tab w:val="num" w:pos="720"/>
        </w:tabs>
        <w:ind w:left="720" w:hanging="360"/>
      </w:pPr>
      <w:rPr>
        <w:rFonts w:ascii="Times New Roman" w:hAnsi="Times New Roman" w:hint="default"/>
      </w:rPr>
    </w:lvl>
    <w:lvl w:ilvl="1" w:tplc="32B83CF6" w:tentative="1">
      <w:start w:val="1"/>
      <w:numFmt w:val="bullet"/>
      <w:lvlText w:val="•"/>
      <w:lvlJc w:val="left"/>
      <w:pPr>
        <w:tabs>
          <w:tab w:val="num" w:pos="1440"/>
        </w:tabs>
        <w:ind w:left="1440" w:hanging="360"/>
      </w:pPr>
      <w:rPr>
        <w:rFonts w:ascii="Times New Roman" w:hAnsi="Times New Roman" w:hint="default"/>
      </w:rPr>
    </w:lvl>
    <w:lvl w:ilvl="2" w:tplc="0E5A0A46" w:tentative="1">
      <w:start w:val="1"/>
      <w:numFmt w:val="bullet"/>
      <w:lvlText w:val="•"/>
      <w:lvlJc w:val="left"/>
      <w:pPr>
        <w:tabs>
          <w:tab w:val="num" w:pos="2160"/>
        </w:tabs>
        <w:ind w:left="2160" w:hanging="360"/>
      </w:pPr>
      <w:rPr>
        <w:rFonts w:ascii="Times New Roman" w:hAnsi="Times New Roman" w:hint="default"/>
      </w:rPr>
    </w:lvl>
    <w:lvl w:ilvl="3" w:tplc="9DCAFB0C" w:tentative="1">
      <w:start w:val="1"/>
      <w:numFmt w:val="bullet"/>
      <w:lvlText w:val="•"/>
      <w:lvlJc w:val="left"/>
      <w:pPr>
        <w:tabs>
          <w:tab w:val="num" w:pos="2880"/>
        </w:tabs>
        <w:ind w:left="2880" w:hanging="360"/>
      </w:pPr>
      <w:rPr>
        <w:rFonts w:ascii="Times New Roman" w:hAnsi="Times New Roman" w:hint="default"/>
      </w:rPr>
    </w:lvl>
    <w:lvl w:ilvl="4" w:tplc="A1D871D4" w:tentative="1">
      <w:start w:val="1"/>
      <w:numFmt w:val="bullet"/>
      <w:lvlText w:val="•"/>
      <w:lvlJc w:val="left"/>
      <w:pPr>
        <w:tabs>
          <w:tab w:val="num" w:pos="3600"/>
        </w:tabs>
        <w:ind w:left="3600" w:hanging="360"/>
      </w:pPr>
      <w:rPr>
        <w:rFonts w:ascii="Times New Roman" w:hAnsi="Times New Roman" w:hint="default"/>
      </w:rPr>
    </w:lvl>
    <w:lvl w:ilvl="5" w:tplc="553AE614" w:tentative="1">
      <w:start w:val="1"/>
      <w:numFmt w:val="bullet"/>
      <w:lvlText w:val="•"/>
      <w:lvlJc w:val="left"/>
      <w:pPr>
        <w:tabs>
          <w:tab w:val="num" w:pos="4320"/>
        </w:tabs>
        <w:ind w:left="4320" w:hanging="360"/>
      </w:pPr>
      <w:rPr>
        <w:rFonts w:ascii="Times New Roman" w:hAnsi="Times New Roman" w:hint="default"/>
      </w:rPr>
    </w:lvl>
    <w:lvl w:ilvl="6" w:tplc="35C430C6" w:tentative="1">
      <w:start w:val="1"/>
      <w:numFmt w:val="bullet"/>
      <w:lvlText w:val="•"/>
      <w:lvlJc w:val="left"/>
      <w:pPr>
        <w:tabs>
          <w:tab w:val="num" w:pos="5040"/>
        </w:tabs>
        <w:ind w:left="5040" w:hanging="360"/>
      </w:pPr>
      <w:rPr>
        <w:rFonts w:ascii="Times New Roman" w:hAnsi="Times New Roman" w:hint="default"/>
      </w:rPr>
    </w:lvl>
    <w:lvl w:ilvl="7" w:tplc="87FA214A" w:tentative="1">
      <w:start w:val="1"/>
      <w:numFmt w:val="bullet"/>
      <w:lvlText w:val="•"/>
      <w:lvlJc w:val="left"/>
      <w:pPr>
        <w:tabs>
          <w:tab w:val="num" w:pos="5760"/>
        </w:tabs>
        <w:ind w:left="5760" w:hanging="360"/>
      </w:pPr>
      <w:rPr>
        <w:rFonts w:ascii="Times New Roman" w:hAnsi="Times New Roman" w:hint="default"/>
      </w:rPr>
    </w:lvl>
    <w:lvl w:ilvl="8" w:tplc="8CB6C0C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6B2D80"/>
    <w:multiLevelType w:val="hybridMultilevel"/>
    <w:tmpl w:val="996AEEE0"/>
    <w:lvl w:ilvl="0" w:tplc="A35CB1BA">
      <w:start w:val="1"/>
      <w:numFmt w:val="bullet"/>
      <w:lvlText w:val="•"/>
      <w:lvlJc w:val="left"/>
      <w:pPr>
        <w:tabs>
          <w:tab w:val="num" w:pos="720"/>
        </w:tabs>
        <w:ind w:left="720" w:hanging="360"/>
      </w:pPr>
      <w:rPr>
        <w:rFonts w:ascii="Arial" w:hAnsi="Arial" w:hint="default"/>
      </w:rPr>
    </w:lvl>
    <w:lvl w:ilvl="1" w:tplc="B04250C2">
      <w:start w:val="945"/>
      <w:numFmt w:val="bullet"/>
      <w:lvlText w:val="•"/>
      <w:lvlJc w:val="left"/>
      <w:pPr>
        <w:tabs>
          <w:tab w:val="num" w:pos="1440"/>
        </w:tabs>
        <w:ind w:left="1440" w:hanging="360"/>
      </w:pPr>
      <w:rPr>
        <w:rFonts w:ascii="Arial" w:hAnsi="Arial" w:hint="default"/>
      </w:rPr>
    </w:lvl>
    <w:lvl w:ilvl="2" w:tplc="950EB6F8" w:tentative="1">
      <w:start w:val="1"/>
      <w:numFmt w:val="bullet"/>
      <w:lvlText w:val="•"/>
      <w:lvlJc w:val="left"/>
      <w:pPr>
        <w:tabs>
          <w:tab w:val="num" w:pos="2160"/>
        </w:tabs>
        <w:ind w:left="2160" w:hanging="360"/>
      </w:pPr>
      <w:rPr>
        <w:rFonts w:ascii="Arial" w:hAnsi="Arial" w:hint="default"/>
      </w:rPr>
    </w:lvl>
    <w:lvl w:ilvl="3" w:tplc="EEA49170" w:tentative="1">
      <w:start w:val="1"/>
      <w:numFmt w:val="bullet"/>
      <w:lvlText w:val="•"/>
      <w:lvlJc w:val="left"/>
      <w:pPr>
        <w:tabs>
          <w:tab w:val="num" w:pos="2880"/>
        </w:tabs>
        <w:ind w:left="2880" w:hanging="360"/>
      </w:pPr>
      <w:rPr>
        <w:rFonts w:ascii="Arial" w:hAnsi="Arial" w:hint="default"/>
      </w:rPr>
    </w:lvl>
    <w:lvl w:ilvl="4" w:tplc="DD8009F4" w:tentative="1">
      <w:start w:val="1"/>
      <w:numFmt w:val="bullet"/>
      <w:lvlText w:val="•"/>
      <w:lvlJc w:val="left"/>
      <w:pPr>
        <w:tabs>
          <w:tab w:val="num" w:pos="3600"/>
        </w:tabs>
        <w:ind w:left="3600" w:hanging="360"/>
      </w:pPr>
      <w:rPr>
        <w:rFonts w:ascii="Arial" w:hAnsi="Arial" w:hint="default"/>
      </w:rPr>
    </w:lvl>
    <w:lvl w:ilvl="5" w:tplc="475CFCD8" w:tentative="1">
      <w:start w:val="1"/>
      <w:numFmt w:val="bullet"/>
      <w:lvlText w:val="•"/>
      <w:lvlJc w:val="left"/>
      <w:pPr>
        <w:tabs>
          <w:tab w:val="num" w:pos="4320"/>
        </w:tabs>
        <w:ind w:left="4320" w:hanging="360"/>
      </w:pPr>
      <w:rPr>
        <w:rFonts w:ascii="Arial" w:hAnsi="Arial" w:hint="default"/>
      </w:rPr>
    </w:lvl>
    <w:lvl w:ilvl="6" w:tplc="B322B990" w:tentative="1">
      <w:start w:val="1"/>
      <w:numFmt w:val="bullet"/>
      <w:lvlText w:val="•"/>
      <w:lvlJc w:val="left"/>
      <w:pPr>
        <w:tabs>
          <w:tab w:val="num" w:pos="5040"/>
        </w:tabs>
        <w:ind w:left="5040" w:hanging="360"/>
      </w:pPr>
      <w:rPr>
        <w:rFonts w:ascii="Arial" w:hAnsi="Arial" w:hint="default"/>
      </w:rPr>
    </w:lvl>
    <w:lvl w:ilvl="7" w:tplc="477256D6" w:tentative="1">
      <w:start w:val="1"/>
      <w:numFmt w:val="bullet"/>
      <w:lvlText w:val="•"/>
      <w:lvlJc w:val="left"/>
      <w:pPr>
        <w:tabs>
          <w:tab w:val="num" w:pos="5760"/>
        </w:tabs>
        <w:ind w:left="5760" w:hanging="360"/>
      </w:pPr>
      <w:rPr>
        <w:rFonts w:ascii="Arial" w:hAnsi="Arial" w:hint="default"/>
      </w:rPr>
    </w:lvl>
    <w:lvl w:ilvl="8" w:tplc="C8201C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1C1209"/>
    <w:multiLevelType w:val="hybridMultilevel"/>
    <w:tmpl w:val="1B981468"/>
    <w:lvl w:ilvl="0" w:tplc="2A903CA8">
      <w:start w:val="1"/>
      <w:numFmt w:val="bullet"/>
      <w:lvlText w:val="•"/>
      <w:lvlJc w:val="left"/>
      <w:pPr>
        <w:tabs>
          <w:tab w:val="num" w:pos="720"/>
        </w:tabs>
        <w:ind w:left="720" w:hanging="360"/>
      </w:pPr>
      <w:rPr>
        <w:rFonts w:ascii="Arial" w:hAnsi="Arial" w:hint="default"/>
      </w:rPr>
    </w:lvl>
    <w:lvl w:ilvl="1" w:tplc="68F261F2" w:tentative="1">
      <w:start w:val="1"/>
      <w:numFmt w:val="bullet"/>
      <w:lvlText w:val="•"/>
      <w:lvlJc w:val="left"/>
      <w:pPr>
        <w:tabs>
          <w:tab w:val="num" w:pos="1440"/>
        </w:tabs>
        <w:ind w:left="1440" w:hanging="360"/>
      </w:pPr>
      <w:rPr>
        <w:rFonts w:ascii="Arial" w:hAnsi="Arial" w:hint="default"/>
      </w:rPr>
    </w:lvl>
    <w:lvl w:ilvl="2" w:tplc="F2CAB238" w:tentative="1">
      <w:start w:val="1"/>
      <w:numFmt w:val="bullet"/>
      <w:lvlText w:val="•"/>
      <w:lvlJc w:val="left"/>
      <w:pPr>
        <w:tabs>
          <w:tab w:val="num" w:pos="2160"/>
        </w:tabs>
        <w:ind w:left="2160" w:hanging="360"/>
      </w:pPr>
      <w:rPr>
        <w:rFonts w:ascii="Arial" w:hAnsi="Arial" w:hint="default"/>
      </w:rPr>
    </w:lvl>
    <w:lvl w:ilvl="3" w:tplc="A7E6BA6E" w:tentative="1">
      <w:start w:val="1"/>
      <w:numFmt w:val="bullet"/>
      <w:lvlText w:val="•"/>
      <w:lvlJc w:val="left"/>
      <w:pPr>
        <w:tabs>
          <w:tab w:val="num" w:pos="2880"/>
        </w:tabs>
        <w:ind w:left="2880" w:hanging="360"/>
      </w:pPr>
      <w:rPr>
        <w:rFonts w:ascii="Arial" w:hAnsi="Arial" w:hint="default"/>
      </w:rPr>
    </w:lvl>
    <w:lvl w:ilvl="4" w:tplc="A36A9D32" w:tentative="1">
      <w:start w:val="1"/>
      <w:numFmt w:val="bullet"/>
      <w:lvlText w:val="•"/>
      <w:lvlJc w:val="left"/>
      <w:pPr>
        <w:tabs>
          <w:tab w:val="num" w:pos="3600"/>
        </w:tabs>
        <w:ind w:left="3600" w:hanging="360"/>
      </w:pPr>
      <w:rPr>
        <w:rFonts w:ascii="Arial" w:hAnsi="Arial" w:hint="default"/>
      </w:rPr>
    </w:lvl>
    <w:lvl w:ilvl="5" w:tplc="37984EBC" w:tentative="1">
      <w:start w:val="1"/>
      <w:numFmt w:val="bullet"/>
      <w:lvlText w:val="•"/>
      <w:lvlJc w:val="left"/>
      <w:pPr>
        <w:tabs>
          <w:tab w:val="num" w:pos="4320"/>
        </w:tabs>
        <w:ind w:left="4320" w:hanging="360"/>
      </w:pPr>
      <w:rPr>
        <w:rFonts w:ascii="Arial" w:hAnsi="Arial" w:hint="default"/>
      </w:rPr>
    </w:lvl>
    <w:lvl w:ilvl="6" w:tplc="1AEA08B2" w:tentative="1">
      <w:start w:val="1"/>
      <w:numFmt w:val="bullet"/>
      <w:lvlText w:val="•"/>
      <w:lvlJc w:val="left"/>
      <w:pPr>
        <w:tabs>
          <w:tab w:val="num" w:pos="5040"/>
        </w:tabs>
        <w:ind w:left="5040" w:hanging="360"/>
      </w:pPr>
      <w:rPr>
        <w:rFonts w:ascii="Arial" w:hAnsi="Arial" w:hint="default"/>
      </w:rPr>
    </w:lvl>
    <w:lvl w:ilvl="7" w:tplc="19229DCC" w:tentative="1">
      <w:start w:val="1"/>
      <w:numFmt w:val="bullet"/>
      <w:lvlText w:val="•"/>
      <w:lvlJc w:val="left"/>
      <w:pPr>
        <w:tabs>
          <w:tab w:val="num" w:pos="5760"/>
        </w:tabs>
        <w:ind w:left="5760" w:hanging="360"/>
      </w:pPr>
      <w:rPr>
        <w:rFonts w:ascii="Arial" w:hAnsi="Arial" w:hint="default"/>
      </w:rPr>
    </w:lvl>
    <w:lvl w:ilvl="8" w:tplc="4B4AB3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E91478"/>
    <w:multiLevelType w:val="hybridMultilevel"/>
    <w:tmpl w:val="C68C8E94"/>
    <w:lvl w:ilvl="0" w:tplc="2A1032F4">
      <w:start w:val="1"/>
      <w:numFmt w:val="bullet"/>
      <w:lvlText w:val="•"/>
      <w:lvlJc w:val="left"/>
      <w:pPr>
        <w:tabs>
          <w:tab w:val="num" w:pos="720"/>
        </w:tabs>
        <w:ind w:left="720" w:hanging="360"/>
      </w:pPr>
      <w:rPr>
        <w:rFonts w:ascii="Arial" w:hAnsi="Arial" w:hint="default"/>
      </w:rPr>
    </w:lvl>
    <w:lvl w:ilvl="1" w:tplc="401E4132">
      <w:start w:val="945"/>
      <w:numFmt w:val="bullet"/>
      <w:lvlText w:val="•"/>
      <w:lvlJc w:val="left"/>
      <w:pPr>
        <w:tabs>
          <w:tab w:val="num" w:pos="1440"/>
        </w:tabs>
        <w:ind w:left="1440" w:hanging="360"/>
      </w:pPr>
      <w:rPr>
        <w:rFonts w:ascii="Arial" w:hAnsi="Arial" w:hint="default"/>
      </w:rPr>
    </w:lvl>
    <w:lvl w:ilvl="2" w:tplc="7A688B96" w:tentative="1">
      <w:start w:val="1"/>
      <w:numFmt w:val="bullet"/>
      <w:lvlText w:val="•"/>
      <w:lvlJc w:val="left"/>
      <w:pPr>
        <w:tabs>
          <w:tab w:val="num" w:pos="2160"/>
        </w:tabs>
        <w:ind w:left="2160" w:hanging="360"/>
      </w:pPr>
      <w:rPr>
        <w:rFonts w:ascii="Arial" w:hAnsi="Arial" w:hint="default"/>
      </w:rPr>
    </w:lvl>
    <w:lvl w:ilvl="3" w:tplc="5A12B5F4" w:tentative="1">
      <w:start w:val="1"/>
      <w:numFmt w:val="bullet"/>
      <w:lvlText w:val="•"/>
      <w:lvlJc w:val="left"/>
      <w:pPr>
        <w:tabs>
          <w:tab w:val="num" w:pos="2880"/>
        </w:tabs>
        <w:ind w:left="2880" w:hanging="360"/>
      </w:pPr>
      <w:rPr>
        <w:rFonts w:ascii="Arial" w:hAnsi="Arial" w:hint="default"/>
      </w:rPr>
    </w:lvl>
    <w:lvl w:ilvl="4" w:tplc="D55CE008" w:tentative="1">
      <w:start w:val="1"/>
      <w:numFmt w:val="bullet"/>
      <w:lvlText w:val="•"/>
      <w:lvlJc w:val="left"/>
      <w:pPr>
        <w:tabs>
          <w:tab w:val="num" w:pos="3600"/>
        </w:tabs>
        <w:ind w:left="3600" w:hanging="360"/>
      </w:pPr>
      <w:rPr>
        <w:rFonts w:ascii="Arial" w:hAnsi="Arial" w:hint="default"/>
      </w:rPr>
    </w:lvl>
    <w:lvl w:ilvl="5" w:tplc="1444D6F0" w:tentative="1">
      <w:start w:val="1"/>
      <w:numFmt w:val="bullet"/>
      <w:lvlText w:val="•"/>
      <w:lvlJc w:val="left"/>
      <w:pPr>
        <w:tabs>
          <w:tab w:val="num" w:pos="4320"/>
        </w:tabs>
        <w:ind w:left="4320" w:hanging="360"/>
      </w:pPr>
      <w:rPr>
        <w:rFonts w:ascii="Arial" w:hAnsi="Arial" w:hint="default"/>
      </w:rPr>
    </w:lvl>
    <w:lvl w:ilvl="6" w:tplc="2D1253B4" w:tentative="1">
      <w:start w:val="1"/>
      <w:numFmt w:val="bullet"/>
      <w:lvlText w:val="•"/>
      <w:lvlJc w:val="left"/>
      <w:pPr>
        <w:tabs>
          <w:tab w:val="num" w:pos="5040"/>
        </w:tabs>
        <w:ind w:left="5040" w:hanging="360"/>
      </w:pPr>
      <w:rPr>
        <w:rFonts w:ascii="Arial" w:hAnsi="Arial" w:hint="default"/>
      </w:rPr>
    </w:lvl>
    <w:lvl w:ilvl="7" w:tplc="B29EDD38" w:tentative="1">
      <w:start w:val="1"/>
      <w:numFmt w:val="bullet"/>
      <w:lvlText w:val="•"/>
      <w:lvlJc w:val="left"/>
      <w:pPr>
        <w:tabs>
          <w:tab w:val="num" w:pos="5760"/>
        </w:tabs>
        <w:ind w:left="5760" w:hanging="360"/>
      </w:pPr>
      <w:rPr>
        <w:rFonts w:ascii="Arial" w:hAnsi="Arial" w:hint="default"/>
      </w:rPr>
    </w:lvl>
    <w:lvl w:ilvl="8" w:tplc="571C395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pwtd0e4eawa0eax9rvvd9zpd2r9s5sxptv&quot;&gt;My EndNote Library&lt;record-ids&gt;&lt;item&gt;90&lt;/item&gt;&lt;item&gt;516&lt;/item&gt;&lt;item&gt;521&lt;/item&gt;&lt;item&gt;523&lt;/item&gt;&lt;item&gt;538&lt;/item&gt;&lt;item&gt;539&lt;/item&gt;&lt;item&gt;954&lt;/item&gt;&lt;item&gt;1001&lt;/item&gt;&lt;item&gt;1018&lt;/item&gt;&lt;item&gt;1052&lt;/item&gt;&lt;item&gt;1125&lt;/item&gt;&lt;item&gt;1128&lt;/item&gt;&lt;item&gt;1129&lt;/item&gt;&lt;item&gt;1130&lt;/item&gt;&lt;item&gt;1132&lt;/item&gt;&lt;/record-ids&gt;&lt;/item&gt;&lt;/Libraries&gt;"/>
  </w:docVars>
  <w:rsids>
    <w:rsidRoot w:val="0034162E"/>
    <w:rsid w:val="000510D2"/>
    <w:rsid w:val="000531E8"/>
    <w:rsid w:val="000552B3"/>
    <w:rsid w:val="00056437"/>
    <w:rsid w:val="00072974"/>
    <w:rsid w:val="00090C24"/>
    <w:rsid w:val="0009696D"/>
    <w:rsid w:val="000D1CD7"/>
    <w:rsid w:val="000D5007"/>
    <w:rsid w:val="000F18B0"/>
    <w:rsid w:val="00102C03"/>
    <w:rsid w:val="00105AC6"/>
    <w:rsid w:val="00125CCD"/>
    <w:rsid w:val="001603D8"/>
    <w:rsid w:val="00167D4D"/>
    <w:rsid w:val="001720A9"/>
    <w:rsid w:val="0019304B"/>
    <w:rsid w:val="001A4606"/>
    <w:rsid w:val="001B53F1"/>
    <w:rsid w:val="001C7891"/>
    <w:rsid w:val="001E3E31"/>
    <w:rsid w:val="00206FBD"/>
    <w:rsid w:val="00211A18"/>
    <w:rsid w:val="002230E0"/>
    <w:rsid w:val="002233EA"/>
    <w:rsid w:val="00224EE1"/>
    <w:rsid w:val="00227A9E"/>
    <w:rsid w:val="00242D79"/>
    <w:rsid w:val="0024410D"/>
    <w:rsid w:val="0027098A"/>
    <w:rsid w:val="00286023"/>
    <w:rsid w:val="002A3EFA"/>
    <w:rsid w:val="002B065A"/>
    <w:rsid w:val="002B5CB5"/>
    <w:rsid w:val="002C6E3D"/>
    <w:rsid w:val="002D77FB"/>
    <w:rsid w:val="002E10CD"/>
    <w:rsid w:val="002E41E5"/>
    <w:rsid w:val="002E7E49"/>
    <w:rsid w:val="0031531E"/>
    <w:rsid w:val="003362DA"/>
    <w:rsid w:val="0034162E"/>
    <w:rsid w:val="00342456"/>
    <w:rsid w:val="003474C5"/>
    <w:rsid w:val="003505D0"/>
    <w:rsid w:val="00351B2A"/>
    <w:rsid w:val="0038103F"/>
    <w:rsid w:val="00392E7C"/>
    <w:rsid w:val="003963A7"/>
    <w:rsid w:val="003A133D"/>
    <w:rsid w:val="003A1C99"/>
    <w:rsid w:val="003A3F6B"/>
    <w:rsid w:val="003B2B62"/>
    <w:rsid w:val="003C33C5"/>
    <w:rsid w:val="003E341A"/>
    <w:rsid w:val="003E5847"/>
    <w:rsid w:val="003F0281"/>
    <w:rsid w:val="003F7D83"/>
    <w:rsid w:val="004061A6"/>
    <w:rsid w:val="00423E9D"/>
    <w:rsid w:val="004277E9"/>
    <w:rsid w:val="00437B50"/>
    <w:rsid w:val="00454601"/>
    <w:rsid w:val="00462BAD"/>
    <w:rsid w:val="00467413"/>
    <w:rsid w:val="004828C7"/>
    <w:rsid w:val="004A2C03"/>
    <w:rsid w:val="004A4938"/>
    <w:rsid w:val="004C0FA0"/>
    <w:rsid w:val="004D78CF"/>
    <w:rsid w:val="004F3C21"/>
    <w:rsid w:val="00521A8C"/>
    <w:rsid w:val="00543DA8"/>
    <w:rsid w:val="00547A05"/>
    <w:rsid w:val="005730A5"/>
    <w:rsid w:val="00575F03"/>
    <w:rsid w:val="00583D3E"/>
    <w:rsid w:val="0059797D"/>
    <w:rsid w:val="005A3D41"/>
    <w:rsid w:val="005B5C7C"/>
    <w:rsid w:val="005D4033"/>
    <w:rsid w:val="005D5002"/>
    <w:rsid w:val="005E69BA"/>
    <w:rsid w:val="005F579A"/>
    <w:rsid w:val="005F5970"/>
    <w:rsid w:val="00601E45"/>
    <w:rsid w:val="00624894"/>
    <w:rsid w:val="00651C36"/>
    <w:rsid w:val="00651EB7"/>
    <w:rsid w:val="0066025F"/>
    <w:rsid w:val="0066561F"/>
    <w:rsid w:val="00680088"/>
    <w:rsid w:val="00683EB3"/>
    <w:rsid w:val="00696CCF"/>
    <w:rsid w:val="006B116C"/>
    <w:rsid w:val="006C27C9"/>
    <w:rsid w:val="006C5EDA"/>
    <w:rsid w:val="006D6DFF"/>
    <w:rsid w:val="006D71C0"/>
    <w:rsid w:val="006E3F08"/>
    <w:rsid w:val="006F7E31"/>
    <w:rsid w:val="0071375B"/>
    <w:rsid w:val="00720F13"/>
    <w:rsid w:val="00726657"/>
    <w:rsid w:val="0074057C"/>
    <w:rsid w:val="00740F33"/>
    <w:rsid w:val="007450B5"/>
    <w:rsid w:val="0076367F"/>
    <w:rsid w:val="007716C8"/>
    <w:rsid w:val="00784650"/>
    <w:rsid w:val="00784AB5"/>
    <w:rsid w:val="007928A7"/>
    <w:rsid w:val="007A1838"/>
    <w:rsid w:val="007A5BCD"/>
    <w:rsid w:val="007B07B8"/>
    <w:rsid w:val="007B1D04"/>
    <w:rsid w:val="007F0923"/>
    <w:rsid w:val="007F5451"/>
    <w:rsid w:val="007F70CE"/>
    <w:rsid w:val="00813BA9"/>
    <w:rsid w:val="00813D71"/>
    <w:rsid w:val="008146AD"/>
    <w:rsid w:val="008168D9"/>
    <w:rsid w:val="0083078F"/>
    <w:rsid w:val="0083356A"/>
    <w:rsid w:val="008420FF"/>
    <w:rsid w:val="0084229F"/>
    <w:rsid w:val="008454A1"/>
    <w:rsid w:val="00846FEA"/>
    <w:rsid w:val="00873E51"/>
    <w:rsid w:val="00887104"/>
    <w:rsid w:val="008913EF"/>
    <w:rsid w:val="008A18A8"/>
    <w:rsid w:val="008B3DD8"/>
    <w:rsid w:val="008C136E"/>
    <w:rsid w:val="008D0C6A"/>
    <w:rsid w:val="008D35A2"/>
    <w:rsid w:val="008E0688"/>
    <w:rsid w:val="008E39F3"/>
    <w:rsid w:val="008F2842"/>
    <w:rsid w:val="00907D24"/>
    <w:rsid w:val="00920ADC"/>
    <w:rsid w:val="00920E52"/>
    <w:rsid w:val="00921855"/>
    <w:rsid w:val="009432FB"/>
    <w:rsid w:val="00944E64"/>
    <w:rsid w:val="00956194"/>
    <w:rsid w:val="00962648"/>
    <w:rsid w:val="00962B02"/>
    <w:rsid w:val="0096467A"/>
    <w:rsid w:val="00976331"/>
    <w:rsid w:val="00990411"/>
    <w:rsid w:val="009B3B26"/>
    <w:rsid w:val="009B5C54"/>
    <w:rsid w:val="009C260F"/>
    <w:rsid w:val="009D6225"/>
    <w:rsid w:val="009E3D14"/>
    <w:rsid w:val="009F22E3"/>
    <w:rsid w:val="009F6805"/>
    <w:rsid w:val="00A00535"/>
    <w:rsid w:val="00A2719F"/>
    <w:rsid w:val="00A374D9"/>
    <w:rsid w:val="00A42A9A"/>
    <w:rsid w:val="00A467D7"/>
    <w:rsid w:val="00A539FC"/>
    <w:rsid w:val="00A56C0F"/>
    <w:rsid w:val="00A70C91"/>
    <w:rsid w:val="00A724A1"/>
    <w:rsid w:val="00A80F8F"/>
    <w:rsid w:val="00A82F5A"/>
    <w:rsid w:val="00A84238"/>
    <w:rsid w:val="00A91BF5"/>
    <w:rsid w:val="00AA0B48"/>
    <w:rsid w:val="00AA64D9"/>
    <w:rsid w:val="00AC02BC"/>
    <w:rsid w:val="00AE69BA"/>
    <w:rsid w:val="00AF27F8"/>
    <w:rsid w:val="00B018F8"/>
    <w:rsid w:val="00B25C8C"/>
    <w:rsid w:val="00B27530"/>
    <w:rsid w:val="00B520A3"/>
    <w:rsid w:val="00B56B3B"/>
    <w:rsid w:val="00B64045"/>
    <w:rsid w:val="00B76DDC"/>
    <w:rsid w:val="00B81844"/>
    <w:rsid w:val="00B830C6"/>
    <w:rsid w:val="00B8376C"/>
    <w:rsid w:val="00B876A1"/>
    <w:rsid w:val="00BA159B"/>
    <w:rsid w:val="00BA7096"/>
    <w:rsid w:val="00BB1BE4"/>
    <w:rsid w:val="00BB394F"/>
    <w:rsid w:val="00BC2403"/>
    <w:rsid w:val="00BC673E"/>
    <w:rsid w:val="00BD249A"/>
    <w:rsid w:val="00BE2AB8"/>
    <w:rsid w:val="00BF0ED4"/>
    <w:rsid w:val="00BF2D52"/>
    <w:rsid w:val="00C245F4"/>
    <w:rsid w:val="00C57FDD"/>
    <w:rsid w:val="00C6121B"/>
    <w:rsid w:val="00C62602"/>
    <w:rsid w:val="00C71487"/>
    <w:rsid w:val="00CA330F"/>
    <w:rsid w:val="00CC678C"/>
    <w:rsid w:val="00CC6B45"/>
    <w:rsid w:val="00CE2A5C"/>
    <w:rsid w:val="00CF51EC"/>
    <w:rsid w:val="00CF6860"/>
    <w:rsid w:val="00D05827"/>
    <w:rsid w:val="00D313E2"/>
    <w:rsid w:val="00D32CE0"/>
    <w:rsid w:val="00D404B6"/>
    <w:rsid w:val="00D4125E"/>
    <w:rsid w:val="00D45BC8"/>
    <w:rsid w:val="00D5468D"/>
    <w:rsid w:val="00D661DC"/>
    <w:rsid w:val="00D72482"/>
    <w:rsid w:val="00D9152C"/>
    <w:rsid w:val="00DA4E00"/>
    <w:rsid w:val="00DD1A1A"/>
    <w:rsid w:val="00DD454B"/>
    <w:rsid w:val="00DD6759"/>
    <w:rsid w:val="00DF50E5"/>
    <w:rsid w:val="00E0659B"/>
    <w:rsid w:val="00E06B96"/>
    <w:rsid w:val="00E11A8A"/>
    <w:rsid w:val="00E13550"/>
    <w:rsid w:val="00E26C6B"/>
    <w:rsid w:val="00E41DBD"/>
    <w:rsid w:val="00E52728"/>
    <w:rsid w:val="00E658E5"/>
    <w:rsid w:val="00E72337"/>
    <w:rsid w:val="00E75EEE"/>
    <w:rsid w:val="00E85696"/>
    <w:rsid w:val="00E9195D"/>
    <w:rsid w:val="00E9616C"/>
    <w:rsid w:val="00EB48B1"/>
    <w:rsid w:val="00EC36A4"/>
    <w:rsid w:val="00EC4889"/>
    <w:rsid w:val="00EC4D32"/>
    <w:rsid w:val="00EC627C"/>
    <w:rsid w:val="00EE021D"/>
    <w:rsid w:val="00EF4736"/>
    <w:rsid w:val="00F02834"/>
    <w:rsid w:val="00F35AD9"/>
    <w:rsid w:val="00F35BF5"/>
    <w:rsid w:val="00F4228E"/>
    <w:rsid w:val="00F439ED"/>
    <w:rsid w:val="00F45E5E"/>
    <w:rsid w:val="00F47C46"/>
    <w:rsid w:val="00F564E9"/>
    <w:rsid w:val="00F601B3"/>
    <w:rsid w:val="00F719F9"/>
    <w:rsid w:val="00F75972"/>
    <w:rsid w:val="00F824B4"/>
    <w:rsid w:val="00FA060B"/>
    <w:rsid w:val="00FA112B"/>
    <w:rsid w:val="00FA17A3"/>
    <w:rsid w:val="00FB269A"/>
    <w:rsid w:val="00FB352E"/>
    <w:rsid w:val="00FD065D"/>
    <w:rsid w:val="00FD3A94"/>
    <w:rsid w:val="00FF7CD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2D4B"/>
  <w15:docId w15:val="{E3A61739-FF5B-40A0-B799-E345DFF3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2E"/>
  </w:style>
  <w:style w:type="paragraph" w:styleId="Heading1">
    <w:name w:val="heading 1"/>
    <w:basedOn w:val="Normal"/>
    <w:next w:val="Normal"/>
    <w:link w:val="Heading1Char"/>
    <w:uiPriority w:val="9"/>
    <w:qFormat/>
    <w:rsid w:val="0074057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6FEA"/>
    <w:rPr>
      <w:sz w:val="16"/>
      <w:szCs w:val="16"/>
    </w:rPr>
  </w:style>
  <w:style w:type="paragraph" w:styleId="CommentText">
    <w:name w:val="annotation text"/>
    <w:basedOn w:val="Normal"/>
    <w:link w:val="CommentTextChar"/>
    <w:uiPriority w:val="99"/>
    <w:semiHidden/>
    <w:unhideWhenUsed/>
    <w:rsid w:val="00846FEA"/>
    <w:pPr>
      <w:spacing w:line="240" w:lineRule="auto"/>
    </w:pPr>
    <w:rPr>
      <w:sz w:val="20"/>
      <w:szCs w:val="25"/>
    </w:rPr>
  </w:style>
  <w:style w:type="character" w:customStyle="1" w:styleId="CommentTextChar">
    <w:name w:val="Comment Text Char"/>
    <w:basedOn w:val="DefaultParagraphFont"/>
    <w:link w:val="CommentText"/>
    <w:uiPriority w:val="99"/>
    <w:semiHidden/>
    <w:rsid w:val="00846FEA"/>
    <w:rPr>
      <w:sz w:val="20"/>
      <w:szCs w:val="25"/>
    </w:rPr>
  </w:style>
  <w:style w:type="paragraph" w:styleId="CommentSubject">
    <w:name w:val="annotation subject"/>
    <w:basedOn w:val="CommentText"/>
    <w:next w:val="CommentText"/>
    <w:link w:val="CommentSubjectChar"/>
    <w:uiPriority w:val="99"/>
    <w:semiHidden/>
    <w:unhideWhenUsed/>
    <w:rsid w:val="00846FEA"/>
    <w:rPr>
      <w:b/>
      <w:bCs/>
    </w:rPr>
  </w:style>
  <w:style w:type="character" w:customStyle="1" w:styleId="CommentSubjectChar">
    <w:name w:val="Comment Subject Char"/>
    <w:basedOn w:val="CommentTextChar"/>
    <w:link w:val="CommentSubject"/>
    <w:uiPriority w:val="99"/>
    <w:semiHidden/>
    <w:rsid w:val="00846FEA"/>
    <w:rPr>
      <w:b/>
      <w:bCs/>
      <w:sz w:val="20"/>
      <w:szCs w:val="25"/>
    </w:rPr>
  </w:style>
  <w:style w:type="paragraph" w:styleId="BalloonText">
    <w:name w:val="Balloon Text"/>
    <w:basedOn w:val="Normal"/>
    <w:link w:val="BalloonTextChar"/>
    <w:uiPriority w:val="99"/>
    <w:semiHidden/>
    <w:unhideWhenUsed/>
    <w:rsid w:val="00846FE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46FEA"/>
    <w:rPr>
      <w:rFonts w:ascii="Tahoma" w:hAnsi="Tahoma" w:cs="Angsana New"/>
      <w:sz w:val="16"/>
      <w:szCs w:val="20"/>
    </w:rPr>
  </w:style>
  <w:style w:type="paragraph" w:styleId="NoSpacing">
    <w:name w:val="No Spacing"/>
    <w:uiPriority w:val="1"/>
    <w:qFormat/>
    <w:rsid w:val="003963A7"/>
    <w:pPr>
      <w:spacing w:after="0" w:line="240" w:lineRule="auto"/>
    </w:pPr>
  </w:style>
  <w:style w:type="paragraph" w:styleId="NormalWeb">
    <w:name w:val="Normal (Web)"/>
    <w:basedOn w:val="Normal"/>
    <w:uiPriority w:val="99"/>
    <w:unhideWhenUsed/>
    <w:rsid w:val="0024410D"/>
    <w:pPr>
      <w:spacing w:before="100" w:beforeAutospacing="1" w:after="100" w:afterAutospacing="1" w:line="240" w:lineRule="auto"/>
    </w:pPr>
    <w:rPr>
      <w:rFonts w:ascii="Times New Roman" w:hAnsi="Times New Roman" w:cs="Times New Roman"/>
      <w:sz w:val="24"/>
      <w:szCs w:val="24"/>
      <w:lang w:eastAsia="ko-KR" w:bidi="ar-SA"/>
    </w:rPr>
  </w:style>
  <w:style w:type="paragraph" w:customStyle="1" w:styleId="EndNoteBibliographyTitle">
    <w:name w:val="EndNote Bibliography Title"/>
    <w:basedOn w:val="Normal"/>
    <w:link w:val="EndNoteBibliographyTitleChar"/>
    <w:rsid w:val="00227A9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27A9E"/>
    <w:rPr>
      <w:rFonts w:ascii="Calibri" w:hAnsi="Calibri" w:cs="Calibri"/>
      <w:noProof/>
    </w:rPr>
  </w:style>
  <w:style w:type="paragraph" w:customStyle="1" w:styleId="EndNoteBibliography">
    <w:name w:val="EndNote Bibliography"/>
    <w:basedOn w:val="Normal"/>
    <w:link w:val="EndNoteBibliographyChar"/>
    <w:rsid w:val="00227A9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27A9E"/>
    <w:rPr>
      <w:rFonts w:ascii="Calibri" w:hAnsi="Calibri" w:cs="Calibri"/>
      <w:noProof/>
    </w:rPr>
  </w:style>
  <w:style w:type="table" w:styleId="TableGrid">
    <w:name w:val="Table Grid"/>
    <w:basedOn w:val="TableNormal"/>
    <w:uiPriority w:val="39"/>
    <w:rsid w:val="0038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94F"/>
    <w:pPr>
      <w:ind w:left="720"/>
      <w:contextualSpacing/>
    </w:pPr>
  </w:style>
  <w:style w:type="character" w:customStyle="1" w:styleId="Heading1Char">
    <w:name w:val="Heading 1 Char"/>
    <w:basedOn w:val="DefaultParagraphFont"/>
    <w:link w:val="Heading1"/>
    <w:uiPriority w:val="9"/>
    <w:rsid w:val="0074057C"/>
    <w:rPr>
      <w:rFonts w:asciiTheme="majorHAnsi" w:eastAsiaTheme="majorEastAsia" w:hAnsiTheme="majorHAnsi" w:cstheme="majorBidi"/>
      <w:color w:val="2E74B5" w:themeColor="accent1" w:themeShade="BF"/>
      <w:sz w:val="32"/>
      <w:szCs w:val="40"/>
    </w:rPr>
  </w:style>
  <w:style w:type="paragraph" w:styleId="Header">
    <w:name w:val="header"/>
    <w:basedOn w:val="Normal"/>
    <w:link w:val="HeaderChar"/>
    <w:uiPriority w:val="99"/>
    <w:unhideWhenUsed/>
    <w:rsid w:val="008F2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842"/>
  </w:style>
  <w:style w:type="paragraph" w:styleId="Footer">
    <w:name w:val="footer"/>
    <w:basedOn w:val="Normal"/>
    <w:link w:val="FooterChar"/>
    <w:uiPriority w:val="99"/>
    <w:unhideWhenUsed/>
    <w:rsid w:val="008F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842"/>
  </w:style>
  <w:style w:type="character" w:styleId="PlaceholderText">
    <w:name w:val="Placeholder Text"/>
    <w:basedOn w:val="DefaultParagraphFont"/>
    <w:uiPriority w:val="99"/>
    <w:semiHidden/>
    <w:rsid w:val="00B520A3"/>
    <w:rPr>
      <w:color w:val="808080"/>
    </w:rPr>
  </w:style>
  <w:style w:type="paragraph" w:customStyle="1" w:styleId="DecimalAligned">
    <w:name w:val="Decimal Aligned"/>
    <w:basedOn w:val="Normal"/>
    <w:uiPriority w:val="40"/>
    <w:qFormat/>
    <w:rsid w:val="00E0659B"/>
    <w:pPr>
      <w:tabs>
        <w:tab w:val="decimal" w:pos="360"/>
      </w:tabs>
      <w:spacing w:after="200" w:line="276" w:lineRule="auto"/>
    </w:pPr>
    <w:rPr>
      <w:rFonts w:cs="Times New Roman"/>
      <w:szCs w:val="22"/>
      <w:lang w:bidi="ar-SA"/>
    </w:rPr>
  </w:style>
  <w:style w:type="paragraph" w:styleId="FootnoteText">
    <w:name w:val="footnote text"/>
    <w:basedOn w:val="Normal"/>
    <w:link w:val="FootnoteTextChar"/>
    <w:uiPriority w:val="99"/>
    <w:unhideWhenUsed/>
    <w:rsid w:val="00E0659B"/>
    <w:pPr>
      <w:spacing w:after="0" w:line="240" w:lineRule="auto"/>
    </w:pPr>
    <w:rPr>
      <w:rFonts w:cs="Times New Roman"/>
      <w:sz w:val="20"/>
      <w:szCs w:val="20"/>
      <w:lang w:bidi="ar-SA"/>
    </w:rPr>
  </w:style>
  <w:style w:type="character" w:customStyle="1" w:styleId="FootnoteTextChar">
    <w:name w:val="Footnote Text Char"/>
    <w:basedOn w:val="DefaultParagraphFont"/>
    <w:link w:val="FootnoteText"/>
    <w:uiPriority w:val="99"/>
    <w:rsid w:val="00E0659B"/>
    <w:rPr>
      <w:rFonts w:cs="Times New Roman"/>
      <w:sz w:val="20"/>
      <w:szCs w:val="20"/>
      <w:lang w:bidi="ar-SA"/>
    </w:rPr>
  </w:style>
  <w:style w:type="character" w:styleId="SubtleEmphasis">
    <w:name w:val="Subtle Emphasis"/>
    <w:basedOn w:val="DefaultParagraphFont"/>
    <w:uiPriority w:val="19"/>
    <w:qFormat/>
    <w:rsid w:val="00E0659B"/>
    <w:rPr>
      <w:i/>
      <w:iCs/>
    </w:rPr>
  </w:style>
  <w:style w:type="table" w:styleId="LightShading-Accent1">
    <w:name w:val="Light Shading Accent 1"/>
    <w:basedOn w:val="TableNormal"/>
    <w:uiPriority w:val="60"/>
    <w:rsid w:val="00E0659B"/>
    <w:pPr>
      <w:spacing w:after="0" w:line="240" w:lineRule="auto"/>
    </w:pPr>
    <w:rPr>
      <w:color w:val="2E74B5" w:themeColor="accent1" w:themeShade="BF"/>
      <w:szCs w:val="22"/>
      <w:lang w:bidi="ar-SA"/>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List2-Accent1">
    <w:name w:val="Medium List 2 Accent 1"/>
    <w:basedOn w:val="TableNormal"/>
    <w:uiPriority w:val="66"/>
    <w:rsid w:val="00521A8C"/>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1Light-Accent6">
    <w:name w:val="Grid Table 1 Light Accent 6"/>
    <w:basedOn w:val="TableNormal"/>
    <w:uiPriority w:val="46"/>
    <w:rsid w:val="004A2C0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A2C0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4A2C0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A2C0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A2C0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A2C0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A2C0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5">
    <w:name w:val="List Table 7 Colorful Accent 5"/>
    <w:basedOn w:val="TableNormal"/>
    <w:uiPriority w:val="52"/>
    <w:rsid w:val="004A2C0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8652">
      <w:bodyDiv w:val="1"/>
      <w:marLeft w:val="0"/>
      <w:marRight w:val="0"/>
      <w:marTop w:val="0"/>
      <w:marBottom w:val="0"/>
      <w:divBdr>
        <w:top w:val="none" w:sz="0" w:space="0" w:color="auto"/>
        <w:left w:val="none" w:sz="0" w:space="0" w:color="auto"/>
        <w:bottom w:val="none" w:sz="0" w:space="0" w:color="auto"/>
        <w:right w:val="none" w:sz="0" w:space="0" w:color="auto"/>
      </w:divBdr>
    </w:div>
    <w:div w:id="41559111">
      <w:bodyDiv w:val="1"/>
      <w:marLeft w:val="0"/>
      <w:marRight w:val="0"/>
      <w:marTop w:val="0"/>
      <w:marBottom w:val="0"/>
      <w:divBdr>
        <w:top w:val="none" w:sz="0" w:space="0" w:color="auto"/>
        <w:left w:val="none" w:sz="0" w:space="0" w:color="auto"/>
        <w:bottom w:val="none" w:sz="0" w:space="0" w:color="auto"/>
        <w:right w:val="none" w:sz="0" w:space="0" w:color="auto"/>
      </w:divBdr>
    </w:div>
    <w:div w:id="68037441">
      <w:bodyDiv w:val="1"/>
      <w:marLeft w:val="0"/>
      <w:marRight w:val="0"/>
      <w:marTop w:val="0"/>
      <w:marBottom w:val="0"/>
      <w:divBdr>
        <w:top w:val="none" w:sz="0" w:space="0" w:color="auto"/>
        <w:left w:val="none" w:sz="0" w:space="0" w:color="auto"/>
        <w:bottom w:val="none" w:sz="0" w:space="0" w:color="auto"/>
        <w:right w:val="none" w:sz="0" w:space="0" w:color="auto"/>
      </w:divBdr>
    </w:div>
    <w:div w:id="154342594">
      <w:bodyDiv w:val="1"/>
      <w:marLeft w:val="0"/>
      <w:marRight w:val="0"/>
      <w:marTop w:val="0"/>
      <w:marBottom w:val="0"/>
      <w:divBdr>
        <w:top w:val="none" w:sz="0" w:space="0" w:color="auto"/>
        <w:left w:val="none" w:sz="0" w:space="0" w:color="auto"/>
        <w:bottom w:val="none" w:sz="0" w:space="0" w:color="auto"/>
        <w:right w:val="none" w:sz="0" w:space="0" w:color="auto"/>
      </w:divBdr>
    </w:div>
    <w:div w:id="183446477">
      <w:bodyDiv w:val="1"/>
      <w:marLeft w:val="0"/>
      <w:marRight w:val="0"/>
      <w:marTop w:val="0"/>
      <w:marBottom w:val="0"/>
      <w:divBdr>
        <w:top w:val="none" w:sz="0" w:space="0" w:color="auto"/>
        <w:left w:val="none" w:sz="0" w:space="0" w:color="auto"/>
        <w:bottom w:val="none" w:sz="0" w:space="0" w:color="auto"/>
        <w:right w:val="none" w:sz="0" w:space="0" w:color="auto"/>
      </w:divBdr>
    </w:div>
    <w:div w:id="213278959">
      <w:bodyDiv w:val="1"/>
      <w:marLeft w:val="0"/>
      <w:marRight w:val="0"/>
      <w:marTop w:val="0"/>
      <w:marBottom w:val="0"/>
      <w:divBdr>
        <w:top w:val="none" w:sz="0" w:space="0" w:color="auto"/>
        <w:left w:val="none" w:sz="0" w:space="0" w:color="auto"/>
        <w:bottom w:val="none" w:sz="0" w:space="0" w:color="auto"/>
        <w:right w:val="none" w:sz="0" w:space="0" w:color="auto"/>
      </w:divBdr>
    </w:div>
    <w:div w:id="256594756">
      <w:bodyDiv w:val="1"/>
      <w:marLeft w:val="0"/>
      <w:marRight w:val="0"/>
      <w:marTop w:val="0"/>
      <w:marBottom w:val="0"/>
      <w:divBdr>
        <w:top w:val="none" w:sz="0" w:space="0" w:color="auto"/>
        <w:left w:val="none" w:sz="0" w:space="0" w:color="auto"/>
        <w:bottom w:val="none" w:sz="0" w:space="0" w:color="auto"/>
        <w:right w:val="none" w:sz="0" w:space="0" w:color="auto"/>
      </w:divBdr>
    </w:div>
    <w:div w:id="299072188">
      <w:bodyDiv w:val="1"/>
      <w:marLeft w:val="0"/>
      <w:marRight w:val="0"/>
      <w:marTop w:val="0"/>
      <w:marBottom w:val="0"/>
      <w:divBdr>
        <w:top w:val="none" w:sz="0" w:space="0" w:color="auto"/>
        <w:left w:val="none" w:sz="0" w:space="0" w:color="auto"/>
        <w:bottom w:val="none" w:sz="0" w:space="0" w:color="auto"/>
        <w:right w:val="none" w:sz="0" w:space="0" w:color="auto"/>
      </w:divBdr>
    </w:div>
    <w:div w:id="301623777">
      <w:bodyDiv w:val="1"/>
      <w:marLeft w:val="0"/>
      <w:marRight w:val="0"/>
      <w:marTop w:val="0"/>
      <w:marBottom w:val="0"/>
      <w:divBdr>
        <w:top w:val="none" w:sz="0" w:space="0" w:color="auto"/>
        <w:left w:val="none" w:sz="0" w:space="0" w:color="auto"/>
        <w:bottom w:val="none" w:sz="0" w:space="0" w:color="auto"/>
        <w:right w:val="none" w:sz="0" w:space="0" w:color="auto"/>
      </w:divBdr>
    </w:div>
    <w:div w:id="340552269">
      <w:bodyDiv w:val="1"/>
      <w:marLeft w:val="0"/>
      <w:marRight w:val="0"/>
      <w:marTop w:val="0"/>
      <w:marBottom w:val="0"/>
      <w:divBdr>
        <w:top w:val="none" w:sz="0" w:space="0" w:color="auto"/>
        <w:left w:val="none" w:sz="0" w:space="0" w:color="auto"/>
        <w:bottom w:val="none" w:sz="0" w:space="0" w:color="auto"/>
        <w:right w:val="none" w:sz="0" w:space="0" w:color="auto"/>
      </w:divBdr>
    </w:div>
    <w:div w:id="373385435">
      <w:bodyDiv w:val="1"/>
      <w:marLeft w:val="0"/>
      <w:marRight w:val="0"/>
      <w:marTop w:val="0"/>
      <w:marBottom w:val="0"/>
      <w:divBdr>
        <w:top w:val="none" w:sz="0" w:space="0" w:color="auto"/>
        <w:left w:val="none" w:sz="0" w:space="0" w:color="auto"/>
        <w:bottom w:val="none" w:sz="0" w:space="0" w:color="auto"/>
        <w:right w:val="none" w:sz="0" w:space="0" w:color="auto"/>
      </w:divBdr>
    </w:div>
    <w:div w:id="470906100">
      <w:bodyDiv w:val="1"/>
      <w:marLeft w:val="0"/>
      <w:marRight w:val="0"/>
      <w:marTop w:val="0"/>
      <w:marBottom w:val="0"/>
      <w:divBdr>
        <w:top w:val="none" w:sz="0" w:space="0" w:color="auto"/>
        <w:left w:val="none" w:sz="0" w:space="0" w:color="auto"/>
        <w:bottom w:val="none" w:sz="0" w:space="0" w:color="auto"/>
        <w:right w:val="none" w:sz="0" w:space="0" w:color="auto"/>
      </w:divBdr>
    </w:div>
    <w:div w:id="488719341">
      <w:bodyDiv w:val="1"/>
      <w:marLeft w:val="0"/>
      <w:marRight w:val="0"/>
      <w:marTop w:val="0"/>
      <w:marBottom w:val="0"/>
      <w:divBdr>
        <w:top w:val="none" w:sz="0" w:space="0" w:color="auto"/>
        <w:left w:val="none" w:sz="0" w:space="0" w:color="auto"/>
        <w:bottom w:val="none" w:sz="0" w:space="0" w:color="auto"/>
        <w:right w:val="none" w:sz="0" w:space="0" w:color="auto"/>
      </w:divBdr>
      <w:divsChild>
        <w:div w:id="782305225">
          <w:marLeft w:val="533"/>
          <w:marRight w:val="0"/>
          <w:marTop w:val="0"/>
          <w:marBottom w:val="120"/>
          <w:divBdr>
            <w:top w:val="none" w:sz="0" w:space="0" w:color="auto"/>
            <w:left w:val="none" w:sz="0" w:space="0" w:color="auto"/>
            <w:bottom w:val="none" w:sz="0" w:space="0" w:color="auto"/>
            <w:right w:val="none" w:sz="0" w:space="0" w:color="auto"/>
          </w:divBdr>
        </w:div>
        <w:div w:id="739326272">
          <w:marLeft w:val="533"/>
          <w:marRight w:val="0"/>
          <w:marTop w:val="0"/>
          <w:marBottom w:val="120"/>
          <w:divBdr>
            <w:top w:val="none" w:sz="0" w:space="0" w:color="auto"/>
            <w:left w:val="none" w:sz="0" w:space="0" w:color="auto"/>
            <w:bottom w:val="none" w:sz="0" w:space="0" w:color="auto"/>
            <w:right w:val="none" w:sz="0" w:space="0" w:color="auto"/>
          </w:divBdr>
        </w:div>
        <w:div w:id="543255915">
          <w:marLeft w:val="1253"/>
          <w:marRight w:val="0"/>
          <w:marTop w:val="0"/>
          <w:marBottom w:val="120"/>
          <w:divBdr>
            <w:top w:val="none" w:sz="0" w:space="0" w:color="auto"/>
            <w:left w:val="none" w:sz="0" w:space="0" w:color="auto"/>
            <w:bottom w:val="none" w:sz="0" w:space="0" w:color="auto"/>
            <w:right w:val="none" w:sz="0" w:space="0" w:color="auto"/>
          </w:divBdr>
        </w:div>
        <w:div w:id="138617013">
          <w:marLeft w:val="533"/>
          <w:marRight w:val="0"/>
          <w:marTop w:val="0"/>
          <w:marBottom w:val="120"/>
          <w:divBdr>
            <w:top w:val="none" w:sz="0" w:space="0" w:color="auto"/>
            <w:left w:val="none" w:sz="0" w:space="0" w:color="auto"/>
            <w:bottom w:val="none" w:sz="0" w:space="0" w:color="auto"/>
            <w:right w:val="none" w:sz="0" w:space="0" w:color="auto"/>
          </w:divBdr>
        </w:div>
        <w:div w:id="1049960030">
          <w:marLeft w:val="1253"/>
          <w:marRight w:val="0"/>
          <w:marTop w:val="0"/>
          <w:marBottom w:val="120"/>
          <w:divBdr>
            <w:top w:val="none" w:sz="0" w:space="0" w:color="auto"/>
            <w:left w:val="none" w:sz="0" w:space="0" w:color="auto"/>
            <w:bottom w:val="none" w:sz="0" w:space="0" w:color="auto"/>
            <w:right w:val="none" w:sz="0" w:space="0" w:color="auto"/>
          </w:divBdr>
        </w:div>
        <w:div w:id="1417244951">
          <w:marLeft w:val="533"/>
          <w:marRight w:val="0"/>
          <w:marTop w:val="0"/>
          <w:marBottom w:val="120"/>
          <w:divBdr>
            <w:top w:val="none" w:sz="0" w:space="0" w:color="auto"/>
            <w:left w:val="none" w:sz="0" w:space="0" w:color="auto"/>
            <w:bottom w:val="none" w:sz="0" w:space="0" w:color="auto"/>
            <w:right w:val="none" w:sz="0" w:space="0" w:color="auto"/>
          </w:divBdr>
        </w:div>
        <w:div w:id="559441842">
          <w:marLeft w:val="1886"/>
          <w:marRight w:val="0"/>
          <w:marTop w:val="0"/>
          <w:marBottom w:val="120"/>
          <w:divBdr>
            <w:top w:val="none" w:sz="0" w:space="0" w:color="auto"/>
            <w:left w:val="none" w:sz="0" w:space="0" w:color="auto"/>
            <w:bottom w:val="none" w:sz="0" w:space="0" w:color="auto"/>
            <w:right w:val="none" w:sz="0" w:space="0" w:color="auto"/>
          </w:divBdr>
        </w:div>
        <w:div w:id="288704835">
          <w:marLeft w:val="1886"/>
          <w:marRight w:val="0"/>
          <w:marTop w:val="0"/>
          <w:marBottom w:val="120"/>
          <w:divBdr>
            <w:top w:val="none" w:sz="0" w:space="0" w:color="auto"/>
            <w:left w:val="none" w:sz="0" w:space="0" w:color="auto"/>
            <w:bottom w:val="none" w:sz="0" w:space="0" w:color="auto"/>
            <w:right w:val="none" w:sz="0" w:space="0" w:color="auto"/>
          </w:divBdr>
        </w:div>
        <w:div w:id="1265377612">
          <w:marLeft w:val="533"/>
          <w:marRight w:val="0"/>
          <w:marTop w:val="0"/>
          <w:marBottom w:val="120"/>
          <w:divBdr>
            <w:top w:val="none" w:sz="0" w:space="0" w:color="auto"/>
            <w:left w:val="none" w:sz="0" w:space="0" w:color="auto"/>
            <w:bottom w:val="none" w:sz="0" w:space="0" w:color="auto"/>
            <w:right w:val="none" w:sz="0" w:space="0" w:color="auto"/>
          </w:divBdr>
        </w:div>
        <w:div w:id="1839030582">
          <w:marLeft w:val="1886"/>
          <w:marRight w:val="0"/>
          <w:marTop w:val="0"/>
          <w:marBottom w:val="120"/>
          <w:divBdr>
            <w:top w:val="none" w:sz="0" w:space="0" w:color="auto"/>
            <w:left w:val="none" w:sz="0" w:space="0" w:color="auto"/>
            <w:bottom w:val="none" w:sz="0" w:space="0" w:color="auto"/>
            <w:right w:val="none" w:sz="0" w:space="0" w:color="auto"/>
          </w:divBdr>
        </w:div>
        <w:div w:id="833186324">
          <w:marLeft w:val="1886"/>
          <w:marRight w:val="0"/>
          <w:marTop w:val="0"/>
          <w:marBottom w:val="120"/>
          <w:divBdr>
            <w:top w:val="none" w:sz="0" w:space="0" w:color="auto"/>
            <w:left w:val="none" w:sz="0" w:space="0" w:color="auto"/>
            <w:bottom w:val="none" w:sz="0" w:space="0" w:color="auto"/>
            <w:right w:val="none" w:sz="0" w:space="0" w:color="auto"/>
          </w:divBdr>
        </w:div>
        <w:div w:id="52119188">
          <w:marLeft w:val="1886"/>
          <w:marRight w:val="0"/>
          <w:marTop w:val="0"/>
          <w:marBottom w:val="120"/>
          <w:divBdr>
            <w:top w:val="none" w:sz="0" w:space="0" w:color="auto"/>
            <w:left w:val="none" w:sz="0" w:space="0" w:color="auto"/>
            <w:bottom w:val="none" w:sz="0" w:space="0" w:color="auto"/>
            <w:right w:val="none" w:sz="0" w:space="0" w:color="auto"/>
          </w:divBdr>
        </w:div>
        <w:div w:id="264271391">
          <w:marLeft w:val="533"/>
          <w:marRight w:val="0"/>
          <w:marTop w:val="0"/>
          <w:marBottom w:val="120"/>
          <w:divBdr>
            <w:top w:val="none" w:sz="0" w:space="0" w:color="auto"/>
            <w:left w:val="none" w:sz="0" w:space="0" w:color="auto"/>
            <w:bottom w:val="none" w:sz="0" w:space="0" w:color="auto"/>
            <w:right w:val="none" w:sz="0" w:space="0" w:color="auto"/>
          </w:divBdr>
        </w:div>
      </w:divsChild>
    </w:div>
    <w:div w:id="496387287">
      <w:bodyDiv w:val="1"/>
      <w:marLeft w:val="0"/>
      <w:marRight w:val="0"/>
      <w:marTop w:val="0"/>
      <w:marBottom w:val="0"/>
      <w:divBdr>
        <w:top w:val="none" w:sz="0" w:space="0" w:color="auto"/>
        <w:left w:val="none" w:sz="0" w:space="0" w:color="auto"/>
        <w:bottom w:val="none" w:sz="0" w:space="0" w:color="auto"/>
        <w:right w:val="none" w:sz="0" w:space="0" w:color="auto"/>
      </w:divBdr>
    </w:div>
    <w:div w:id="518083572">
      <w:bodyDiv w:val="1"/>
      <w:marLeft w:val="0"/>
      <w:marRight w:val="0"/>
      <w:marTop w:val="0"/>
      <w:marBottom w:val="0"/>
      <w:divBdr>
        <w:top w:val="none" w:sz="0" w:space="0" w:color="auto"/>
        <w:left w:val="none" w:sz="0" w:space="0" w:color="auto"/>
        <w:bottom w:val="none" w:sz="0" w:space="0" w:color="auto"/>
        <w:right w:val="none" w:sz="0" w:space="0" w:color="auto"/>
      </w:divBdr>
    </w:div>
    <w:div w:id="550506255">
      <w:bodyDiv w:val="1"/>
      <w:marLeft w:val="0"/>
      <w:marRight w:val="0"/>
      <w:marTop w:val="0"/>
      <w:marBottom w:val="0"/>
      <w:divBdr>
        <w:top w:val="none" w:sz="0" w:space="0" w:color="auto"/>
        <w:left w:val="none" w:sz="0" w:space="0" w:color="auto"/>
        <w:bottom w:val="none" w:sz="0" w:space="0" w:color="auto"/>
        <w:right w:val="none" w:sz="0" w:space="0" w:color="auto"/>
      </w:divBdr>
    </w:div>
    <w:div w:id="554004805">
      <w:bodyDiv w:val="1"/>
      <w:marLeft w:val="0"/>
      <w:marRight w:val="0"/>
      <w:marTop w:val="0"/>
      <w:marBottom w:val="0"/>
      <w:divBdr>
        <w:top w:val="none" w:sz="0" w:space="0" w:color="auto"/>
        <w:left w:val="none" w:sz="0" w:space="0" w:color="auto"/>
        <w:bottom w:val="none" w:sz="0" w:space="0" w:color="auto"/>
        <w:right w:val="none" w:sz="0" w:space="0" w:color="auto"/>
      </w:divBdr>
    </w:div>
    <w:div w:id="678703332">
      <w:bodyDiv w:val="1"/>
      <w:marLeft w:val="0"/>
      <w:marRight w:val="0"/>
      <w:marTop w:val="0"/>
      <w:marBottom w:val="0"/>
      <w:divBdr>
        <w:top w:val="none" w:sz="0" w:space="0" w:color="auto"/>
        <w:left w:val="none" w:sz="0" w:space="0" w:color="auto"/>
        <w:bottom w:val="none" w:sz="0" w:space="0" w:color="auto"/>
        <w:right w:val="none" w:sz="0" w:space="0" w:color="auto"/>
      </w:divBdr>
    </w:div>
    <w:div w:id="683021686">
      <w:bodyDiv w:val="1"/>
      <w:marLeft w:val="0"/>
      <w:marRight w:val="0"/>
      <w:marTop w:val="0"/>
      <w:marBottom w:val="0"/>
      <w:divBdr>
        <w:top w:val="none" w:sz="0" w:space="0" w:color="auto"/>
        <w:left w:val="none" w:sz="0" w:space="0" w:color="auto"/>
        <w:bottom w:val="none" w:sz="0" w:space="0" w:color="auto"/>
        <w:right w:val="none" w:sz="0" w:space="0" w:color="auto"/>
      </w:divBdr>
    </w:div>
    <w:div w:id="716128796">
      <w:bodyDiv w:val="1"/>
      <w:marLeft w:val="0"/>
      <w:marRight w:val="0"/>
      <w:marTop w:val="0"/>
      <w:marBottom w:val="0"/>
      <w:divBdr>
        <w:top w:val="none" w:sz="0" w:space="0" w:color="auto"/>
        <w:left w:val="none" w:sz="0" w:space="0" w:color="auto"/>
        <w:bottom w:val="none" w:sz="0" w:space="0" w:color="auto"/>
        <w:right w:val="none" w:sz="0" w:space="0" w:color="auto"/>
      </w:divBdr>
    </w:div>
    <w:div w:id="746421404">
      <w:bodyDiv w:val="1"/>
      <w:marLeft w:val="0"/>
      <w:marRight w:val="0"/>
      <w:marTop w:val="0"/>
      <w:marBottom w:val="0"/>
      <w:divBdr>
        <w:top w:val="none" w:sz="0" w:space="0" w:color="auto"/>
        <w:left w:val="none" w:sz="0" w:space="0" w:color="auto"/>
        <w:bottom w:val="none" w:sz="0" w:space="0" w:color="auto"/>
        <w:right w:val="none" w:sz="0" w:space="0" w:color="auto"/>
      </w:divBdr>
    </w:div>
    <w:div w:id="876744008">
      <w:bodyDiv w:val="1"/>
      <w:marLeft w:val="0"/>
      <w:marRight w:val="0"/>
      <w:marTop w:val="0"/>
      <w:marBottom w:val="0"/>
      <w:divBdr>
        <w:top w:val="none" w:sz="0" w:space="0" w:color="auto"/>
        <w:left w:val="none" w:sz="0" w:space="0" w:color="auto"/>
        <w:bottom w:val="none" w:sz="0" w:space="0" w:color="auto"/>
        <w:right w:val="none" w:sz="0" w:space="0" w:color="auto"/>
      </w:divBdr>
    </w:div>
    <w:div w:id="921567539">
      <w:bodyDiv w:val="1"/>
      <w:marLeft w:val="0"/>
      <w:marRight w:val="0"/>
      <w:marTop w:val="0"/>
      <w:marBottom w:val="0"/>
      <w:divBdr>
        <w:top w:val="none" w:sz="0" w:space="0" w:color="auto"/>
        <w:left w:val="none" w:sz="0" w:space="0" w:color="auto"/>
        <w:bottom w:val="none" w:sz="0" w:space="0" w:color="auto"/>
        <w:right w:val="none" w:sz="0" w:space="0" w:color="auto"/>
      </w:divBdr>
    </w:div>
    <w:div w:id="922567962">
      <w:bodyDiv w:val="1"/>
      <w:marLeft w:val="0"/>
      <w:marRight w:val="0"/>
      <w:marTop w:val="0"/>
      <w:marBottom w:val="0"/>
      <w:divBdr>
        <w:top w:val="none" w:sz="0" w:space="0" w:color="auto"/>
        <w:left w:val="none" w:sz="0" w:space="0" w:color="auto"/>
        <w:bottom w:val="none" w:sz="0" w:space="0" w:color="auto"/>
        <w:right w:val="none" w:sz="0" w:space="0" w:color="auto"/>
      </w:divBdr>
    </w:div>
    <w:div w:id="929655714">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
    <w:div w:id="936329787">
      <w:bodyDiv w:val="1"/>
      <w:marLeft w:val="0"/>
      <w:marRight w:val="0"/>
      <w:marTop w:val="0"/>
      <w:marBottom w:val="0"/>
      <w:divBdr>
        <w:top w:val="none" w:sz="0" w:space="0" w:color="auto"/>
        <w:left w:val="none" w:sz="0" w:space="0" w:color="auto"/>
        <w:bottom w:val="none" w:sz="0" w:space="0" w:color="auto"/>
        <w:right w:val="none" w:sz="0" w:space="0" w:color="auto"/>
      </w:divBdr>
    </w:div>
    <w:div w:id="962619774">
      <w:bodyDiv w:val="1"/>
      <w:marLeft w:val="0"/>
      <w:marRight w:val="0"/>
      <w:marTop w:val="0"/>
      <w:marBottom w:val="0"/>
      <w:divBdr>
        <w:top w:val="none" w:sz="0" w:space="0" w:color="auto"/>
        <w:left w:val="none" w:sz="0" w:space="0" w:color="auto"/>
        <w:bottom w:val="none" w:sz="0" w:space="0" w:color="auto"/>
        <w:right w:val="none" w:sz="0" w:space="0" w:color="auto"/>
      </w:divBdr>
    </w:div>
    <w:div w:id="1001549335">
      <w:bodyDiv w:val="1"/>
      <w:marLeft w:val="0"/>
      <w:marRight w:val="0"/>
      <w:marTop w:val="0"/>
      <w:marBottom w:val="0"/>
      <w:divBdr>
        <w:top w:val="none" w:sz="0" w:space="0" w:color="auto"/>
        <w:left w:val="none" w:sz="0" w:space="0" w:color="auto"/>
        <w:bottom w:val="none" w:sz="0" w:space="0" w:color="auto"/>
        <w:right w:val="none" w:sz="0" w:space="0" w:color="auto"/>
      </w:divBdr>
    </w:div>
    <w:div w:id="1019427098">
      <w:bodyDiv w:val="1"/>
      <w:marLeft w:val="0"/>
      <w:marRight w:val="0"/>
      <w:marTop w:val="0"/>
      <w:marBottom w:val="0"/>
      <w:divBdr>
        <w:top w:val="none" w:sz="0" w:space="0" w:color="auto"/>
        <w:left w:val="none" w:sz="0" w:space="0" w:color="auto"/>
        <w:bottom w:val="none" w:sz="0" w:space="0" w:color="auto"/>
        <w:right w:val="none" w:sz="0" w:space="0" w:color="auto"/>
      </w:divBdr>
      <w:divsChild>
        <w:div w:id="1912160206">
          <w:marLeft w:val="533"/>
          <w:marRight w:val="0"/>
          <w:marTop w:val="0"/>
          <w:marBottom w:val="120"/>
          <w:divBdr>
            <w:top w:val="none" w:sz="0" w:space="0" w:color="auto"/>
            <w:left w:val="none" w:sz="0" w:space="0" w:color="auto"/>
            <w:bottom w:val="none" w:sz="0" w:space="0" w:color="auto"/>
            <w:right w:val="none" w:sz="0" w:space="0" w:color="auto"/>
          </w:divBdr>
        </w:div>
        <w:div w:id="421337014">
          <w:marLeft w:val="533"/>
          <w:marRight w:val="0"/>
          <w:marTop w:val="0"/>
          <w:marBottom w:val="120"/>
          <w:divBdr>
            <w:top w:val="none" w:sz="0" w:space="0" w:color="auto"/>
            <w:left w:val="none" w:sz="0" w:space="0" w:color="auto"/>
            <w:bottom w:val="none" w:sz="0" w:space="0" w:color="auto"/>
            <w:right w:val="none" w:sz="0" w:space="0" w:color="auto"/>
          </w:divBdr>
        </w:div>
      </w:divsChild>
    </w:div>
    <w:div w:id="1102189301">
      <w:bodyDiv w:val="1"/>
      <w:marLeft w:val="0"/>
      <w:marRight w:val="0"/>
      <w:marTop w:val="0"/>
      <w:marBottom w:val="0"/>
      <w:divBdr>
        <w:top w:val="none" w:sz="0" w:space="0" w:color="auto"/>
        <w:left w:val="none" w:sz="0" w:space="0" w:color="auto"/>
        <w:bottom w:val="none" w:sz="0" w:space="0" w:color="auto"/>
        <w:right w:val="none" w:sz="0" w:space="0" w:color="auto"/>
      </w:divBdr>
    </w:div>
    <w:div w:id="1133789982">
      <w:bodyDiv w:val="1"/>
      <w:marLeft w:val="0"/>
      <w:marRight w:val="0"/>
      <w:marTop w:val="0"/>
      <w:marBottom w:val="0"/>
      <w:divBdr>
        <w:top w:val="none" w:sz="0" w:space="0" w:color="auto"/>
        <w:left w:val="none" w:sz="0" w:space="0" w:color="auto"/>
        <w:bottom w:val="none" w:sz="0" w:space="0" w:color="auto"/>
        <w:right w:val="none" w:sz="0" w:space="0" w:color="auto"/>
      </w:divBdr>
    </w:div>
    <w:div w:id="1180000702">
      <w:bodyDiv w:val="1"/>
      <w:marLeft w:val="0"/>
      <w:marRight w:val="0"/>
      <w:marTop w:val="0"/>
      <w:marBottom w:val="0"/>
      <w:divBdr>
        <w:top w:val="none" w:sz="0" w:space="0" w:color="auto"/>
        <w:left w:val="none" w:sz="0" w:space="0" w:color="auto"/>
        <w:bottom w:val="none" w:sz="0" w:space="0" w:color="auto"/>
        <w:right w:val="none" w:sz="0" w:space="0" w:color="auto"/>
      </w:divBdr>
    </w:div>
    <w:div w:id="1192037340">
      <w:bodyDiv w:val="1"/>
      <w:marLeft w:val="0"/>
      <w:marRight w:val="0"/>
      <w:marTop w:val="0"/>
      <w:marBottom w:val="0"/>
      <w:divBdr>
        <w:top w:val="none" w:sz="0" w:space="0" w:color="auto"/>
        <w:left w:val="none" w:sz="0" w:space="0" w:color="auto"/>
        <w:bottom w:val="none" w:sz="0" w:space="0" w:color="auto"/>
        <w:right w:val="none" w:sz="0" w:space="0" w:color="auto"/>
      </w:divBdr>
    </w:div>
    <w:div w:id="1235893477">
      <w:bodyDiv w:val="1"/>
      <w:marLeft w:val="0"/>
      <w:marRight w:val="0"/>
      <w:marTop w:val="0"/>
      <w:marBottom w:val="0"/>
      <w:divBdr>
        <w:top w:val="none" w:sz="0" w:space="0" w:color="auto"/>
        <w:left w:val="none" w:sz="0" w:space="0" w:color="auto"/>
        <w:bottom w:val="none" w:sz="0" w:space="0" w:color="auto"/>
        <w:right w:val="none" w:sz="0" w:space="0" w:color="auto"/>
      </w:divBdr>
    </w:div>
    <w:div w:id="1237784301">
      <w:bodyDiv w:val="1"/>
      <w:marLeft w:val="0"/>
      <w:marRight w:val="0"/>
      <w:marTop w:val="0"/>
      <w:marBottom w:val="0"/>
      <w:divBdr>
        <w:top w:val="none" w:sz="0" w:space="0" w:color="auto"/>
        <w:left w:val="none" w:sz="0" w:space="0" w:color="auto"/>
        <w:bottom w:val="none" w:sz="0" w:space="0" w:color="auto"/>
        <w:right w:val="none" w:sz="0" w:space="0" w:color="auto"/>
      </w:divBdr>
    </w:div>
    <w:div w:id="1312909000">
      <w:bodyDiv w:val="1"/>
      <w:marLeft w:val="0"/>
      <w:marRight w:val="0"/>
      <w:marTop w:val="0"/>
      <w:marBottom w:val="0"/>
      <w:divBdr>
        <w:top w:val="none" w:sz="0" w:space="0" w:color="auto"/>
        <w:left w:val="none" w:sz="0" w:space="0" w:color="auto"/>
        <w:bottom w:val="none" w:sz="0" w:space="0" w:color="auto"/>
        <w:right w:val="none" w:sz="0" w:space="0" w:color="auto"/>
      </w:divBdr>
    </w:div>
    <w:div w:id="1319193588">
      <w:bodyDiv w:val="1"/>
      <w:marLeft w:val="0"/>
      <w:marRight w:val="0"/>
      <w:marTop w:val="0"/>
      <w:marBottom w:val="0"/>
      <w:divBdr>
        <w:top w:val="none" w:sz="0" w:space="0" w:color="auto"/>
        <w:left w:val="none" w:sz="0" w:space="0" w:color="auto"/>
        <w:bottom w:val="none" w:sz="0" w:space="0" w:color="auto"/>
        <w:right w:val="none" w:sz="0" w:space="0" w:color="auto"/>
      </w:divBdr>
    </w:div>
    <w:div w:id="1322540866">
      <w:bodyDiv w:val="1"/>
      <w:marLeft w:val="0"/>
      <w:marRight w:val="0"/>
      <w:marTop w:val="0"/>
      <w:marBottom w:val="0"/>
      <w:divBdr>
        <w:top w:val="none" w:sz="0" w:space="0" w:color="auto"/>
        <w:left w:val="none" w:sz="0" w:space="0" w:color="auto"/>
        <w:bottom w:val="none" w:sz="0" w:space="0" w:color="auto"/>
        <w:right w:val="none" w:sz="0" w:space="0" w:color="auto"/>
      </w:divBdr>
    </w:div>
    <w:div w:id="1362588860">
      <w:bodyDiv w:val="1"/>
      <w:marLeft w:val="0"/>
      <w:marRight w:val="0"/>
      <w:marTop w:val="0"/>
      <w:marBottom w:val="0"/>
      <w:divBdr>
        <w:top w:val="none" w:sz="0" w:space="0" w:color="auto"/>
        <w:left w:val="none" w:sz="0" w:space="0" w:color="auto"/>
        <w:bottom w:val="none" w:sz="0" w:space="0" w:color="auto"/>
        <w:right w:val="none" w:sz="0" w:space="0" w:color="auto"/>
      </w:divBdr>
    </w:div>
    <w:div w:id="1377043139">
      <w:bodyDiv w:val="1"/>
      <w:marLeft w:val="0"/>
      <w:marRight w:val="0"/>
      <w:marTop w:val="0"/>
      <w:marBottom w:val="0"/>
      <w:divBdr>
        <w:top w:val="none" w:sz="0" w:space="0" w:color="auto"/>
        <w:left w:val="none" w:sz="0" w:space="0" w:color="auto"/>
        <w:bottom w:val="none" w:sz="0" w:space="0" w:color="auto"/>
        <w:right w:val="none" w:sz="0" w:space="0" w:color="auto"/>
      </w:divBdr>
    </w:div>
    <w:div w:id="1379474141">
      <w:bodyDiv w:val="1"/>
      <w:marLeft w:val="0"/>
      <w:marRight w:val="0"/>
      <w:marTop w:val="0"/>
      <w:marBottom w:val="0"/>
      <w:divBdr>
        <w:top w:val="none" w:sz="0" w:space="0" w:color="auto"/>
        <w:left w:val="none" w:sz="0" w:space="0" w:color="auto"/>
        <w:bottom w:val="none" w:sz="0" w:space="0" w:color="auto"/>
        <w:right w:val="none" w:sz="0" w:space="0" w:color="auto"/>
      </w:divBdr>
    </w:div>
    <w:div w:id="1383019807">
      <w:bodyDiv w:val="1"/>
      <w:marLeft w:val="0"/>
      <w:marRight w:val="0"/>
      <w:marTop w:val="0"/>
      <w:marBottom w:val="0"/>
      <w:divBdr>
        <w:top w:val="none" w:sz="0" w:space="0" w:color="auto"/>
        <w:left w:val="none" w:sz="0" w:space="0" w:color="auto"/>
        <w:bottom w:val="none" w:sz="0" w:space="0" w:color="auto"/>
        <w:right w:val="none" w:sz="0" w:space="0" w:color="auto"/>
      </w:divBdr>
      <w:divsChild>
        <w:div w:id="1142380229">
          <w:marLeft w:val="547"/>
          <w:marRight w:val="0"/>
          <w:marTop w:val="0"/>
          <w:marBottom w:val="0"/>
          <w:divBdr>
            <w:top w:val="none" w:sz="0" w:space="0" w:color="auto"/>
            <w:left w:val="none" w:sz="0" w:space="0" w:color="auto"/>
            <w:bottom w:val="none" w:sz="0" w:space="0" w:color="auto"/>
            <w:right w:val="none" w:sz="0" w:space="0" w:color="auto"/>
          </w:divBdr>
        </w:div>
      </w:divsChild>
    </w:div>
    <w:div w:id="1425496643">
      <w:bodyDiv w:val="1"/>
      <w:marLeft w:val="0"/>
      <w:marRight w:val="0"/>
      <w:marTop w:val="0"/>
      <w:marBottom w:val="0"/>
      <w:divBdr>
        <w:top w:val="none" w:sz="0" w:space="0" w:color="auto"/>
        <w:left w:val="none" w:sz="0" w:space="0" w:color="auto"/>
        <w:bottom w:val="none" w:sz="0" w:space="0" w:color="auto"/>
        <w:right w:val="none" w:sz="0" w:space="0" w:color="auto"/>
      </w:divBdr>
    </w:div>
    <w:div w:id="1515848469">
      <w:bodyDiv w:val="1"/>
      <w:marLeft w:val="0"/>
      <w:marRight w:val="0"/>
      <w:marTop w:val="0"/>
      <w:marBottom w:val="0"/>
      <w:divBdr>
        <w:top w:val="none" w:sz="0" w:space="0" w:color="auto"/>
        <w:left w:val="none" w:sz="0" w:space="0" w:color="auto"/>
        <w:bottom w:val="none" w:sz="0" w:space="0" w:color="auto"/>
        <w:right w:val="none" w:sz="0" w:space="0" w:color="auto"/>
      </w:divBdr>
    </w:div>
    <w:div w:id="1539052588">
      <w:bodyDiv w:val="1"/>
      <w:marLeft w:val="0"/>
      <w:marRight w:val="0"/>
      <w:marTop w:val="0"/>
      <w:marBottom w:val="0"/>
      <w:divBdr>
        <w:top w:val="none" w:sz="0" w:space="0" w:color="auto"/>
        <w:left w:val="none" w:sz="0" w:space="0" w:color="auto"/>
        <w:bottom w:val="none" w:sz="0" w:space="0" w:color="auto"/>
        <w:right w:val="none" w:sz="0" w:space="0" w:color="auto"/>
      </w:divBdr>
    </w:div>
    <w:div w:id="1541479937">
      <w:bodyDiv w:val="1"/>
      <w:marLeft w:val="0"/>
      <w:marRight w:val="0"/>
      <w:marTop w:val="0"/>
      <w:marBottom w:val="0"/>
      <w:divBdr>
        <w:top w:val="none" w:sz="0" w:space="0" w:color="auto"/>
        <w:left w:val="none" w:sz="0" w:space="0" w:color="auto"/>
        <w:bottom w:val="none" w:sz="0" w:space="0" w:color="auto"/>
        <w:right w:val="none" w:sz="0" w:space="0" w:color="auto"/>
      </w:divBdr>
    </w:div>
    <w:div w:id="1544907528">
      <w:bodyDiv w:val="1"/>
      <w:marLeft w:val="0"/>
      <w:marRight w:val="0"/>
      <w:marTop w:val="0"/>
      <w:marBottom w:val="0"/>
      <w:divBdr>
        <w:top w:val="none" w:sz="0" w:space="0" w:color="auto"/>
        <w:left w:val="none" w:sz="0" w:space="0" w:color="auto"/>
        <w:bottom w:val="none" w:sz="0" w:space="0" w:color="auto"/>
        <w:right w:val="none" w:sz="0" w:space="0" w:color="auto"/>
      </w:divBdr>
    </w:div>
    <w:div w:id="1600481765">
      <w:bodyDiv w:val="1"/>
      <w:marLeft w:val="0"/>
      <w:marRight w:val="0"/>
      <w:marTop w:val="0"/>
      <w:marBottom w:val="0"/>
      <w:divBdr>
        <w:top w:val="none" w:sz="0" w:space="0" w:color="auto"/>
        <w:left w:val="none" w:sz="0" w:space="0" w:color="auto"/>
        <w:bottom w:val="none" w:sz="0" w:space="0" w:color="auto"/>
        <w:right w:val="none" w:sz="0" w:space="0" w:color="auto"/>
      </w:divBdr>
    </w:div>
    <w:div w:id="1611015114">
      <w:bodyDiv w:val="1"/>
      <w:marLeft w:val="0"/>
      <w:marRight w:val="0"/>
      <w:marTop w:val="0"/>
      <w:marBottom w:val="0"/>
      <w:divBdr>
        <w:top w:val="none" w:sz="0" w:space="0" w:color="auto"/>
        <w:left w:val="none" w:sz="0" w:space="0" w:color="auto"/>
        <w:bottom w:val="none" w:sz="0" w:space="0" w:color="auto"/>
        <w:right w:val="none" w:sz="0" w:space="0" w:color="auto"/>
      </w:divBdr>
    </w:div>
    <w:div w:id="1673338118">
      <w:bodyDiv w:val="1"/>
      <w:marLeft w:val="0"/>
      <w:marRight w:val="0"/>
      <w:marTop w:val="0"/>
      <w:marBottom w:val="0"/>
      <w:divBdr>
        <w:top w:val="none" w:sz="0" w:space="0" w:color="auto"/>
        <w:left w:val="none" w:sz="0" w:space="0" w:color="auto"/>
        <w:bottom w:val="none" w:sz="0" w:space="0" w:color="auto"/>
        <w:right w:val="none" w:sz="0" w:space="0" w:color="auto"/>
      </w:divBdr>
    </w:div>
    <w:div w:id="1691881076">
      <w:bodyDiv w:val="1"/>
      <w:marLeft w:val="0"/>
      <w:marRight w:val="0"/>
      <w:marTop w:val="0"/>
      <w:marBottom w:val="0"/>
      <w:divBdr>
        <w:top w:val="none" w:sz="0" w:space="0" w:color="auto"/>
        <w:left w:val="none" w:sz="0" w:space="0" w:color="auto"/>
        <w:bottom w:val="none" w:sz="0" w:space="0" w:color="auto"/>
        <w:right w:val="none" w:sz="0" w:space="0" w:color="auto"/>
      </w:divBdr>
    </w:div>
    <w:div w:id="1714378134">
      <w:bodyDiv w:val="1"/>
      <w:marLeft w:val="0"/>
      <w:marRight w:val="0"/>
      <w:marTop w:val="0"/>
      <w:marBottom w:val="0"/>
      <w:divBdr>
        <w:top w:val="none" w:sz="0" w:space="0" w:color="auto"/>
        <w:left w:val="none" w:sz="0" w:space="0" w:color="auto"/>
        <w:bottom w:val="none" w:sz="0" w:space="0" w:color="auto"/>
        <w:right w:val="none" w:sz="0" w:space="0" w:color="auto"/>
      </w:divBdr>
    </w:div>
    <w:div w:id="1795439388">
      <w:bodyDiv w:val="1"/>
      <w:marLeft w:val="0"/>
      <w:marRight w:val="0"/>
      <w:marTop w:val="0"/>
      <w:marBottom w:val="0"/>
      <w:divBdr>
        <w:top w:val="none" w:sz="0" w:space="0" w:color="auto"/>
        <w:left w:val="none" w:sz="0" w:space="0" w:color="auto"/>
        <w:bottom w:val="none" w:sz="0" w:space="0" w:color="auto"/>
        <w:right w:val="none" w:sz="0" w:space="0" w:color="auto"/>
      </w:divBdr>
    </w:div>
    <w:div w:id="1820344300">
      <w:bodyDiv w:val="1"/>
      <w:marLeft w:val="0"/>
      <w:marRight w:val="0"/>
      <w:marTop w:val="0"/>
      <w:marBottom w:val="0"/>
      <w:divBdr>
        <w:top w:val="none" w:sz="0" w:space="0" w:color="auto"/>
        <w:left w:val="none" w:sz="0" w:space="0" w:color="auto"/>
        <w:bottom w:val="none" w:sz="0" w:space="0" w:color="auto"/>
        <w:right w:val="none" w:sz="0" w:space="0" w:color="auto"/>
      </w:divBdr>
    </w:div>
    <w:div w:id="1825122067">
      <w:bodyDiv w:val="1"/>
      <w:marLeft w:val="0"/>
      <w:marRight w:val="0"/>
      <w:marTop w:val="0"/>
      <w:marBottom w:val="0"/>
      <w:divBdr>
        <w:top w:val="none" w:sz="0" w:space="0" w:color="auto"/>
        <w:left w:val="none" w:sz="0" w:space="0" w:color="auto"/>
        <w:bottom w:val="none" w:sz="0" w:space="0" w:color="auto"/>
        <w:right w:val="none" w:sz="0" w:space="0" w:color="auto"/>
      </w:divBdr>
    </w:div>
    <w:div w:id="1858230897">
      <w:bodyDiv w:val="1"/>
      <w:marLeft w:val="0"/>
      <w:marRight w:val="0"/>
      <w:marTop w:val="0"/>
      <w:marBottom w:val="0"/>
      <w:divBdr>
        <w:top w:val="none" w:sz="0" w:space="0" w:color="auto"/>
        <w:left w:val="none" w:sz="0" w:space="0" w:color="auto"/>
        <w:bottom w:val="none" w:sz="0" w:space="0" w:color="auto"/>
        <w:right w:val="none" w:sz="0" w:space="0" w:color="auto"/>
      </w:divBdr>
    </w:div>
    <w:div w:id="1884827633">
      <w:bodyDiv w:val="1"/>
      <w:marLeft w:val="0"/>
      <w:marRight w:val="0"/>
      <w:marTop w:val="0"/>
      <w:marBottom w:val="0"/>
      <w:divBdr>
        <w:top w:val="none" w:sz="0" w:space="0" w:color="auto"/>
        <w:left w:val="none" w:sz="0" w:space="0" w:color="auto"/>
        <w:bottom w:val="none" w:sz="0" w:space="0" w:color="auto"/>
        <w:right w:val="none" w:sz="0" w:space="0" w:color="auto"/>
      </w:divBdr>
    </w:div>
    <w:div w:id="1897426696">
      <w:bodyDiv w:val="1"/>
      <w:marLeft w:val="0"/>
      <w:marRight w:val="0"/>
      <w:marTop w:val="0"/>
      <w:marBottom w:val="0"/>
      <w:divBdr>
        <w:top w:val="none" w:sz="0" w:space="0" w:color="auto"/>
        <w:left w:val="none" w:sz="0" w:space="0" w:color="auto"/>
        <w:bottom w:val="none" w:sz="0" w:space="0" w:color="auto"/>
        <w:right w:val="none" w:sz="0" w:space="0" w:color="auto"/>
      </w:divBdr>
    </w:div>
    <w:div w:id="1921209392">
      <w:bodyDiv w:val="1"/>
      <w:marLeft w:val="0"/>
      <w:marRight w:val="0"/>
      <w:marTop w:val="0"/>
      <w:marBottom w:val="0"/>
      <w:divBdr>
        <w:top w:val="none" w:sz="0" w:space="0" w:color="auto"/>
        <w:left w:val="none" w:sz="0" w:space="0" w:color="auto"/>
        <w:bottom w:val="none" w:sz="0" w:space="0" w:color="auto"/>
        <w:right w:val="none" w:sz="0" w:space="0" w:color="auto"/>
      </w:divBdr>
    </w:div>
    <w:div w:id="1932464155">
      <w:bodyDiv w:val="1"/>
      <w:marLeft w:val="0"/>
      <w:marRight w:val="0"/>
      <w:marTop w:val="0"/>
      <w:marBottom w:val="0"/>
      <w:divBdr>
        <w:top w:val="none" w:sz="0" w:space="0" w:color="auto"/>
        <w:left w:val="none" w:sz="0" w:space="0" w:color="auto"/>
        <w:bottom w:val="none" w:sz="0" w:space="0" w:color="auto"/>
        <w:right w:val="none" w:sz="0" w:space="0" w:color="auto"/>
      </w:divBdr>
    </w:div>
    <w:div w:id="1956864447">
      <w:bodyDiv w:val="1"/>
      <w:marLeft w:val="0"/>
      <w:marRight w:val="0"/>
      <w:marTop w:val="0"/>
      <w:marBottom w:val="0"/>
      <w:divBdr>
        <w:top w:val="none" w:sz="0" w:space="0" w:color="auto"/>
        <w:left w:val="none" w:sz="0" w:space="0" w:color="auto"/>
        <w:bottom w:val="none" w:sz="0" w:space="0" w:color="auto"/>
        <w:right w:val="none" w:sz="0" w:space="0" w:color="auto"/>
      </w:divBdr>
    </w:div>
    <w:div w:id="1995912770">
      <w:bodyDiv w:val="1"/>
      <w:marLeft w:val="0"/>
      <w:marRight w:val="0"/>
      <w:marTop w:val="0"/>
      <w:marBottom w:val="0"/>
      <w:divBdr>
        <w:top w:val="none" w:sz="0" w:space="0" w:color="auto"/>
        <w:left w:val="none" w:sz="0" w:space="0" w:color="auto"/>
        <w:bottom w:val="none" w:sz="0" w:space="0" w:color="auto"/>
        <w:right w:val="none" w:sz="0" w:space="0" w:color="auto"/>
      </w:divBdr>
    </w:div>
    <w:div w:id="1997756012">
      <w:bodyDiv w:val="1"/>
      <w:marLeft w:val="0"/>
      <w:marRight w:val="0"/>
      <w:marTop w:val="0"/>
      <w:marBottom w:val="0"/>
      <w:divBdr>
        <w:top w:val="none" w:sz="0" w:space="0" w:color="auto"/>
        <w:left w:val="none" w:sz="0" w:space="0" w:color="auto"/>
        <w:bottom w:val="none" w:sz="0" w:space="0" w:color="auto"/>
        <w:right w:val="none" w:sz="0" w:space="0" w:color="auto"/>
      </w:divBdr>
    </w:div>
    <w:div w:id="2040351614">
      <w:bodyDiv w:val="1"/>
      <w:marLeft w:val="0"/>
      <w:marRight w:val="0"/>
      <w:marTop w:val="0"/>
      <w:marBottom w:val="0"/>
      <w:divBdr>
        <w:top w:val="none" w:sz="0" w:space="0" w:color="auto"/>
        <w:left w:val="none" w:sz="0" w:space="0" w:color="auto"/>
        <w:bottom w:val="none" w:sz="0" w:space="0" w:color="auto"/>
        <w:right w:val="none" w:sz="0" w:space="0" w:color="auto"/>
      </w:divBdr>
    </w:div>
    <w:div w:id="2069255835">
      <w:bodyDiv w:val="1"/>
      <w:marLeft w:val="0"/>
      <w:marRight w:val="0"/>
      <w:marTop w:val="0"/>
      <w:marBottom w:val="0"/>
      <w:divBdr>
        <w:top w:val="none" w:sz="0" w:space="0" w:color="auto"/>
        <w:left w:val="none" w:sz="0" w:space="0" w:color="auto"/>
        <w:bottom w:val="none" w:sz="0" w:space="0" w:color="auto"/>
        <w:right w:val="none" w:sz="0" w:space="0" w:color="auto"/>
      </w:divBdr>
    </w:div>
    <w:div w:id="2074741116">
      <w:bodyDiv w:val="1"/>
      <w:marLeft w:val="0"/>
      <w:marRight w:val="0"/>
      <w:marTop w:val="0"/>
      <w:marBottom w:val="0"/>
      <w:divBdr>
        <w:top w:val="none" w:sz="0" w:space="0" w:color="auto"/>
        <w:left w:val="none" w:sz="0" w:space="0" w:color="auto"/>
        <w:bottom w:val="none" w:sz="0" w:space="0" w:color="auto"/>
        <w:right w:val="none" w:sz="0" w:space="0" w:color="auto"/>
      </w:divBdr>
    </w:div>
    <w:div w:id="2116633005">
      <w:bodyDiv w:val="1"/>
      <w:marLeft w:val="0"/>
      <w:marRight w:val="0"/>
      <w:marTop w:val="0"/>
      <w:marBottom w:val="0"/>
      <w:divBdr>
        <w:top w:val="none" w:sz="0" w:space="0" w:color="auto"/>
        <w:left w:val="none" w:sz="0" w:space="0" w:color="auto"/>
        <w:bottom w:val="none" w:sz="0" w:space="0" w:color="auto"/>
        <w:right w:val="none" w:sz="0" w:space="0" w:color="auto"/>
      </w:divBdr>
    </w:div>
    <w:div w:id="2140107592">
      <w:bodyDiv w:val="1"/>
      <w:marLeft w:val="0"/>
      <w:marRight w:val="0"/>
      <w:marTop w:val="0"/>
      <w:marBottom w:val="0"/>
      <w:divBdr>
        <w:top w:val="none" w:sz="0" w:space="0" w:color="auto"/>
        <w:left w:val="none" w:sz="0" w:space="0" w:color="auto"/>
        <w:bottom w:val="none" w:sz="0" w:space="0" w:color="auto"/>
        <w:right w:val="none" w:sz="0" w:space="0" w:color="auto"/>
      </w:divBdr>
      <w:divsChild>
        <w:div w:id="301540341">
          <w:marLeft w:val="533"/>
          <w:marRight w:val="0"/>
          <w:marTop w:val="0"/>
          <w:marBottom w:val="120"/>
          <w:divBdr>
            <w:top w:val="none" w:sz="0" w:space="0" w:color="auto"/>
            <w:left w:val="none" w:sz="0" w:space="0" w:color="auto"/>
            <w:bottom w:val="none" w:sz="0" w:space="0" w:color="auto"/>
            <w:right w:val="none" w:sz="0" w:space="0" w:color="auto"/>
          </w:divBdr>
        </w:div>
        <w:div w:id="2107728547">
          <w:marLeft w:val="1253"/>
          <w:marRight w:val="0"/>
          <w:marTop w:val="0"/>
          <w:marBottom w:val="120"/>
          <w:divBdr>
            <w:top w:val="none" w:sz="0" w:space="0" w:color="auto"/>
            <w:left w:val="none" w:sz="0" w:space="0" w:color="auto"/>
            <w:bottom w:val="none" w:sz="0" w:space="0" w:color="auto"/>
            <w:right w:val="none" w:sz="0" w:space="0" w:color="auto"/>
          </w:divBdr>
        </w:div>
        <w:div w:id="1639916072">
          <w:marLeft w:val="1253"/>
          <w:marRight w:val="0"/>
          <w:marTop w:val="0"/>
          <w:marBottom w:val="120"/>
          <w:divBdr>
            <w:top w:val="none" w:sz="0" w:space="0" w:color="auto"/>
            <w:left w:val="none" w:sz="0" w:space="0" w:color="auto"/>
            <w:bottom w:val="none" w:sz="0" w:space="0" w:color="auto"/>
            <w:right w:val="none" w:sz="0" w:space="0" w:color="auto"/>
          </w:divBdr>
        </w:div>
        <w:div w:id="289676324">
          <w:marLeft w:val="1253"/>
          <w:marRight w:val="0"/>
          <w:marTop w:val="0"/>
          <w:marBottom w:val="120"/>
          <w:divBdr>
            <w:top w:val="none" w:sz="0" w:space="0" w:color="auto"/>
            <w:left w:val="none" w:sz="0" w:space="0" w:color="auto"/>
            <w:bottom w:val="none" w:sz="0" w:space="0" w:color="auto"/>
            <w:right w:val="none" w:sz="0" w:space="0" w:color="auto"/>
          </w:divBdr>
        </w:div>
        <w:div w:id="1179465530">
          <w:marLeft w:val="1253"/>
          <w:marRight w:val="0"/>
          <w:marTop w:val="0"/>
          <w:marBottom w:val="120"/>
          <w:divBdr>
            <w:top w:val="none" w:sz="0" w:space="0" w:color="auto"/>
            <w:left w:val="none" w:sz="0" w:space="0" w:color="auto"/>
            <w:bottom w:val="none" w:sz="0" w:space="0" w:color="auto"/>
            <w:right w:val="none" w:sz="0" w:space="0" w:color="auto"/>
          </w:divBdr>
        </w:div>
        <w:div w:id="1445809041">
          <w:marLeft w:val="533"/>
          <w:marRight w:val="0"/>
          <w:marTop w:val="0"/>
          <w:marBottom w:val="120"/>
          <w:divBdr>
            <w:top w:val="none" w:sz="0" w:space="0" w:color="auto"/>
            <w:left w:val="none" w:sz="0" w:space="0" w:color="auto"/>
            <w:bottom w:val="none" w:sz="0" w:space="0" w:color="auto"/>
            <w:right w:val="none" w:sz="0" w:space="0" w:color="auto"/>
          </w:divBdr>
        </w:div>
        <w:div w:id="445194856">
          <w:marLeft w:val="533"/>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k\Dropbox\Academic%20Coursework\FS2016\PHSC%207611%20CEA\PH%20CEA\PHmodelv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k\Dropbox\Academic%20Coursework\FS2016\PHSC%207611%20CEA\PH%20CEA\PHmodelv5.xlsm"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k\Dropbox\Academic%20Coursework\FS2016\PHSC%207611%20CEA\PH%20CEA\PHmodelv5.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Tornado Diagram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UnivSens!$R$4</c:f>
              <c:strCache>
                <c:ptCount val="1"/>
                <c:pt idx="0">
                  <c:v>Lower</c:v>
                </c:pt>
              </c:strCache>
            </c:strRef>
          </c:tx>
          <c:spPr>
            <a:solidFill>
              <a:schemeClr val="accent1"/>
            </a:solidFill>
            <a:ln>
              <a:noFill/>
            </a:ln>
            <a:effectLst/>
          </c:spPr>
          <c:invertIfNegative val="0"/>
          <c:cat>
            <c:strRef>
              <c:f>UnivSens!$U$16:$U$27</c:f>
              <c:strCache>
                <c:ptCount val="12"/>
                <c:pt idx="0">
                  <c:v>Cost of Hospitalization</c:v>
                </c:pt>
                <c:pt idx="1">
                  <c:v>Probability of Controlled Asthma under Usual Care at 2 wks</c:v>
                </c:pt>
                <c:pt idx="2">
                  <c:v>Probability of Controlled Asthma using PH system at 2 wks</c:v>
                </c:pt>
                <c:pt idx="3">
                  <c:v>Utility of Oral Corticosteroid Burst</c:v>
                </c:pt>
                <c:pt idx="4">
                  <c:v>Cost of PH system per 2 weeks (recurrent)</c:v>
                </c:pt>
                <c:pt idx="5">
                  <c:v>Probability of Uncontrolled Asthma under Usual Care at 2 wks as initially controlled</c:v>
                </c:pt>
                <c:pt idx="6">
                  <c:v>Probability of Asthma Hospitalization per 2 week for UC asthma</c:v>
                </c:pt>
                <c:pt idx="7">
                  <c:v>Probability of Asthma Hospitalization per 2 week for controlled asthma</c:v>
                </c:pt>
                <c:pt idx="8">
                  <c:v>Probability of Asthma-related Mortality for 2 weeks for Controlled Patients</c:v>
                </c:pt>
                <c:pt idx="9">
                  <c:v>Utility of Non Exacerbation State</c:v>
                </c:pt>
                <c:pt idx="10">
                  <c:v>Cost of Non Exacerbation State</c:v>
                </c:pt>
                <c:pt idx="11">
                  <c:v>Probability of Asthma-related Mortality for 2 weeks for Uncontrolled Patients</c:v>
                </c:pt>
              </c:strCache>
            </c:strRef>
          </c:cat>
          <c:val>
            <c:numRef>
              <c:f>UnivSens!$R$16:$R$27</c:f>
              <c:numCache>
                <c:formatCode>General</c:formatCode>
                <c:ptCount val="12"/>
                <c:pt idx="0">
                  <c:v>5463.5380322978208</c:v>
                </c:pt>
                <c:pt idx="1">
                  <c:v>5225.1914665288805</c:v>
                </c:pt>
                <c:pt idx="2">
                  <c:v>5068.9392509307909</c:v>
                </c:pt>
                <c:pt idx="3">
                  <c:v>5729.5404110093123</c:v>
                </c:pt>
                <c:pt idx="4">
                  <c:v>5521.282930467486</c:v>
                </c:pt>
                <c:pt idx="5">
                  <c:v>4200.8459117043394</c:v>
                </c:pt>
                <c:pt idx="6">
                  <c:v>5893.5226244636069</c:v>
                </c:pt>
                <c:pt idx="7">
                  <c:v>5025.9392200308102</c:v>
                </c:pt>
                <c:pt idx="8">
                  <c:v>5232.7617483788581</c:v>
                </c:pt>
                <c:pt idx="9">
                  <c:v>6409.9558907046467</c:v>
                </c:pt>
                <c:pt idx="10">
                  <c:v>3397.6823201069396</c:v>
                </c:pt>
                <c:pt idx="11">
                  <c:v>12138.374835639243</c:v>
                </c:pt>
              </c:numCache>
            </c:numRef>
          </c:val>
        </c:ser>
        <c:ser>
          <c:idx val="1"/>
          <c:order val="1"/>
          <c:tx>
            <c:strRef>
              <c:f>UnivSens!$S$4</c:f>
              <c:strCache>
                <c:ptCount val="1"/>
                <c:pt idx="0">
                  <c:v>Upper</c:v>
                </c:pt>
              </c:strCache>
            </c:strRef>
          </c:tx>
          <c:spPr>
            <a:solidFill>
              <a:schemeClr val="accent2"/>
            </a:solidFill>
            <a:ln>
              <a:noFill/>
            </a:ln>
            <a:effectLst/>
          </c:spPr>
          <c:invertIfNegative val="0"/>
          <c:cat>
            <c:strRef>
              <c:f>UnivSens!$U$16:$U$27</c:f>
              <c:strCache>
                <c:ptCount val="12"/>
                <c:pt idx="0">
                  <c:v>Cost of Hospitalization</c:v>
                </c:pt>
                <c:pt idx="1">
                  <c:v>Probability of Controlled Asthma under Usual Care at 2 wks</c:v>
                </c:pt>
                <c:pt idx="2">
                  <c:v>Probability of Controlled Asthma using PH system at 2 wks</c:v>
                </c:pt>
                <c:pt idx="3">
                  <c:v>Utility of Oral Corticosteroid Burst</c:v>
                </c:pt>
                <c:pt idx="4">
                  <c:v>Cost of PH system per 2 weeks (recurrent)</c:v>
                </c:pt>
                <c:pt idx="5">
                  <c:v>Probability of Uncontrolled Asthma under Usual Care at 2 wks as initially controlled</c:v>
                </c:pt>
                <c:pt idx="6">
                  <c:v>Probability of Asthma Hospitalization per 2 week for UC asthma</c:v>
                </c:pt>
                <c:pt idx="7">
                  <c:v>Probability of Asthma Hospitalization per 2 week for controlled asthma</c:v>
                </c:pt>
                <c:pt idx="8">
                  <c:v>Probability of Asthma-related Mortality for 2 weeks for Controlled Patients</c:v>
                </c:pt>
                <c:pt idx="9">
                  <c:v>Utility of Non Exacerbation State</c:v>
                </c:pt>
                <c:pt idx="10">
                  <c:v>Cost of Non Exacerbation State</c:v>
                </c:pt>
                <c:pt idx="11">
                  <c:v>Probability of Asthma-related Mortality for 2 weeks for Uncontrolled Patients</c:v>
                </c:pt>
              </c:strCache>
            </c:strRef>
          </c:cat>
          <c:val>
            <c:numRef>
              <c:f>UnivSens!$S$16:$S$27</c:f>
              <c:numCache>
                <c:formatCode>General</c:formatCode>
                <c:ptCount val="12"/>
                <c:pt idx="0">
                  <c:v>5605.5167598322105</c:v>
                </c:pt>
                <c:pt idx="1">
                  <c:v>5052.6896336285236</c:v>
                </c:pt>
                <c:pt idx="2">
                  <c:v>5248.8429759923047</c:v>
                </c:pt>
                <c:pt idx="3">
                  <c:v>5471.0150843207466</c:v>
                </c:pt>
                <c:pt idx="4">
                  <c:v>5787.3381522774444</c:v>
                </c:pt>
                <c:pt idx="5">
                  <c:v>4963.4585629730773</c:v>
                </c:pt>
                <c:pt idx="6">
                  <c:v>4970.0827890882811</c:v>
                </c:pt>
                <c:pt idx="7">
                  <c:v>6254.1246350485953</c:v>
                </c:pt>
                <c:pt idx="8">
                  <c:v>7080.1412316901651</c:v>
                </c:pt>
                <c:pt idx="9">
                  <c:v>4249.3342708721184</c:v>
                </c:pt>
                <c:pt idx="10">
                  <c:v>8251.3818302259588</c:v>
                </c:pt>
                <c:pt idx="11">
                  <c:v>4832.7304142178336</c:v>
                </c:pt>
              </c:numCache>
            </c:numRef>
          </c:val>
        </c:ser>
        <c:dLbls>
          <c:showLegendKey val="0"/>
          <c:showVal val="0"/>
          <c:showCatName val="0"/>
          <c:showSerName val="0"/>
          <c:showPercent val="0"/>
          <c:showBubbleSize val="0"/>
        </c:dLbls>
        <c:gapWidth val="106"/>
        <c:overlap val="100"/>
        <c:axId val="-757567920"/>
        <c:axId val="-757567376"/>
      </c:barChart>
      <c:catAx>
        <c:axId val="-757567920"/>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80" b="0" i="0" u="none" strike="noStrike" kern="1200" baseline="0">
                <a:solidFill>
                  <a:schemeClr val="tx1">
                    <a:lumMod val="65000"/>
                    <a:lumOff val="35000"/>
                  </a:schemeClr>
                </a:solidFill>
                <a:latin typeface="+mn-lt"/>
                <a:ea typeface="+mn-ea"/>
                <a:cs typeface="+mn-cs"/>
              </a:defRPr>
            </a:pPr>
            <a:endParaRPr lang="en-US"/>
          </a:p>
        </c:txPr>
        <c:crossAx val="-757567376"/>
        <c:crossesAt val="5531"/>
        <c:auto val="1"/>
        <c:lblAlgn val="ctr"/>
        <c:lblOffset val="100"/>
        <c:noMultiLvlLbl val="0"/>
      </c:catAx>
      <c:valAx>
        <c:axId val="-757567376"/>
        <c:scaling>
          <c:orientation val="minMax"/>
        </c:scaling>
        <c:delete val="0"/>
        <c:axPos val="b"/>
        <c:majorGridlines>
          <c:spPr>
            <a:ln w="9525" cap="flat" cmpd="sng" algn="ctr">
              <a:solidFill>
                <a:schemeClr val="tx1">
                  <a:lumMod val="15000"/>
                  <a:lumOff val="85000"/>
                </a:schemeClr>
              </a:solidFill>
              <a:round/>
            </a:ln>
            <a:effectLst/>
          </c:spPr>
        </c:majorGridlines>
        <c:numFmt formatCode="&quot;$&quot;#,##0.00" sourceLinked="0"/>
        <c:majorTickMark val="none"/>
        <c:minorTickMark val="none"/>
        <c:tickLblPos val="low"/>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757567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77926421404682"/>
          <c:y val="4.4189852700491E-2"/>
          <c:w val="0.76142697881828314"/>
          <c:h val="0.78396072013093288"/>
        </c:manualLayout>
      </c:layout>
      <c:scatterChart>
        <c:scatterStyle val="lineMarker"/>
        <c:varyColors val="0"/>
        <c:ser>
          <c:idx val="0"/>
          <c:order val="0"/>
          <c:tx>
            <c:strRef>
              <c:f>Simulation!$AN$3</c:f>
              <c:strCache>
                <c:ptCount val="1"/>
                <c:pt idx="0">
                  <c:v>PH+UC</c:v>
                </c:pt>
              </c:strCache>
            </c:strRef>
          </c:tx>
          <c:marker>
            <c:symbol val="none"/>
          </c:marker>
          <c:xVal>
            <c:numRef>
              <c:f>Simulation!$AL$6:$AL$53</c:f>
              <c:numCache>
                <c:formatCode>General</c:formatCode>
                <c:ptCount val="4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numCache>
            </c:numRef>
          </c:xVal>
          <c:yVal>
            <c:numRef>
              <c:f>Simulation!$AN$6:$AN$53</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6.0000000000000001E-3</c:v>
                </c:pt>
                <c:pt idx="21">
                  <c:v>2.8000000000000001E-2</c:v>
                </c:pt>
                <c:pt idx="22">
                  <c:v>7.6999999999999999E-2</c:v>
                </c:pt>
                <c:pt idx="23">
                  <c:v>0.16700000000000001</c:v>
                </c:pt>
                <c:pt idx="24">
                  <c:v>0.251</c:v>
                </c:pt>
                <c:pt idx="25">
                  <c:v>0.33300000000000002</c:v>
                </c:pt>
                <c:pt idx="26">
                  <c:v>0.40600000000000003</c:v>
                </c:pt>
                <c:pt idx="27">
                  <c:v>0.47599999999999998</c:v>
                </c:pt>
                <c:pt idx="28">
                  <c:v>0.53900000000000003</c:v>
                </c:pt>
                <c:pt idx="29">
                  <c:v>0.58799999999999997</c:v>
                </c:pt>
                <c:pt idx="30">
                  <c:v>0.64100000000000001</c:v>
                </c:pt>
                <c:pt idx="31">
                  <c:v>0.68100000000000005</c:v>
                </c:pt>
                <c:pt idx="32">
                  <c:v>0.71</c:v>
                </c:pt>
                <c:pt idx="33">
                  <c:v>0.746</c:v>
                </c:pt>
                <c:pt idx="34">
                  <c:v>0.77500000000000002</c:v>
                </c:pt>
                <c:pt idx="35">
                  <c:v>0.79500000000000004</c:v>
                </c:pt>
                <c:pt idx="36">
                  <c:v>0.81599999999999995</c:v>
                </c:pt>
                <c:pt idx="37">
                  <c:v>0.83699999999999997</c:v>
                </c:pt>
                <c:pt idx="38">
                  <c:v>0.85799999999999998</c:v>
                </c:pt>
                <c:pt idx="39">
                  <c:v>0.87</c:v>
                </c:pt>
                <c:pt idx="40">
                  <c:v>0.88300000000000001</c:v>
                </c:pt>
                <c:pt idx="41">
                  <c:v>0.89500000000000002</c:v>
                </c:pt>
                <c:pt idx="42">
                  <c:v>0.90300000000000002</c:v>
                </c:pt>
                <c:pt idx="43">
                  <c:v>0.90900000000000003</c:v>
                </c:pt>
                <c:pt idx="44">
                  <c:v>0.93700000000000006</c:v>
                </c:pt>
                <c:pt idx="45">
                  <c:v>0.95399999999999996</c:v>
                </c:pt>
                <c:pt idx="46">
                  <c:v>0.96599999999999997</c:v>
                </c:pt>
                <c:pt idx="47">
                  <c:v>0.97599999999999998</c:v>
                </c:pt>
              </c:numCache>
            </c:numRef>
          </c:yVal>
          <c:smooth val="0"/>
        </c:ser>
        <c:dLbls>
          <c:showLegendKey val="0"/>
          <c:showVal val="0"/>
          <c:showCatName val="0"/>
          <c:showSerName val="0"/>
          <c:showPercent val="0"/>
          <c:showBubbleSize val="0"/>
        </c:dLbls>
        <c:axId val="-757572816"/>
        <c:axId val="-753419584"/>
      </c:scatterChart>
      <c:valAx>
        <c:axId val="-757572816"/>
        <c:scaling>
          <c:orientation val="minMax"/>
          <c:max val="50000"/>
        </c:scaling>
        <c:delete val="0"/>
        <c:axPos val="b"/>
        <c:title>
          <c:tx>
            <c:rich>
              <a:bodyPr/>
              <a:lstStyle/>
              <a:p>
                <a:pPr>
                  <a:defRPr sz="900" b="1" i="0" u="none" strike="noStrike" baseline="0">
                    <a:solidFill>
                      <a:srgbClr val="000000"/>
                    </a:solidFill>
                    <a:latin typeface="Arial"/>
                    <a:ea typeface="Arial"/>
                    <a:cs typeface="Arial"/>
                  </a:defRPr>
                </a:pPr>
                <a:r>
                  <a:rPr lang="en-US" sz="900"/>
                  <a:t>Willingness to pay (2016 USD)</a:t>
                </a:r>
              </a:p>
            </c:rich>
          </c:tx>
          <c:layout>
            <c:manualLayout>
              <c:xMode val="edge"/>
              <c:yMode val="edge"/>
              <c:x val="0.37346711259754739"/>
              <c:y val="0.90180032733224225"/>
            </c:manualLayout>
          </c:layout>
          <c:overlay val="0"/>
          <c:spPr>
            <a:noFill/>
            <a:ln w="25400">
              <a:noFill/>
            </a:ln>
          </c:spPr>
        </c:title>
        <c:numFmt formatCode="&quot;$&quot;#,##0" sourceLinked="0"/>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53419584"/>
        <c:crosses val="autoZero"/>
        <c:crossBetween val="midCat"/>
      </c:valAx>
      <c:valAx>
        <c:axId val="-753419584"/>
        <c:scaling>
          <c:orientation val="minMax"/>
          <c:max val="1"/>
          <c:min val="0"/>
        </c:scaling>
        <c:delete val="0"/>
        <c:axPos val="l"/>
        <c:title>
          <c:tx>
            <c:rich>
              <a:bodyPr/>
              <a:lstStyle/>
              <a:p>
                <a:pPr>
                  <a:defRPr sz="800" b="1" i="0" u="none" strike="noStrike" baseline="0">
                    <a:solidFill>
                      <a:srgbClr val="000000"/>
                    </a:solidFill>
                    <a:latin typeface="Arial"/>
                    <a:ea typeface="Arial"/>
                    <a:cs typeface="Arial"/>
                  </a:defRPr>
                </a:pPr>
                <a:r>
                  <a:rPr lang="en-US" sz="800"/>
                  <a:t>Probability cost-effective</a:t>
                </a:r>
              </a:p>
            </c:rich>
          </c:tx>
          <c:layout>
            <c:manualLayout>
              <c:xMode val="edge"/>
              <c:yMode val="edge"/>
              <c:x val="1.4492753623188406E-2"/>
              <c:y val="0.18985270049099837"/>
            </c:manualLayout>
          </c:layout>
          <c:overlay val="0"/>
          <c:spPr>
            <a:noFill/>
            <a:ln w="25400">
              <a:noFill/>
            </a:ln>
          </c:spPr>
        </c:title>
        <c:numFmt formatCode="#,##0.00_ ;\-#,##0.00\ " sourceLinked="0"/>
        <c:majorTickMark val="out"/>
        <c:minorTickMark val="none"/>
        <c:tickLblPos val="low"/>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57572816"/>
        <c:crosses val="autoZero"/>
        <c:crossBetween val="midCat"/>
      </c:valAx>
      <c:spPr>
        <a:noFill/>
        <a:ln w="25400">
          <a:noFill/>
        </a:ln>
      </c:spPr>
    </c:plotArea>
    <c:plotVisOnly val="1"/>
    <c:dispBlanksAs val="gap"/>
    <c:showDLblsOverMax val="0"/>
  </c:chart>
  <c:spPr>
    <a:noFill/>
    <a:ln w="6350">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77926421404682"/>
          <c:y val="4.4189852700491E-2"/>
          <c:w val="0.76142697881828314"/>
          <c:h val="0.78396072013093288"/>
        </c:manualLayout>
      </c:layout>
      <c:scatterChart>
        <c:scatterStyle val="lineMarker"/>
        <c:varyColors val="0"/>
        <c:ser>
          <c:idx val="1"/>
          <c:order val="0"/>
          <c:tx>
            <c:v>Women aged 40</c:v>
          </c:tx>
          <c:spPr>
            <a:ln w="3175">
              <a:solidFill>
                <a:srgbClr val="FF0000"/>
              </a:solidFill>
              <a:prstDash val="solid"/>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results'!$D$8:$D$65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1.2E-2</c:v>
                </c:pt>
                <c:pt idx="16">
                  <c:v>8.5000000000000006E-2</c:v>
                </c:pt>
                <c:pt idx="17">
                  <c:v>0.19500000000000001</c:v>
                </c:pt>
                <c:pt idx="18">
                  <c:v>0.34899999999999998</c:v>
                </c:pt>
                <c:pt idx="19">
                  <c:v>0.57799999999999996</c:v>
                </c:pt>
                <c:pt idx="20">
                  <c:v>0.72899999999999998</c:v>
                </c:pt>
                <c:pt idx="21">
                  <c:v>0.81799999999999995</c:v>
                </c:pt>
                <c:pt idx="22">
                  <c:v>0.875</c:v>
                </c:pt>
                <c:pt idx="23">
                  <c:v>0.90700000000000003</c:v>
                </c:pt>
                <c:pt idx="24">
                  <c:v>0.92700000000000005</c:v>
                </c:pt>
                <c:pt idx="25">
                  <c:v>0.94099999999999995</c:v>
                </c:pt>
                <c:pt idx="26">
                  <c:v>0.94899999999999995</c:v>
                </c:pt>
                <c:pt idx="27">
                  <c:v>0.95599999999999996</c:v>
                </c:pt>
                <c:pt idx="28">
                  <c:v>0.96599999999999997</c:v>
                </c:pt>
                <c:pt idx="29">
                  <c:v>0.97</c:v>
                </c:pt>
                <c:pt idx="30">
                  <c:v>0.97199999999999998</c:v>
                </c:pt>
                <c:pt idx="31">
                  <c:v>0.97499999999999998</c:v>
                </c:pt>
                <c:pt idx="32">
                  <c:v>0.98</c:v>
                </c:pt>
                <c:pt idx="33">
                  <c:v>0.98</c:v>
                </c:pt>
                <c:pt idx="34">
                  <c:v>0.98299999999999998</c:v>
                </c:pt>
                <c:pt idx="35">
                  <c:v>0.98399999999999999</c:v>
                </c:pt>
                <c:pt idx="36">
                  <c:v>0.98399999999999999</c:v>
                </c:pt>
                <c:pt idx="37">
                  <c:v>0.98399999999999999</c:v>
                </c:pt>
                <c:pt idx="38">
                  <c:v>0.98899999999999999</c:v>
                </c:pt>
                <c:pt idx="39">
                  <c:v>0.99</c:v>
                </c:pt>
                <c:pt idx="40">
                  <c:v>0.99099999999999999</c:v>
                </c:pt>
                <c:pt idx="41">
                  <c:v>0.99099999999999999</c:v>
                </c:pt>
                <c:pt idx="42">
                  <c:v>0.99099999999999999</c:v>
                </c:pt>
                <c:pt idx="43">
                  <c:v>0.99099999999999999</c:v>
                </c:pt>
                <c:pt idx="44">
                  <c:v>0.99099999999999999</c:v>
                </c:pt>
                <c:pt idx="45">
                  <c:v>0.99099999999999999</c:v>
                </c:pt>
                <c:pt idx="46">
                  <c:v>0.99299999999999999</c:v>
                </c:pt>
                <c:pt idx="47">
                  <c:v>0.99299999999999999</c:v>
                </c:pt>
                <c:pt idx="48">
                  <c:v>0.99299999999999999</c:v>
                </c:pt>
                <c:pt idx="49">
                  <c:v>0.99299999999999999</c:v>
                </c:pt>
                <c:pt idx="50">
                  <c:v>0.997</c:v>
                </c:pt>
                <c:pt idx="51">
                  <c:v>0.997</c:v>
                </c:pt>
                <c:pt idx="52">
                  <c:v>0.997</c:v>
                </c:pt>
                <c:pt idx="53">
                  <c:v>0.997</c:v>
                </c:pt>
                <c:pt idx="54">
                  <c:v>0.997</c:v>
                </c:pt>
                <c:pt idx="55">
                  <c:v>0.997</c:v>
                </c:pt>
                <c:pt idx="56">
                  <c:v>0.997</c:v>
                </c:pt>
                <c:pt idx="57">
                  <c:v>0.997</c:v>
                </c:pt>
              </c:numCache>
            </c:numRef>
          </c:yVal>
          <c:smooth val="1"/>
        </c:ser>
        <c:ser>
          <c:idx val="2"/>
          <c:order val="1"/>
          <c:tx>
            <c:v>Women aged 60</c:v>
          </c:tx>
          <c:spPr>
            <a:ln w="3175">
              <a:solidFill>
                <a:srgbClr val="3333CC"/>
              </a:solidFill>
              <a:prstDash val="solid"/>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results'!$E$8:$E$65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2E-3</c:v>
                </c:pt>
                <c:pt idx="18">
                  <c:v>2.5000000000000001E-2</c:v>
                </c:pt>
                <c:pt idx="19">
                  <c:v>0.16500000000000001</c:v>
                </c:pt>
                <c:pt idx="20">
                  <c:v>0.34899999999999998</c:v>
                </c:pt>
                <c:pt idx="21">
                  <c:v>0.51800000000000002</c:v>
                </c:pt>
                <c:pt idx="22">
                  <c:v>0.65400000000000003</c:v>
                </c:pt>
                <c:pt idx="23">
                  <c:v>0.73099999999999998</c:v>
                </c:pt>
                <c:pt idx="24">
                  <c:v>0.77800000000000002</c:v>
                </c:pt>
                <c:pt idx="25">
                  <c:v>0.82799999999999996</c:v>
                </c:pt>
                <c:pt idx="26">
                  <c:v>0.85899999999999999</c:v>
                </c:pt>
                <c:pt idx="27">
                  <c:v>0.88100000000000001</c:v>
                </c:pt>
                <c:pt idx="28">
                  <c:v>0.89800000000000002</c:v>
                </c:pt>
                <c:pt idx="29">
                  <c:v>0.91500000000000004</c:v>
                </c:pt>
                <c:pt idx="30">
                  <c:v>0.92400000000000004</c:v>
                </c:pt>
                <c:pt idx="31">
                  <c:v>0.93400000000000005</c:v>
                </c:pt>
                <c:pt idx="32">
                  <c:v>0.94499999999999995</c:v>
                </c:pt>
                <c:pt idx="33">
                  <c:v>0.95</c:v>
                </c:pt>
                <c:pt idx="34">
                  <c:v>0.95399999999999996</c:v>
                </c:pt>
                <c:pt idx="35">
                  <c:v>0.96099999999999997</c:v>
                </c:pt>
                <c:pt idx="36">
                  <c:v>0.96199999999999997</c:v>
                </c:pt>
                <c:pt idx="37">
                  <c:v>0.96199999999999997</c:v>
                </c:pt>
                <c:pt idx="38">
                  <c:v>0.96699999999999997</c:v>
                </c:pt>
                <c:pt idx="39">
                  <c:v>0.96899999999999997</c:v>
                </c:pt>
                <c:pt idx="40">
                  <c:v>0.97</c:v>
                </c:pt>
                <c:pt idx="41">
                  <c:v>0.97099999999999997</c:v>
                </c:pt>
                <c:pt idx="42">
                  <c:v>0.97399999999999998</c:v>
                </c:pt>
                <c:pt idx="43">
                  <c:v>0.97499999999999998</c:v>
                </c:pt>
                <c:pt idx="44">
                  <c:v>0.98199999999999998</c:v>
                </c:pt>
                <c:pt idx="45">
                  <c:v>0.98499999999999999</c:v>
                </c:pt>
                <c:pt idx="46">
                  <c:v>0.99</c:v>
                </c:pt>
                <c:pt idx="47">
                  <c:v>0.99199999999999999</c:v>
                </c:pt>
                <c:pt idx="48">
                  <c:v>0.99399999999999999</c:v>
                </c:pt>
                <c:pt idx="49">
                  <c:v>0.99399999999999999</c:v>
                </c:pt>
                <c:pt idx="50">
                  <c:v>0.997</c:v>
                </c:pt>
                <c:pt idx="51">
                  <c:v>0.997</c:v>
                </c:pt>
                <c:pt idx="52">
                  <c:v>0.997</c:v>
                </c:pt>
                <c:pt idx="53">
                  <c:v>0.997</c:v>
                </c:pt>
                <c:pt idx="54">
                  <c:v>0.997</c:v>
                </c:pt>
                <c:pt idx="55">
                  <c:v>0.997</c:v>
                </c:pt>
                <c:pt idx="56">
                  <c:v>0.997</c:v>
                </c:pt>
                <c:pt idx="57">
                  <c:v>0.997</c:v>
                </c:pt>
              </c:numCache>
            </c:numRef>
          </c:yVal>
          <c:smooth val="0"/>
        </c:ser>
        <c:ser>
          <c:idx val="3"/>
          <c:order val="2"/>
          <c:tx>
            <c:v>Women aged 80</c:v>
          </c:tx>
          <c:spPr>
            <a:ln w="3175">
              <a:solidFill>
                <a:srgbClr val="008000"/>
              </a:solidFill>
              <a:prstDash val="solid"/>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results'!$F$8:$F$65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6.0000000000000001E-3</c:v>
                </c:pt>
                <c:pt idx="21">
                  <c:v>2.8000000000000001E-2</c:v>
                </c:pt>
                <c:pt idx="22">
                  <c:v>7.6999999999999999E-2</c:v>
                </c:pt>
                <c:pt idx="23">
                  <c:v>0.16700000000000001</c:v>
                </c:pt>
                <c:pt idx="24">
                  <c:v>0.251</c:v>
                </c:pt>
                <c:pt idx="25">
                  <c:v>0.33300000000000002</c:v>
                </c:pt>
                <c:pt idx="26">
                  <c:v>0.40600000000000003</c:v>
                </c:pt>
                <c:pt idx="27">
                  <c:v>0.47599999999999998</c:v>
                </c:pt>
                <c:pt idx="28">
                  <c:v>0.53900000000000003</c:v>
                </c:pt>
                <c:pt idx="29">
                  <c:v>0.58799999999999997</c:v>
                </c:pt>
                <c:pt idx="30">
                  <c:v>0.64100000000000001</c:v>
                </c:pt>
                <c:pt idx="31">
                  <c:v>0.68100000000000005</c:v>
                </c:pt>
                <c:pt idx="32">
                  <c:v>0.71</c:v>
                </c:pt>
                <c:pt idx="33">
                  <c:v>0.746</c:v>
                </c:pt>
                <c:pt idx="34">
                  <c:v>0.77500000000000002</c:v>
                </c:pt>
                <c:pt idx="35">
                  <c:v>0.79500000000000004</c:v>
                </c:pt>
                <c:pt idx="36">
                  <c:v>0.81599999999999995</c:v>
                </c:pt>
                <c:pt idx="37">
                  <c:v>0.83699999999999997</c:v>
                </c:pt>
                <c:pt idx="38">
                  <c:v>0.85799999999999998</c:v>
                </c:pt>
                <c:pt idx="39">
                  <c:v>0.87</c:v>
                </c:pt>
                <c:pt idx="40">
                  <c:v>0.88300000000000001</c:v>
                </c:pt>
                <c:pt idx="41">
                  <c:v>0.89500000000000002</c:v>
                </c:pt>
                <c:pt idx="42">
                  <c:v>0.90300000000000002</c:v>
                </c:pt>
                <c:pt idx="43">
                  <c:v>0.90900000000000003</c:v>
                </c:pt>
                <c:pt idx="44">
                  <c:v>0.93700000000000006</c:v>
                </c:pt>
                <c:pt idx="45">
                  <c:v>0.95399999999999996</c:v>
                </c:pt>
                <c:pt idx="46">
                  <c:v>0.96599999999999997</c:v>
                </c:pt>
                <c:pt idx="47">
                  <c:v>0.97599999999999998</c:v>
                </c:pt>
                <c:pt idx="48">
                  <c:v>0.98</c:v>
                </c:pt>
                <c:pt idx="49">
                  <c:v>0.98399999999999999</c:v>
                </c:pt>
                <c:pt idx="50">
                  <c:v>0.997</c:v>
                </c:pt>
                <c:pt idx="51">
                  <c:v>0.997</c:v>
                </c:pt>
                <c:pt idx="52">
                  <c:v>0.997</c:v>
                </c:pt>
                <c:pt idx="53">
                  <c:v>0.997</c:v>
                </c:pt>
                <c:pt idx="54">
                  <c:v>0.997</c:v>
                </c:pt>
                <c:pt idx="55">
                  <c:v>0.997</c:v>
                </c:pt>
                <c:pt idx="56">
                  <c:v>0.997</c:v>
                </c:pt>
                <c:pt idx="57">
                  <c:v>0.997</c:v>
                </c:pt>
              </c:numCache>
            </c:numRef>
          </c:yVal>
          <c:smooth val="1"/>
        </c:ser>
        <c:ser>
          <c:idx val="5"/>
          <c:order val="3"/>
          <c:tx>
            <c:v>Men aged 40</c:v>
          </c:tx>
          <c:spPr>
            <a:ln w="3175">
              <a:solidFill>
                <a:srgbClr val="FF0000"/>
              </a:solidFill>
              <a:prstDash val="sysDash"/>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results'!$H$8:$H$65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2E-3</c:v>
                </c:pt>
                <c:pt idx="16">
                  <c:v>3.7999999999999999E-2</c:v>
                </c:pt>
                <c:pt idx="17">
                  <c:v>0.13300000000000001</c:v>
                </c:pt>
                <c:pt idx="18">
                  <c:v>0.26</c:v>
                </c:pt>
                <c:pt idx="19">
                  <c:v>0.48899999999999999</c:v>
                </c:pt>
                <c:pt idx="20">
                  <c:v>0.66800000000000004</c:v>
                </c:pt>
                <c:pt idx="21">
                  <c:v>0.77800000000000002</c:v>
                </c:pt>
                <c:pt idx="22">
                  <c:v>0.84499999999999997</c:v>
                </c:pt>
                <c:pt idx="23">
                  <c:v>0.89200000000000002</c:v>
                </c:pt>
                <c:pt idx="24">
                  <c:v>0.91600000000000004</c:v>
                </c:pt>
                <c:pt idx="25">
                  <c:v>0.93799999999999994</c:v>
                </c:pt>
                <c:pt idx="26">
                  <c:v>0.95099999999999996</c:v>
                </c:pt>
                <c:pt idx="27">
                  <c:v>0.96099999999999997</c:v>
                </c:pt>
                <c:pt idx="28">
                  <c:v>0.96899999999999997</c:v>
                </c:pt>
                <c:pt idx="29">
                  <c:v>0.97499999999999998</c:v>
                </c:pt>
                <c:pt idx="30">
                  <c:v>0.97799999999999998</c:v>
                </c:pt>
                <c:pt idx="31">
                  <c:v>0.98099999999999998</c:v>
                </c:pt>
                <c:pt idx="32">
                  <c:v>0.98199999999999998</c:v>
                </c:pt>
                <c:pt idx="33">
                  <c:v>0.98299999999999998</c:v>
                </c:pt>
                <c:pt idx="34">
                  <c:v>0.98699999999999999</c:v>
                </c:pt>
                <c:pt idx="35">
                  <c:v>0.98799999999999999</c:v>
                </c:pt>
                <c:pt idx="36">
                  <c:v>0.99</c:v>
                </c:pt>
                <c:pt idx="37">
                  <c:v>0.99099999999999999</c:v>
                </c:pt>
                <c:pt idx="38">
                  <c:v>0.99299999999999999</c:v>
                </c:pt>
                <c:pt idx="39">
                  <c:v>0.99299999999999999</c:v>
                </c:pt>
                <c:pt idx="40">
                  <c:v>0.99299999999999999</c:v>
                </c:pt>
                <c:pt idx="41">
                  <c:v>0.99299999999999999</c:v>
                </c:pt>
                <c:pt idx="42">
                  <c:v>0.99299999999999999</c:v>
                </c:pt>
                <c:pt idx="43">
                  <c:v>0.99299999999999999</c:v>
                </c:pt>
                <c:pt idx="44">
                  <c:v>0.99399999999999999</c:v>
                </c:pt>
                <c:pt idx="45">
                  <c:v>0.995</c:v>
                </c:pt>
                <c:pt idx="46">
                  <c:v>0.996</c:v>
                </c:pt>
                <c:pt idx="47">
                  <c:v>0.997</c:v>
                </c:pt>
                <c:pt idx="48">
                  <c:v>0.997</c:v>
                </c:pt>
                <c:pt idx="49">
                  <c:v>0.997</c:v>
                </c:pt>
                <c:pt idx="50">
                  <c:v>0.997</c:v>
                </c:pt>
                <c:pt idx="51">
                  <c:v>0.997</c:v>
                </c:pt>
                <c:pt idx="52">
                  <c:v>0.997</c:v>
                </c:pt>
                <c:pt idx="53">
                  <c:v>0.997</c:v>
                </c:pt>
                <c:pt idx="54">
                  <c:v>0.997</c:v>
                </c:pt>
                <c:pt idx="55">
                  <c:v>0.997</c:v>
                </c:pt>
                <c:pt idx="56">
                  <c:v>0.997</c:v>
                </c:pt>
                <c:pt idx="57">
                  <c:v>0.997</c:v>
                </c:pt>
              </c:numCache>
            </c:numRef>
          </c:yVal>
          <c:smooth val="0"/>
        </c:ser>
        <c:ser>
          <c:idx val="6"/>
          <c:order val="4"/>
          <c:tx>
            <c:v>Men aged 60</c:v>
          </c:tx>
          <c:spPr>
            <a:ln w="3175">
              <a:solidFill>
                <a:srgbClr val="3333CC"/>
              </a:solidFill>
              <a:prstDash val="sysDash"/>
            </a:ln>
          </c:spPr>
          <c:marker>
            <c:symbol val="plus"/>
            <c:size val="3"/>
            <c:spPr>
              <a:noFill/>
              <a:ln>
                <a:solidFill>
                  <a:srgbClr val="008080"/>
                </a:solidFill>
                <a:prstDash val="solid"/>
              </a:ln>
            </c:spPr>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results'!$I$8:$I$65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2E-3</c:v>
                </c:pt>
                <c:pt idx="18">
                  <c:v>8.0000000000000002E-3</c:v>
                </c:pt>
                <c:pt idx="19">
                  <c:v>0.108</c:v>
                </c:pt>
                <c:pt idx="20">
                  <c:v>0.27</c:v>
                </c:pt>
                <c:pt idx="21">
                  <c:v>0.432</c:v>
                </c:pt>
                <c:pt idx="22">
                  <c:v>0.55400000000000005</c:v>
                </c:pt>
                <c:pt idx="23">
                  <c:v>0.65400000000000003</c:v>
                </c:pt>
                <c:pt idx="24">
                  <c:v>0.73299999999999998</c:v>
                </c:pt>
                <c:pt idx="25">
                  <c:v>0.78800000000000003</c:v>
                </c:pt>
                <c:pt idx="26">
                  <c:v>0.83</c:v>
                </c:pt>
                <c:pt idx="27">
                  <c:v>0.86699999999999999</c:v>
                </c:pt>
                <c:pt idx="28">
                  <c:v>0.88400000000000001</c:v>
                </c:pt>
                <c:pt idx="29">
                  <c:v>0.90900000000000003</c:v>
                </c:pt>
                <c:pt idx="30">
                  <c:v>0.92300000000000004</c:v>
                </c:pt>
                <c:pt idx="31">
                  <c:v>0.93600000000000005</c:v>
                </c:pt>
                <c:pt idx="32">
                  <c:v>0.94099999999999995</c:v>
                </c:pt>
                <c:pt idx="33">
                  <c:v>0.95</c:v>
                </c:pt>
                <c:pt idx="34">
                  <c:v>0.95199999999999996</c:v>
                </c:pt>
                <c:pt idx="35">
                  <c:v>0.95699999999999996</c:v>
                </c:pt>
                <c:pt idx="36">
                  <c:v>0.96099999999999997</c:v>
                </c:pt>
                <c:pt idx="37">
                  <c:v>0.96499999999999997</c:v>
                </c:pt>
                <c:pt idx="38">
                  <c:v>0.97199999999999998</c:v>
                </c:pt>
                <c:pt idx="39">
                  <c:v>0.97499999999999998</c:v>
                </c:pt>
                <c:pt idx="40">
                  <c:v>0.97699999999999998</c:v>
                </c:pt>
                <c:pt idx="41">
                  <c:v>0.97699999999999998</c:v>
                </c:pt>
                <c:pt idx="42">
                  <c:v>0.97899999999999998</c:v>
                </c:pt>
                <c:pt idx="43">
                  <c:v>0.98099999999999998</c:v>
                </c:pt>
                <c:pt idx="44">
                  <c:v>0.98599999999999999</c:v>
                </c:pt>
                <c:pt idx="45">
                  <c:v>0.98699999999999999</c:v>
                </c:pt>
                <c:pt idx="46">
                  <c:v>0.98699999999999999</c:v>
                </c:pt>
                <c:pt idx="47">
                  <c:v>0.98799999999999999</c:v>
                </c:pt>
                <c:pt idx="48">
                  <c:v>0.98899999999999999</c:v>
                </c:pt>
                <c:pt idx="49">
                  <c:v>0.99</c:v>
                </c:pt>
                <c:pt idx="50">
                  <c:v>0.997</c:v>
                </c:pt>
                <c:pt idx="51">
                  <c:v>0.997</c:v>
                </c:pt>
                <c:pt idx="52">
                  <c:v>0.997</c:v>
                </c:pt>
                <c:pt idx="53">
                  <c:v>0.997</c:v>
                </c:pt>
                <c:pt idx="54">
                  <c:v>0.997</c:v>
                </c:pt>
                <c:pt idx="55">
                  <c:v>0.997</c:v>
                </c:pt>
                <c:pt idx="56">
                  <c:v>0.997</c:v>
                </c:pt>
                <c:pt idx="57">
                  <c:v>0.997</c:v>
                </c:pt>
              </c:numCache>
            </c:numRef>
          </c:yVal>
          <c:smooth val="0"/>
        </c:ser>
        <c:ser>
          <c:idx val="7"/>
          <c:order val="5"/>
          <c:tx>
            <c:v>Men aged 80</c:v>
          </c:tx>
          <c:spPr>
            <a:ln w="3175">
              <a:solidFill>
                <a:srgbClr val="008000"/>
              </a:solidFill>
              <a:prstDash val="sysDash"/>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results'!$J$8:$J$65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8.9999999999999993E-3</c:v>
                </c:pt>
                <c:pt idx="22">
                  <c:v>3.9E-2</c:v>
                </c:pt>
                <c:pt idx="23">
                  <c:v>8.8999999999999996E-2</c:v>
                </c:pt>
                <c:pt idx="24">
                  <c:v>0.14299999999999999</c:v>
                </c:pt>
                <c:pt idx="25">
                  <c:v>0.19700000000000001</c:v>
                </c:pt>
                <c:pt idx="26">
                  <c:v>0.26400000000000001</c:v>
                </c:pt>
                <c:pt idx="27">
                  <c:v>0.33300000000000002</c:v>
                </c:pt>
                <c:pt idx="28">
                  <c:v>0.39500000000000002</c:v>
                </c:pt>
                <c:pt idx="29">
                  <c:v>0.47399999999999998</c:v>
                </c:pt>
                <c:pt idx="30">
                  <c:v>0.51900000000000002</c:v>
                </c:pt>
                <c:pt idx="31">
                  <c:v>0.57799999999999996</c:v>
                </c:pt>
                <c:pt idx="32">
                  <c:v>0.629</c:v>
                </c:pt>
                <c:pt idx="33">
                  <c:v>0.66700000000000004</c:v>
                </c:pt>
                <c:pt idx="34">
                  <c:v>0.70799999999999996</c:v>
                </c:pt>
                <c:pt idx="35">
                  <c:v>0.73099999999999998</c:v>
                </c:pt>
                <c:pt idx="36">
                  <c:v>0.77</c:v>
                </c:pt>
                <c:pt idx="37">
                  <c:v>0.79400000000000004</c:v>
                </c:pt>
                <c:pt idx="38">
                  <c:v>0.81399999999999995</c:v>
                </c:pt>
                <c:pt idx="39">
                  <c:v>0.83099999999999996</c:v>
                </c:pt>
                <c:pt idx="40">
                  <c:v>0.85199999999999998</c:v>
                </c:pt>
                <c:pt idx="41">
                  <c:v>0.86299999999999999</c:v>
                </c:pt>
                <c:pt idx="42">
                  <c:v>0.874</c:v>
                </c:pt>
                <c:pt idx="43">
                  <c:v>0.88600000000000001</c:v>
                </c:pt>
                <c:pt idx="44">
                  <c:v>0.91600000000000004</c:v>
                </c:pt>
                <c:pt idx="45">
                  <c:v>0.93799999999999994</c:v>
                </c:pt>
                <c:pt idx="46">
                  <c:v>0.95299999999999996</c:v>
                </c:pt>
                <c:pt idx="47">
                  <c:v>0.96199999999999997</c:v>
                </c:pt>
                <c:pt idx="48">
                  <c:v>0.97099999999999997</c:v>
                </c:pt>
                <c:pt idx="49">
                  <c:v>0.98</c:v>
                </c:pt>
                <c:pt idx="50">
                  <c:v>0.997</c:v>
                </c:pt>
                <c:pt idx="51">
                  <c:v>0.997</c:v>
                </c:pt>
                <c:pt idx="52">
                  <c:v>0.997</c:v>
                </c:pt>
                <c:pt idx="53">
                  <c:v>0.997</c:v>
                </c:pt>
                <c:pt idx="54">
                  <c:v>0.997</c:v>
                </c:pt>
                <c:pt idx="55">
                  <c:v>0.997</c:v>
                </c:pt>
                <c:pt idx="56">
                  <c:v>0.997</c:v>
                </c:pt>
                <c:pt idx="57">
                  <c:v>0.997</c:v>
                </c:pt>
              </c:numCache>
            </c:numRef>
          </c:yVal>
          <c:smooth val="0"/>
        </c:ser>
        <c:dLbls>
          <c:showLegendKey val="0"/>
          <c:showVal val="0"/>
          <c:showCatName val="0"/>
          <c:showSerName val="0"/>
          <c:showPercent val="0"/>
          <c:showBubbleSize val="0"/>
        </c:dLbls>
        <c:axId val="-753420672"/>
        <c:axId val="-753415776"/>
      </c:scatterChart>
      <c:valAx>
        <c:axId val="-753420672"/>
        <c:scaling>
          <c:orientation val="minMax"/>
          <c:max val="40000"/>
        </c:scaling>
        <c:delete val="0"/>
        <c:axPos val="b"/>
        <c:title>
          <c:tx>
            <c:rich>
              <a:bodyPr/>
              <a:lstStyle/>
              <a:p>
                <a:pPr>
                  <a:defRPr sz="1000" b="1" i="0" u="none" strike="noStrike" baseline="0">
                    <a:solidFill>
                      <a:srgbClr val="000000"/>
                    </a:solidFill>
                    <a:latin typeface="Arial"/>
                    <a:ea typeface="Arial"/>
                    <a:cs typeface="Arial"/>
                  </a:defRPr>
                </a:pPr>
                <a:r>
                  <a:rPr lang="en-US" sz="1000" b="1" i="0" baseline="0">
                    <a:effectLst/>
                  </a:rPr>
                  <a:t>Willingness to pay (2016 USD)</a:t>
                </a:r>
                <a:endParaRPr lang="en-US" sz="1000">
                  <a:effectLst/>
                </a:endParaRPr>
              </a:p>
            </c:rich>
          </c:tx>
          <c:layout>
            <c:manualLayout>
              <c:xMode val="edge"/>
              <c:yMode val="edge"/>
              <c:x val="0.37346711259754739"/>
              <c:y val="0.90180032733224225"/>
            </c:manualLayout>
          </c:layout>
          <c:overlay val="0"/>
          <c:spPr>
            <a:noFill/>
            <a:ln w="25400">
              <a:noFill/>
            </a:ln>
          </c:spPr>
        </c:title>
        <c:numFmt formatCode="&quot;$&quot;#,##0" sourceLinked="0"/>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753415776"/>
        <c:crosses val="autoZero"/>
        <c:crossBetween val="midCat"/>
      </c:valAx>
      <c:valAx>
        <c:axId val="-753415776"/>
        <c:scaling>
          <c:orientation val="minMax"/>
          <c:max val="1"/>
          <c:min val="0"/>
        </c:scaling>
        <c:delete val="0"/>
        <c:axPos val="l"/>
        <c:title>
          <c:tx>
            <c:rich>
              <a:bodyPr/>
              <a:lstStyle/>
              <a:p>
                <a:pPr>
                  <a:defRPr sz="1000" b="1" i="0" u="none" strike="noStrike" baseline="0">
                    <a:solidFill>
                      <a:srgbClr val="000000"/>
                    </a:solidFill>
                    <a:latin typeface="Arial"/>
                    <a:ea typeface="Arial"/>
                    <a:cs typeface="Arial"/>
                  </a:defRPr>
                </a:pPr>
                <a:r>
                  <a:rPr lang="en-US" sz="1000"/>
                  <a:t>Probability cost-effective</a:t>
                </a:r>
              </a:p>
            </c:rich>
          </c:tx>
          <c:layout>
            <c:manualLayout>
              <c:xMode val="edge"/>
              <c:yMode val="edge"/>
              <c:x val="1.4492753623188406E-2"/>
              <c:y val="0.18985270049099837"/>
            </c:manualLayout>
          </c:layout>
          <c:overlay val="0"/>
          <c:spPr>
            <a:noFill/>
            <a:ln w="25400">
              <a:noFill/>
            </a:ln>
          </c:spPr>
        </c:title>
        <c:numFmt formatCode="#,##0.00_ ;\-#,##0.00\ " sourceLinked="0"/>
        <c:majorTickMark val="out"/>
        <c:minorTickMark val="none"/>
        <c:tickLblPos val="low"/>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753420672"/>
        <c:crosses val="autoZero"/>
        <c:crossBetween val="midCat"/>
      </c:valAx>
      <c:spPr>
        <a:noFill/>
        <a:ln w="25400">
          <a:noFill/>
        </a:ln>
      </c:spPr>
    </c:plotArea>
    <c:legend>
      <c:legendPos val="r"/>
      <c:layout>
        <c:manualLayout>
          <c:xMode val="edge"/>
          <c:yMode val="edge"/>
          <c:x val="0.67558528428093645"/>
          <c:y val="0.530278232405892"/>
          <c:w val="0.22185061315496099"/>
          <c:h val="0.26677577741407527"/>
        </c:manualLayout>
      </c:layout>
      <c:overlay val="0"/>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legend>
    <c:plotVisOnly val="1"/>
    <c:dispBlanksAs val="gap"/>
    <c:showDLblsOverMax val="0"/>
  </c:chart>
  <c:spPr>
    <a:noFill/>
    <a:ln w="6350">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0.43075</cdr:x>
      <cdr:y>0.51625</cdr:y>
    </cdr:from>
    <cdr:to>
      <cdr:x>0.4415</cdr:x>
      <cdr:y>0.55225</cdr:y>
    </cdr:to>
    <cdr:sp macro="" textlink="">
      <cdr:nvSpPr>
        <cdr:cNvPr id="9217" name="Text Box 1"/>
        <cdr:cNvSpPr txBox="1">
          <a:spLocks xmlns:a="http://schemas.openxmlformats.org/drawingml/2006/main" noChangeArrowheads="1"/>
        </cdr:cNvSpPr>
      </cdr:nvSpPr>
      <cdr:spPr bwMode="auto">
        <a:xfrm xmlns:a="http://schemas.openxmlformats.org/drawingml/2006/main">
          <a:off x="3680296" y="3004459"/>
          <a:ext cx="91847" cy="209512"/>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US" sz="925" b="0" i="0" u="none" strike="noStrike" baseline="0">
              <a:solidFill>
                <a:srgbClr val="000000"/>
              </a:solidFill>
              <a:latin typeface="Arial"/>
              <a:cs typeface="Arial"/>
            </a:rPr>
            <a:t>  </a:t>
          </a:r>
        </a:p>
      </cdr:txBody>
    </cdr:sp>
  </cdr:relSizeAnchor>
</c:userShapes>
</file>

<file path=word/drawings/drawing2.xml><?xml version="1.0" encoding="utf-8"?>
<c:userShapes xmlns:c="http://schemas.openxmlformats.org/drawingml/2006/chart">
  <cdr:relSizeAnchor xmlns:cdr="http://schemas.openxmlformats.org/drawingml/2006/chartDrawing">
    <cdr:from>
      <cdr:x>0.43075</cdr:x>
      <cdr:y>0.51625</cdr:y>
    </cdr:from>
    <cdr:to>
      <cdr:x>0.4415</cdr:x>
      <cdr:y>0.55225</cdr:y>
    </cdr:to>
    <cdr:sp macro="" textlink="">
      <cdr:nvSpPr>
        <cdr:cNvPr id="48129" name="Text Box 1"/>
        <cdr:cNvSpPr txBox="1">
          <a:spLocks xmlns:a="http://schemas.openxmlformats.org/drawingml/2006/main" noChangeArrowheads="1"/>
        </cdr:cNvSpPr>
      </cdr:nvSpPr>
      <cdr:spPr bwMode="auto">
        <a:xfrm xmlns:a="http://schemas.openxmlformats.org/drawingml/2006/main">
          <a:off x="3680296" y="3004459"/>
          <a:ext cx="91847" cy="209512"/>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US" sz="925" b="0" i="0" u="none" strike="noStrike" baseline="0">
              <a:solidFill>
                <a:srgbClr val="000000"/>
              </a:solidFill>
              <a:latin typeface="Arial"/>
              <a:cs typeface="Arial"/>
            </a:rPr>
            <a:t>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CF99-CC30-446C-83F5-461932B78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16</Pages>
  <Words>8243</Words>
  <Characters>46987</Characters>
  <Application>Microsoft Office Word</Application>
  <DocSecurity>0</DocSecurity>
  <Lines>391</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Universitair Medisch Centrum Groningen</Company>
  <LinksUpToDate>false</LinksUpToDate>
  <CharactersWithSpaces>55120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Dilokthornsakul, Piyameth</dc:creator>
  <cp:lastModifiedBy>김종훈</cp:lastModifiedBy>
  <cp:revision>28</cp:revision>
  <dcterms:created xsi:type="dcterms:W3CDTF">2016-12-04T18:53:00Z</dcterms:created>
  <dcterms:modified xsi:type="dcterms:W3CDTF">2016-12-08T14:40:00Z</dcterms:modified>
</cp:coreProperties>
</file>