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7777777" w:rsidR="00822676" w:rsidRPr="00F77F1F" w:rsidRDefault="003757A1" w:rsidP="00F77F1F">
      <w:pPr>
        <w:rPr>
          <w:b/>
        </w:rPr>
      </w:pPr>
      <w:r w:rsidRPr="00F77F1F">
        <w:rPr>
          <w:b/>
        </w:rPr>
        <w:t>Lecture 2 (Forwards Markets) Assignment</w:t>
      </w:r>
      <w:r w:rsidR="00822676" w:rsidRPr="00F77F1F">
        <w:rPr>
          <w:b/>
        </w:rPr>
        <w:t>, MTH 9865</w:t>
      </w:r>
    </w:p>
    <w:p w14:paraId="4D5D01F8" w14:textId="77777777" w:rsidR="003757A1" w:rsidRDefault="003757A1"/>
    <w:p w14:paraId="6D554949" w14:textId="5C16DC91" w:rsidR="002D09BC" w:rsidRDefault="002D09BC">
      <w:r>
        <w:t xml:space="preserve">Due start of class, </w:t>
      </w:r>
      <w:r w:rsidR="00951FFB">
        <w:t>September 16, 2015</w:t>
      </w:r>
      <w:r>
        <w:t>.</w:t>
      </w:r>
    </w:p>
    <w:p w14:paraId="4B6B323F" w14:textId="77777777" w:rsidR="002B102C" w:rsidRDefault="002B102C"/>
    <w:p w14:paraId="6A737F83" w14:textId="6BEFC29E" w:rsidR="002B102C" w:rsidRPr="000A7A77" w:rsidRDefault="002B102C">
      <w:pPr>
        <w:rPr>
          <w:color w:val="0000FF"/>
        </w:rPr>
      </w:pPr>
      <w:r w:rsidRPr="000A7A77">
        <w:rPr>
          <w:color w:val="0000FF"/>
        </w:rPr>
        <w:t>Student: Weiyi Chen</w:t>
      </w:r>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Why are correlations of daily returns of spot vs daily returns of forward prices so high in the FX markets? What are the two requirements a market must support to enforce a high correlation across the forward curve?</w:t>
      </w:r>
    </w:p>
    <w:p w14:paraId="3A3DEFAF" w14:textId="77777777" w:rsidR="000A7A77" w:rsidRDefault="000A7A77"/>
    <w:p w14:paraId="73521C05" w14:textId="3B74FDB4" w:rsidR="000A7A77" w:rsidRDefault="000A7A77" w:rsidP="000A7A77">
      <w:pPr>
        <w:rPr>
          <w:color w:val="0000FF"/>
        </w:rPr>
      </w:pPr>
      <w:r w:rsidRPr="000A7A77">
        <w:rPr>
          <w:color w:val="0000FF"/>
        </w:rPr>
        <w:t xml:space="preserve">Most of the time the correlation of daily changes in spot and the 1y all-in forward is very high, north of 99.5%. </w:t>
      </w:r>
      <w:r>
        <w:rPr>
          <w:color w:val="0000FF"/>
        </w:rPr>
        <w:t>This is because of the spot/forward arbitrage, interest rate markets for G7 currencies are all well-developed so people can really execute the arbitrage conveniently, therefore the spot and forwards will move together resulting in high correlation.</w:t>
      </w:r>
    </w:p>
    <w:p w14:paraId="1235AEAC" w14:textId="77777777" w:rsidR="000A7A77" w:rsidRDefault="000A7A77" w:rsidP="000A7A77">
      <w:pPr>
        <w:rPr>
          <w:color w:val="0000FF"/>
        </w:rPr>
      </w:pPr>
    </w:p>
    <w:p w14:paraId="307AAC84" w14:textId="6A261D6E" w:rsidR="000A7A77" w:rsidRDefault="000A7A77" w:rsidP="000A7A77">
      <w:pPr>
        <w:rPr>
          <w:color w:val="0000FF"/>
        </w:rPr>
      </w:pPr>
      <w:r>
        <w:rPr>
          <w:color w:val="0000FF"/>
        </w:rPr>
        <w:t xml:space="preserve">To enforce a high correlation across the forward curve, the two requirements of the market is </w:t>
      </w:r>
    </w:p>
    <w:p w14:paraId="1A167228" w14:textId="77777777" w:rsidR="000A7A77" w:rsidRDefault="000A7A77" w:rsidP="000A7A77">
      <w:pPr>
        <w:rPr>
          <w:color w:val="0000FF"/>
        </w:rPr>
      </w:pPr>
    </w:p>
    <w:p w14:paraId="5343E7F1" w14:textId="4DE5F66A" w:rsidR="000A7A77" w:rsidRPr="000A7A77" w:rsidRDefault="000A7A77" w:rsidP="000A7A77">
      <w:pPr>
        <w:pStyle w:val="ListParagraph"/>
        <w:numPr>
          <w:ilvl w:val="0"/>
          <w:numId w:val="3"/>
        </w:numPr>
        <w:rPr>
          <w:color w:val="0000FF"/>
        </w:rPr>
      </w:pPr>
      <w:r w:rsidRPr="000A7A77">
        <w:rPr>
          <w:color w:val="0000FF"/>
        </w:rPr>
        <w:t>You can store currencies (and receive an interest rate for them)</w:t>
      </w:r>
    </w:p>
    <w:p w14:paraId="6F25E05D" w14:textId="7F8C0EA2" w:rsidR="000A7A77" w:rsidRDefault="000A7A77" w:rsidP="000A7A77">
      <w:pPr>
        <w:pStyle w:val="ListParagraph"/>
        <w:numPr>
          <w:ilvl w:val="0"/>
          <w:numId w:val="3"/>
        </w:numPr>
        <w:rPr>
          <w:color w:val="0000FF"/>
        </w:rPr>
      </w:pPr>
      <w:r>
        <w:rPr>
          <w:color w:val="0000FF"/>
        </w:rPr>
        <w:t>You can borrow &amp; short currencies (and pay an interest rate)</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p w14:paraId="248E6F3C" w14:textId="074E2253" w:rsidR="000A7A77" w:rsidRDefault="003757A1" w:rsidP="003757A1">
      <w:r>
        <w:t>Why is risk management more complex for an FX forwards risk manager than for an FX spot risk manager?</w:t>
      </w:r>
    </w:p>
    <w:p w14:paraId="5B876F3E" w14:textId="77777777" w:rsidR="000A7A77" w:rsidRDefault="000A7A77" w:rsidP="003757A1"/>
    <w:p w14:paraId="00A35A49" w14:textId="740B2879" w:rsidR="002A0256" w:rsidRDefault="002A0256" w:rsidP="003757A1">
      <w:pPr>
        <w:rPr>
          <w:color w:val="0000FF"/>
        </w:rPr>
      </w:pPr>
      <w:r>
        <w:rPr>
          <w:color w:val="0000FF"/>
        </w:rPr>
        <w:t>In general, p</w:t>
      </w:r>
      <w:r w:rsidR="000A7A77">
        <w:rPr>
          <w:color w:val="0000FF"/>
        </w:rPr>
        <w:t>ricing and risk management for forwards becomes more complex than for spot because of the tenor dimensi</w:t>
      </w:r>
      <w:r>
        <w:rPr>
          <w:color w:val="0000FF"/>
        </w:rPr>
        <w:t>on of a forward contract, i.e.</w:t>
      </w:r>
    </w:p>
    <w:p w14:paraId="75C373FD" w14:textId="7251B765" w:rsidR="000A7A77" w:rsidRPr="002A0256" w:rsidRDefault="002A0256" w:rsidP="002A0256">
      <w:pPr>
        <w:pStyle w:val="ListParagraph"/>
        <w:numPr>
          <w:ilvl w:val="0"/>
          <w:numId w:val="4"/>
        </w:numPr>
        <w:rPr>
          <w:color w:val="0000FF"/>
        </w:rPr>
      </w:pPr>
      <w:r w:rsidRPr="002A0256">
        <w:rPr>
          <w:color w:val="0000FF"/>
        </w:rPr>
        <w:t>N</w:t>
      </w:r>
      <w:r w:rsidR="000A7A77" w:rsidRPr="002A0256">
        <w:rPr>
          <w:color w:val="0000FF"/>
        </w:rPr>
        <w:t>ot every forward contract is fungible with every other.</w:t>
      </w:r>
    </w:p>
    <w:p w14:paraId="06186E72" w14:textId="60806238" w:rsidR="002A0256" w:rsidRDefault="002A0256" w:rsidP="002A0256">
      <w:pPr>
        <w:pStyle w:val="ListParagraph"/>
        <w:numPr>
          <w:ilvl w:val="0"/>
          <w:numId w:val="4"/>
        </w:numPr>
        <w:rPr>
          <w:color w:val="0000FF"/>
        </w:rPr>
      </w:pPr>
      <w:r>
        <w:rPr>
          <w:color w:val="0000FF"/>
        </w:rPr>
        <w:t>An FX forwards portfolio might contain forwards settling on many different dates.</w:t>
      </w:r>
    </w:p>
    <w:p w14:paraId="1ACA5DE2" w14:textId="76BAB529" w:rsidR="002A0256" w:rsidRPr="002A0256" w:rsidRDefault="002A0256" w:rsidP="002A0256">
      <w:pPr>
        <w:pStyle w:val="ListParagraph"/>
        <w:numPr>
          <w:ilvl w:val="0"/>
          <w:numId w:val="4"/>
        </w:numPr>
        <w:rPr>
          <w:color w:val="0000FF"/>
        </w:rPr>
      </w:pPr>
      <w:r>
        <w:rPr>
          <w:color w:val="0000FF"/>
        </w:rPr>
        <w:t xml:space="preserve">Extra risk like the difference between all-in forward prices and the spot price. </w:t>
      </w:r>
      <w:r w:rsidRPr="002A0256">
        <w:rPr>
          <w:color w:val="0000FF"/>
        </w:rPr>
        <w:t>Or equivalently, non-USD interest rates, but risk displayed in notional of FX swap equivalents</w:t>
      </w:r>
      <w:r>
        <w:rPr>
          <w:color w:val="0000FF"/>
        </w:rPr>
        <w:t xml:space="preserve">. </w:t>
      </w:r>
      <w:r w:rsidRPr="002A0256">
        <w:rPr>
          <w:color w:val="0000FF"/>
        </w:rPr>
        <w:t>Forwards traders also always monitor delta (risk to spot) but hedge that with their friends on the spot desk</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73C4D563" w14:textId="77777777" w:rsidR="002A0256" w:rsidRDefault="002A0256"/>
    <w:p w14:paraId="26DE2563" w14:textId="77777777" w:rsidR="002A0256" w:rsidRDefault="002A0256" w:rsidP="002A0256">
      <w:pPr>
        <w:rPr>
          <w:color w:val="0000FF"/>
        </w:rPr>
      </w:pPr>
      <w:r w:rsidRPr="002A0256">
        <w:rPr>
          <w:color w:val="0000FF"/>
        </w:rPr>
        <w:t xml:space="preserve">FX forward points depend on three market variables: the spot rate (though only weakly); the asset-currency interest rate; and the denominated-currency interest </w:t>
      </w:r>
      <w:r w:rsidRPr="002A0256">
        <w:rPr>
          <w:color w:val="0000FF"/>
        </w:rPr>
        <w:lastRenderedPageBreak/>
        <w:t>rate. One of the currencies is USD, since a cross currency forward can be represented in terms of the product or ratio of USD-pair forwards.</w:t>
      </w:r>
    </w:p>
    <w:p w14:paraId="0CE34DA3" w14:textId="77777777" w:rsidR="002A0256" w:rsidRPr="002A0256" w:rsidRDefault="002A0256" w:rsidP="002A0256">
      <w:pPr>
        <w:rPr>
          <w:color w:val="0000FF"/>
        </w:rPr>
      </w:pPr>
    </w:p>
    <w:p w14:paraId="613B1B98" w14:textId="6547C1D1" w:rsidR="002A0256" w:rsidRPr="002A0256" w:rsidRDefault="002A0256">
      <w:pPr>
        <w:rPr>
          <w:color w:val="0000FF"/>
        </w:rPr>
      </w:pPr>
      <w:r w:rsidRPr="002A0256">
        <w:rPr>
          <w:color w:val="0000FF"/>
        </w:rPr>
        <w:t>FX forward risk management is often viewed as equivalent to risk to the non-USD interest rate, because USD interest rate risk is normally managed separately, and the spot risk is managed through the portfolio’s delta position. The only dimension of risk that isn’t represented in other risk reports, then, is the non-USD interest rate risk.</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6A690C33" w:rsidR="003757A1" w:rsidRDefault="003757A1">
      <w:r>
        <w:t>Assume a portfolio has just one FX forward position in it, settling on a date T which lies between two benchmark settlement dates T</w:t>
      </w:r>
      <w:r w:rsidRPr="003757A1">
        <w:rPr>
          <w:vertAlign w:val="subscript"/>
        </w:rPr>
        <w:t>1</w:t>
      </w:r>
      <w:r>
        <w:t xml:space="preserve"> and T</w:t>
      </w:r>
      <w:r w:rsidRPr="003757A1">
        <w:rPr>
          <w:vertAlign w:val="subscript"/>
        </w:rPr>
        <w:t>2</w:t>
      </w:r>
      <w:r>
        <w:t>. Derive the notionals N</w:t>
      </w:r>
      <w:r w:rsidRPr="003757A1">
        <w:rPr>
          <w:vertAlign w:val="subscript"/>
        </w:rPr>
        <w:t>1</w:t>
      </w:r>
      <w:r>
        <w:t xml:space="preserve"> and N</w:t>
      </w:r>
      <w:r w:rsidRPr="003757A1">
        <w:rPr>
          <w:vertAlign w:val="subscript"/>
        </w:rPr>
        <w:t>2</w:t>
      </w:r>
      <w:r>
        <w:t xml:space="preserve"> of the benchmark forwards which hedge the portfolio risk assuming triangle shocks to the benchmark non-USD int</w:t>
      </w:r>
      <w:r w:rsidR="00951FFB">
        <w:t>erest rates, as shown on page 21</w:t>
      </w:r>
      <w:r>
        <w:t xml:space="preserve"> of the lecture notes.</w:t>
      </w:r>
    </w:p>
    <w:p w14:paraId="0284CEB8" w14:textId="77777777" w:rsidR="003757A1" w:rsidRDefault="003757A1"/>
    <w:p w14:paraId="1C51B782" w14:textId="77777777" w:rsidR="0062217F" w:rsidRPr="0062217F" w:rsidRDefault="0062217F" w:rsidP="0062217F">
      <w:pPr>
        <w:rPr>
          <w:color w:val="0000FF"/>
        </w:rPr>
      </w:pPr>
      <w:r w:rsidRPr="0062217F">
        <w:rPr>
          <w:color w:val="0000FF"/>
        </w:rPr>
        <w:t>Start with expression for the price of a forward contract with settlement time T and strike K, then take partial derivative with respect to Q:</w:t>
      </w:r>
    </w:p>
    <w:p w14:paraId="4DF7917D" w14:textId="2D953AAF" w:rsidR="0062217F" w:rsidRDefault="0062217F" w:rsidP="0062217F">
      <w:pPr>
        <w:jc w:val="center"/>
        <w:rPr>
          <w:color w:val="0000FF"/>
        </w:rPr>
      </w:pPr>
      <w:r w:rsidRPr="0062217F">
        <w:rPr>
          <w:color w:val="0000FF"/>
          <w:position w:val="-6"/>
        </w:rPr>
        <w:object w:dxaOrig="1680" w:dyaOrig="320" w14:anchorId="77DFC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pt;height:16pt" o:ole="">
            <v:imagedata r:id="rId8" o:title=""/>
          </v:shape>
          <o:OLEObject Type="Embed" ProgID="Equation.3" ShapeID="_x0000_i1029" DrawAspect="Content" ObjectID="_1377779280" r:id="rId9"/>
        </w:object>
      </w:r>
    </w:p>
    <w:p w14:paraId="406009EE" w14:textId="2F619756" w:rsidR="0062217F" w:rsidRDefault="0062217F" w:rsidP="0062217F">
      <w:pPr>
        <w:jc w:val="center"/>
        <w:rPr>
          <w:color w:val="0000FF"/>
        </w:rPr>
      </w:pPr>
      <w:r w:rsidRPr="009078B7">
        <w:rPr>
          <w:position w:val="-28"/>
        </w:rPr>
        <w:object w:dxaOrig="1400" w:dyaOrig="660" w14:anchorId="38BFC126">
          <v:shape id="_x0000_i1038" type="#_x0000_t75" style="width:70pt;height:33pt" o:ole="">
            <v:imagedata r:id="rId10" o:title=""/>
          </v:shape>
          <o:OLEObject Type="Embed" ProgID="Equation.3" ShapeID="_x0000_i1038" DrawAspect="Content" ObjectID="_1377779281" r:id="rId11"/>
        </w:object>
      </w:r>
    </w:p>
    <w:p w14:paraId="237DE25F" w14:textId="5693B97E" w:rsidR="0062217F" w:rsidRDefault="0062217F" w:rsidP="0062217F">
      <w:pPr>
        <w:rPr>
          <w:color w:val="0000FF"/>
        </w:rPr>
      </w:pPr>
      <w:r>
        <w:rPr>
          <w:color w:val="0000FF"/>
        </w:rPr>
        <w:t>In order to hedge the risk to zero coupon bond rate for asset currency Q, we have following formulas</w:t>
      </w:r>
    </w:p>
    <w:p w14:paraId="7C3FE884" w14:textId="7FA2C12B" w:rsidR="0062217F" w:rsidRPr="0062217F" w:rsidRDefault="002E0300" w:rsidP="0062217F">
      <w:pPr>
        <w:jc w:val="center"/>
        <w:rPr>
          <w:color w:val="0000FF"/>
        </w:rPr>
      </w:pPr>
      <w:r w:rsidRPr="009078B7">
        <w:rPr>
          <w:position w:val="-28"/>
        </w:rPr>
        <w:object w:dxaOrig="2080" w:dyaOrig="660" w14:anchorId="3C6B68DD">
          <v:shape id="_x0000_i1049" type="#_x0000_t75" style="width:104pt;height:33pt" o:ole="">
            <v:imagedata r:id="rId12" o:title=""/>
          </v:shape>
          <o:OLEObject Type="Embed" ProgID="Equation.3" ShapeID="_x0000_i1049" DrawAspect="Content" ObjectID="_1377779282" r:id="rId13"/>
        </w:object>
      </w:r>
    </w:p>
    <w:p w14:paraId="3D739C54" w14:textId="1D701A58" w:rsidR="002E0300" w:rsidRPr="002E0300" w:rsidRDefault="002E0300">
      <w:pPr>
        <w:rPr>
          <w:color w:val="0000FF"/>
        </w:rPr>
      </w:pPr>
      <w:r>
        <w:rPr>
          <w:color w:val="0000FF"/>
        </w:rPr>
        <w:t>Plug in the first formula into the formula above, we will be able to derive</w:t>
      </w:r>
    </w:p>
    <w:p w14:paraId="44262627" w14:textId="22792AEA" w:rsidR="002E0300" w:rsidRDefault="0015140E" w:rsidP="002E0300">
      <w:pPr>
        <w:jc w:val="center"/>
      </w:pPr>
      <w:r w:rsidRPr="002E0300">
        <w:rPr>
          <w:position w:val="-10"/>
        </w:rPr>
        <w:object w:dxaOrig="4120" w:dyaOrig="360" w14:anchorId="12BE1D5D">
          <v:shape id="_x0000_i1068" type="#_x0000_t75" style="width:206pt;height:18pt" o:ole="">
            <v:imagedata r:id="rId14" o:title=""/>
          </v:shape>
          <o:OLEObject Type="Embed" ProgID="Equation.3" ShapeID="_x0000_i1068" DrawAspect="Content" ObjectID="_1377779283" r:id="rId15"/>
        </w:object>
      </w:r>
    </w:p>
    <w:p w14:paraId="1D69FD23" w14:textId="77777777" w:rsidR="0015140E" w:rsidRDefault="0015140E">
      <w:pPr>
        <w:rPr>
          <w:color w:val="0000FF"/>
        </w:rPr>
      </w:pPr>
    </w:p>
    <w:p w14:paraId="54608109" w14:textId="45C1DDB9" w:rsidR="0015140E" w:rsidRDefault="002E0300">
      <w:pPr>
        <w:rPr>
          <w:color w:val="0000FF"/>
        </w:rPr>
      </w:pPr>
      <w:r>
        <w:rPr>
          <w:color w:val="0000FF"/>
        </w:rPr>
        <w:t>In order to let this formula hold, we can match the terms at both sides by setting two notionals</w:t>
      </w:r>
      <w:r w:rsidR="0015140E">
        <w:rPr>
          <w:color w:val="0000FF"/>
        </w:rPr>
        <w:t xml:space="preserve">. Firstly, to eliminate the exponential terms, there would be </w:t>
      </w:r>
      <w:r w:rsidR="0015140E" w:rsidRPr="0015140E">
        <w:rPr>
          <w:position w:val="-6"/>
        </w:rPr>
        <w:object w:dxaOrig="680" w:dyaOrig="320" w14:anchorId="0F4BC509">
          <v:shape id="_x0000_i1066" type="#_x0000_t75" style="width:34pt;height:16pt" o:ole="">
            <v:imagedata r:id="rId16" o:title=""/>
          </v:shape>
          <o:OLEObject Type="Embed" ProgID="Equation.3" ShapeID="_x0000_i1066" DrawAspect="Content" ObjectID="_1377779284" r:id="rId17"/>
        </w:object>
      </w:r>
      <w:r w:rsidR="0015140E">
        <w:rPr>
          <w:color w:val="0000FF"/>
        </w:rPr>
        <w:t xml:space="preserve"> inside </w:t>
      </w:r>
      <w:r w:rsidR="0015140E" w:rsidRPr="009078B7">
        <w:rPr>
          <w:position w:val="-10"/>
        </w:rPr>
        <w:object w:dxaOrig="300" w:dyaOrig="320" w14:anchorId="1F5F2637">
          <v:shape id="_x0000_i1069" type="#_x0000_t75" style="width:15pt;height:16pt" o:ole="">
            <v:imagedata r:id="rId18" o:title=""/>
          </v:shape>
          <o:OLEObject Type="Embed" ProgID="Equation.3" ShapeID="_x0000_i1069" DrawAspect="Content" ObjectID="_1377779285" r:id="rId19"/>
        </w:object>
      </w:r>
      <w:r w:rsidR="0015140E">
        <w:t xml:space="preserve"> </w:t>
      </w:r>
      <w:r w:rsidR="0015140E">
        <w:rPr>
          <w:color w:val="0000FF"/>
        </w:rPr>
        <w:t xml:space="preserve">and </w:t>
      </w:r>
      <w:r w:rsidR="0015140E" w:rsidRPr="0015140E">
        <w:rPr>
          <w:position w:val="-6"/>
        </w:rPr>
        <w:object w:dxaOrig="700" w:dyaOrig="320" w14:anchorId="3D3AB084">
          <v:shape id="_x0000_i1073" type="#_x0000_t75" style="width:35pt;height:16pt" o:ole="">
            <v:imagedata r:id="rId20" o:title=""/>
          </v:shape>
          <o:OLEObject Type="Embed" ProgID="Equation.3" ShapeID="_x0000_i1073" DrawAspect="Content" ObjectID="_1377779286" r:id="rId21"/>
        </w:object>
      </w:r>
      <w:r w:rsidR="0015140E">
        <w:t xml:space="preserve"> </w:t>
      </w:r>
      <w:r w:rsidR="0015140E" w:rsidRPr="0015140E">
        <w:rPr>
          <w:color w:val="0000FF"/>
        </w:rPr>
        <w:t>inside</w:t>
      </w:r>
      <w:r w:rsidR="0015140E">
        <w:t xml:space="preserve"> </w:t>
      </w:r>
      <w:r w:rsidR="0015140E" w:rsidRPr="009078B7">
        <w:rPr>
          <w:position w:val="-10"/>
        </w:rPr>
        <w:object w:dxaOrig="340" w:dyaOrig="320" w14:anchorId="22247266">
          <v:shape id="_x0000_i1077" type="#_x0000_t75" style="width:17pt;height:16pt" o:ole="">
            <v:imagedata r:id="rId22" o:title=""/>
          </v:shape>
          <o:OLEObject Type="Embed" ProgID="Equation.3" ShapeID="_x0000_i1077" DrawAspect="Content" ObjectID="_1377779287" r:id="rId23"/>
        </w:object>
      </w:r>
      <w:r w:rsidR="0015140E">
        <w:rPr>
          <w:color w:val="0000FF"/>
        </w:rPr>
        <w:t>. Then what we will have would be</w:t>
      </w:r>
    </w:p>
    <w:p w14:paraId="3963CC76" w14:textId="1D791F94" w:rsidR="0015140E" w:rsidRDefault="0015140E" w:rsidP="0015140E">
      <w:pPr>
        <w:jc w:val="center"/>
      </w:pPr>
      <w:r w:rsidRPr="002E0300">
        <w:rPr>
          <w:position w:val="-10"/>
        </w:rPr>
        <w:object w:dxaOrig="2380" w:dyaOrig="320" w14:anchorId="6D34CBBE">
          <v:shape id="_x0000_i1094" type="#_x0000_t75" style="width:119pt;height:16pt" o:ole="">
            <v:imagedata r:id="rId24" o:title=""/>
          </v:shape>
          <o:OLEObject Type="Embed" ProgID="Equation.3" ShapeID="_x0000_i1094" DrawAspect="Content" ObjectID="_1377779288" r:id="rId25"/>
        </w:object>
      </w:r>
    </w:p>
    <w:p w14:paraId="2A2F6CC8" w14:textId="19565116" w:rsidR="0015140E" w:rsidRDefault="0015140E" w:rsidP="0015140E">
      <w:pPr>
        <w:rPr>
          <w:color w:val="0000FF"/>
        </w:rPr>
      </w:pPr>
      <w:r>
        <w:rPr>
          <w:color w:val="0000FF"/>
        </w:rPr>
        <w:t xml:space="preserve">where </w:t>
      </w:r>
      <w:r w:rsidRPr="009078B7">
        <w:rPr>
          <w:position w:val="-10"/>
        </w:rPr>
        <w:object w:dxaOrig="1500" w:dyaOrig="360" w14:anchorId="179E1744">
          <v:shape id="_x0000_i1122" type="#_x0000_t75" style="width:75pt;height:18pt" o:ole="">
            <v:imagedata r:id="rId26" o:title=""/>
          </v:shape>
          <o:OLEObject Type="Embed" ProgID="Equation.3" ShapeID="_x0000_i1122" DrawAspect="Content" ObjectID="_1377779289" r:id="rId27"/>
        </w:object>
      </w:r>
      <w:r>
        <w:t xml:space="preserve"> </w:t>
      </w:r>
      <w:r>
        <w:rPr>
          <w:color w:val="0000FF"/>
        </w:rPr>
        <w:t xml:space="preserve">and similarly to </w:t>
      </w:r>
      <w:r w:rsidRPr="009078B7">
        <w:rPr>
          <w:position w:val="-10"/>
        </w:rPr>
        <w:object w:dxaOrig="280" w:dyaOrig="320" w14:anchorId="709969D1">
          <v:shape id="_x0000_i1108" type="#_x0000_t75" style="width:14pt;height:16pt" o:ole="">
            <v:imagedata r:id="rId28" o:title=""/>
          </v:shape>
          <o:OLEObject Type="Embed" ProgID="Equation.3" ShapeID="_x0000_i1108" DrawAspect="Content" ObjectID="_1377779290" r:id="rId29"/>
        </w:object>
      </w:r>
      <w:r>
        <w:rPr>
          <w:color w:val="0000FF"/>
        </w:rPr>
        <w:t>. Obviously next step we could see</w:t>
      </w:r>
    </w:p>
    <w:p w14:paraId="0AAC917E" w14:textId="717609BA" w:rsidR="0015140E" w:rsidRDefault="0015140E" w:rsidP="0015140E">
      <w:pPr>
        <w:jc w:val="center"/>
      </w:pPr>
      <w:r w:rsidRPr="0015140E">
        <w:rPr>
          <w:position w:val="-30"/>
        </w:rPr>
        <w:object w:dxaOrig="2780" w:dyaOrig="680" w14:anchorId="0CCEB803">
          <v:shape id="_x0000_i1116" type="#_x0000_t75" style="width:139pt;height:34pt" o:ole="">
            <v:imagedata r:id="rId30" o:title=""/>
          </v:shape>
          <o:OLEObject Type="Embed" ProgID="Equation.3" ShapeID="_x0000_i1116" DrawAspect="Content" ObjectID="_1377779291" r:id="rId31"/>
        </w:object>
      </w:r>
    </w:p>
    <w:p w14:paraId="37993E19" w14:textId="72D9F39A" w:rsidR="0015140E" w:rsidRPr="0015140E" w:rsidRDefault="0015140E" w:rsidP="0015140E">
      <w:pPr>
        <w:rPr>
          <w:color w:val="0000FF"/>
        </w:rPr>
      </w:pPr>
      <w:r>
        <w:rPr>
          <w:color w:val="0000FF"/>
        </w:rPr>
        <w:t>Therefore,</w:t>
      </w:r>
    </w:p>
    <w:p w14:paraId="47BFA000" w14:textId="04A6EF0D" w:rsidR="0015140E" w:rsidRPr="0015140E" w:rsidRDefault="0015140E" w:rsidP="0015140E">
      <w:pPr>
        <w:jc w:val="center"/>
      </w:pPr>
      <w:r w:rsidRPr="0015140E">
        <w:rPr>
          <w:position w:val="-64"/>
        </w:rPr>
        <w:object w:dxaOrig="2120" w:dyaOrig="1380" w14:anchorId="1DDB6463">
          <v:shape id="_x0000_i1126" type="#_x0000_t75" style="width:106pt;height:69pt" o:ole="">
            <v:imagedata r:id="rId32" o:title=""/>
          </v:shape>
          <o:OLEObject Type="Embed" ProgID="Equation.3" ShapeID="_x0000_i1126" DrawAspect="Content" ObjectID="_1377779292" r:id="rId33"/>
        </w:object>
      </w:r>
    </w:p>
    <w:p w14:paraId="3C469037" w14:textId="7AB44136" w:rsidR="002E0300" w:rsidRPr="002E0300" w:rsidRDefault="0015140E">
      <w:pPr>
        <w:rPr>
          <w:color w:val="0000FF"/>
        </w:rPr>
      </w:pPr>
      <w:r>
        <w:rPr>
          <w:color w:val="0000FF"/>
        </w:rPr>
        <w:t>is what expected on page 21 of the lecture notes.</w:t>
      </w:r>
    </w:p>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28DBFBE8" w14:textId="77777777" w:rsidR="00A07611" w:rsidRDefault="00A07611"/>
    <w:p w14:paraId="52AFA0F8" w14:textId="5D202C22" w:rsidR="00A07611" w:rsidRDefault="00A07611" w:rsidP="00A07611">
      <w:pPr>
        <w:rPr>
          <w:color w:val="0000FF"/>
        </w:rPr>
      </w:pPr>
      <w:r>
        <w:rPr>
          <w:color w:val="0000FF"/>
        </w:rPr>
        <w:t xml:space="preserve">PCA: </w:t>
      </w:r>
      <w:r w:rsidRPr="00A07611">
        <w:rPr>
          <w:color w:val="0000FF"/>
        </w:rPr>
        <w:t>Look for most important (non-parametric) shocks that tend to drive moves in the whole curve</w:t>
      </w:r>
      <w:r>
        <w:rPr>
          <w:color w:val="0000FF"/>
        </w:rPr>
        <w:t xml:space="preserve">, e.g. </w:t>
      </w:r>
      <w:r w:rsidRPr="00A07611">
        <w:rPr>
          <w:color w:val="0000FF"/>
        </w:rPr>
        <w:t>parallel shift, tilt move, bend move, etc</w:t>
      </w:r>
      <w:r>
        <w:rPr>
          <w:color w:val="0000FF"/>
        </w:rPr>
        <w:t>.</w:t>
      </w:r>
    </w:p>
    <w:p w14:paraId="405A23E7" w14:textId="77777777" w:rsidR="00A07611" w:rsidRPr="00A07611" w:rsidRDefault="00A07611" w:rsidP="00A07611">
      <w:pPr>
        <w:rPr>
          <w:color w:val="0000FF"/>
        </w:rPr>
      </w:pPr>
    </w:p>
    <w:p w14:paraId="2A7108FB" w14:textId="216444A3" w:rsidR="00A07611" w:rsidRDefault="00A07611" w:rsidP="00A07611">
      <w:pPr>
        <w:rPr>
          <w:color w:val="0000FF"/>
        </w:rPr>
      </w:pPr>
      <w:r>
        <w:rPr>
          <w:color w:val="0000FF"/>
        </w:rPr>
        <w:t>Factor Model: A formal model to predict observed variables from theoretical latent factors, i.e. Brownian motions is often viewed as more natural models for interest rates.</w:t>
      </w:r>
    </w:p>
    <w:p w14:paraId="1EA9DD16" w14:textId="77777777" w:rsidR="00A07611" w:rsidRDefault="00A07611" w:rsidP="00A07611">
      <w:pPr>
        <w:rPr>
          <w:color w:val="0000FF"/>
        </w:rPr>
      </w:pPr>
    </w:p>
    <w:p w14:paraId="75934D7C" w14:textId="15198848" w:rsidR="00A07611" w:rsidRDefault="00A07611" w:rsidP="00A07611">
      <w:pPr>
        <w:rPr>
          <w:color w:val="0000FF"/>
        </w:rPr>
      </w:pPr>
      <w:r>
        <w:rPr>
          <w:color w:val="0000FF"/>
        </w:rPr>
        <w:t xml:space="preserve">Difference – </w:t>
      </w:r>
    </w:p>
    <w:p w14:paraId="19474D45" w14:textId="77777777" w:rsidR="009B47BD" w:rsidRDefault="00A07611" w:rsidP="00A07611">
      <w:pPr>
        <w:pStyle w:val="ListParagraph"/>
        <w:widowControl w:val="0"/>
        <w:numPr>
          <w:ilvl w:val="0"/>
          <w:numId w:val="11"/>
        </w:numPr>
        <w:autoSpaceDE w:val="0"/>
        <w:autoSpaceDN w:val="0"/>
        <w:adjustRightInd w:val="0"/>
        <w:spacing w:after="240"/>
        <w:rPr>
          <w:color w:val="0000FF"/>
        </w:rPr>
      </w:pPr>
      <w:r w:rsidRPr="00A07611">
        <w:rPr>
          <w:color w:val="0000FF"/>
        </w:rPr>
        <w:t>PCA is picking off the component shocks (eigenfunctions of the covariance matrix) corresponding to the largest eigenvalues of the covariance matrix, while factor model is formulate a model with common factors that scientists think are important.</w:t>
      </w:r>
    </w:p>
    <w:p w14:paraId="7731FE70" w14:textId="77777777" w:rsidR="009B47BD" w:rsidRDefault="00A07611" w:rsidP="00A07611">
      <w:pPr>
        <w:pStyle w:val="ListParagraph"/>
        <w:widowControl w:val="0"/>
        <w:numPr>
          <w:ilvl w:val="0"/>
          <w:numId w:val="11"/>
        </w:numPr>
        <w:autoSpaceDE w:val="0"/>
        <w:autoSpaceDN w:val="0"/>
        <w:adjustRightInd w:val="0"/>
        <w:spacing w:after="240"/>
        <w:rPr>
          <w:color w:val="0000FF"/>
        </w:rPr>
      </w:pPr>
      <w:r w:rsidRPr="009B47BD">
        <w:rPr>
          <w:color w:val="0000FF"/>
        </w:rPr>
        <w:t>In PCA</w:t>
      </w:r>
      <w:r w:rsidRPr="009B47BD">
        <w:rPr>
          <w:rFonts w:hAnsi="Calibri"/>
          <w:color w:val="000000" w:themeColor="text1"/>
          <w:kern w:val="24"/>
          <w:sz w:val="44"/>
          <w:szCs w:val="44"/>
        </w:rPr>
        <w:t xml:space="preserve"> </w:t>
      </w:r>
      <w:r w:rsidRPr="009B47BD">
        <w:rPr>
          <w:color w:val="0000FF"/>
        </w:rPr>
        <w:t>non-parametric shocks are hard to understand properly and can have unusual shapes due to specific data points in the history you’re using</w:t>
      </w:r>
      <w:r w:rsidR="009B47BD">
        <w:rPr>
          <w:color w:val="0000FF"/>
        </w:rPr>
        <w:t xml:space="preserve">. </w:t>
      </w:r>
    </w:p>
    <w:p w14:paraId="5940165B" w14:textId="77777777" w:rsidR="009B47BD" w:rsidRDefault="009B47BD" w:rsidP="009B47BD">
      <w:pPr>
        <w:pStyle w:val="ListParagraph"/>
        <w:widowControl w:val="0"/>
        <w:autoSpaceDE w:val="0"/>
        <w:autoSpaceDN w:val="0"/>
        <w:adjustRightInd w:val="0"/>
        <w:spacing w:after="240"/>
        <w:rPr>
          <w:color w:val="0000FF"/>
        </w:rPr>
      </w:pPr>
      <w:r>
        <w:rPr>
          <w:color w:val="0000FF"/>
        </w:rPr>
        <w:t>W</w:t>
      </w:r>
      <w:r w:rsidR="00A07611" w:rsidRPr="009B47BD">
        <w:rPr>
          <w:color w:val="0000FF"/>
        </w:rPr>
        <w:t xml:space="preserve">hile in factor model parameters can be calculated once and stored so that you get consistent shocks, or recalculated each day. </w:t>
      </w:r>
    </w:p>
    <w:p w14:paraId="6271E0ED" w14:textId="632DD019" w:rsidR="003757A1" w:rsidRPr="009B47BD" w:rsidRDefault="009B47BD" w:rsidP="009B47BD">
      <w:pPr>
        <w:pStyle w:val="ListParagraph"/>
        <w:widowControl w:val="0"/>
        <w:numPr>
          <w:ilvl w:val="0"/>
          <w:numId w:val="11"/>
        </w:numPr>
        <w:autoSpaceDE w:val="0"/>
        <w:autoSpaceDN w:val="0"/>
        <w:adjustRightInd w:val="0"/>
        <w:spacing w:after="240"/>
        <w:rPr>
          <w:color w:val="0000FF"/>
        </w:rPr>
      </w:pPr>
      <w:r>
        <w:rPr>
          <w:color w:val="0000FF"/>
        </w:rPr>
        <w:t>In PCA n</w:t>
      </w:r>
      <w:r w:rsidRPr="009B47BD">
        <w:rPr>
          <w:color w:val="0000FF"/>
        </w:rPr>
        <w:t>on-parametric shock shap</w:t>
      </w:r>
      <w:r w:rsidRPr="009B47BD">
        <w:rPr>
          <w:color w:val="0000FF"/>
        </w:rPr>
        <w:t>es change over time</w:t>
      </w:r>
      <w:r>
        <w:rPr>
          <w:color w:val="0000FF"/>
        </w:rPr>
        <w:t>, which make traders unsure what their risk numbers mean. In factor model, it is usually using</w:t>
      </w:r>
      <w:r w:rsidRPr="009B47BD">
        <w:rPr>
          <w:color w:val="0000FF"/>
        </w:rPr>
        <w:t xml:space="preserve"> a</w:t>
      </w:r>
      <w:r>
        <w:rPr>
          <w:color w:val="0000FF"/>
        </w:rPr>
        <w:t xml:space="preserve"> fixed set of parameters, then</w:t>
      </w:r>
      <w:r w:rsidRPr="009B47BD">
        <w:rPr>
          <w:color w:val="0000FF"/>
        </w:rPr>
        <w:t xml:space="preserve"> the factor shocks are consistent from day to day, since that makes it easier for traders to understand the risk they’re looking at.</w:t>
      </w:r>
    </w:p>
    <w:p w14:paraId="29CC15AB" w14:textId="77777777" w:rsidR="003757A1" w:rsidRPr="001941E9" w:rsidRDefault="001941E9">
      <w:pPr>
        <w:rPr>
          <w:b/>
        </w:rPr>
      </w:pPr>
      <w:r w:rsidRPr="001941E9">
        <w:rPr>
          <w:b/>
        </w:rPr>
        <w:t>Question 6 (10 marks)</w:t>
      </w:r>
    </w:p>
    <w:p w14:paraId="15680A7B" w14:textId="77777777" w:rsidR="001941E9" w:rsidRDefault="001941E9"/>
    <w:p w14:paraId="5366BD7D" w14:textId="77777777" w:rsidR="001941E9" w:rsidRDefault="001941E9">
      <w:r>
        <w:t>This programming question will try to determine whether using a factor-based approach to reducing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Q</w:t>
      </w:r>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You will try three different hedging strategies: one where you choose the hedge notionals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notionals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The result should show that setting hedge notionals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Add in the hedges: two forwards, settling at times T1 and T2, with notionals set to hedge the portfolio (either against the two triangle shocks or against the two factor shocks).</w:t>
      </w:r>
      <w:r w:rsidR="002D09BC">
        <w:t xml:space="preserve"> Don’t bother adding the hedges in the third hedge scenario where we leave the portfolio unhedged.</w:t>
      </w:r>
    </w:p>
    <w:p w14:paraId="7FE55976" w14:textId="273DD552" w:rsidR="00F2436B" w:rsidRDefault="00F2436B" w:rsidP="00F2436B">
      <w:pPr>
        <w:pStyle w:val="ListParagraph"/>
        <w:numPr>
          <w:ilvl w:val="0"/>
          <w:numId w:val="1"/>
        </w:numPr>
      </w:pPr>
      <w:r>
        <w:t xml:space="preserve">Simulate the portfolio forward a time dt=0.001y.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t>Then construct the PNL distributions for the three hedging approaches. The unhedged version is the benchmark: you should compare how much more effectively the PNL standard deviation is reduced by hedging according to the true factors vs hedging according to the ad hoc triangle shocks.</w:t>
      </w:r>
    </w:p>
    <w:p w14:paraId="5DA6BB9A" w14:textId="77777777" w:rsidR="002D09BC" w:rsidRDefault="002D09BC" w:rsidP="002D09BC"/>
    <w:p w14:paraId="6077F0CA" w14:textId="3C58BC7F" w:rsidR="002D09BC" w:rsidRDefault="002D09BC" w:rsidP="002D09BC">
      <w:r>
        <w:t>Do this for all the values of T listed above, and discuss your results.</w:t>
      </w:r>
    </w:p>
    <w:p w14:paraId="6D46C05F" w14:textId="5B05F4BD" w:rsidR="002D09BC" w:rsidRDefault="002D09BC" w:rsidP="002D09BC"/>
    <w:p w14:paraId="4A8E9D8A" w14:textId="07650D30" w:rsidR="009B47BD" w:rsidRDefault="009B47BD" w:rsidP="002D09BC">
      <w:pPr>
        <w:rPr>
          <w:color w:val="0000FF"/>
        </w:rPr>
      </w:pPr>
      <w:r>
        <w:rPr>
          <w:color w:val="0000FF"/>
        </w:rPr>
        <w:t xml:space="preserve">Below are the outputs of the program – </w:t>
      </w:r>
    </w:p>
    <w:p w14:paraId="5C3EA474" w14:textId="77777777" w:rsidR="009B47BD" w:rsidRDefault="009B47BD" w:rsidP="002D09BC">
      <w:pPr>
        <w:rPr>
          <w:color w:val="0000FF"/>
        </w:rPr>
      </w:pPr>
    </w:p>
    <w:p w14:paraId="0BCC10C4"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0.1</w:t>
      </w:r>
    </w:p>
    <w:p w14:paraId="2EABF5C9"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0.303593126738</w:t>
      </w:r>
    </w:p>
    <w:p w14:paraId="1600FDE8"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0.0203926849675</w:t>
      </w:r>
    </w:p>
    <w:p w14:paraId="3F19779C"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3.74297299435e-06</w:t>
      </w:r>
    </w:p>
    <w:p w14:paraId="4F0E7CB4"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0.25</w:t>
      </w:r>
    </w:p>
    <w:p w14:paraId="79D2E7D8"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0.719778670233</w:t>
      </w:r>
    </w:p>
    <w:p w14:paraId="2B153D3C"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0.0</w:t>
      </w:r>
    </w:p>
    <w:p w14:paraId="68DAF2B2"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2.19904427193e-16</w:t>
      </w:r>
    </w:p>
    <w:p w14:paraId="329D96F1"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0.5</w:t>
      </w:r>
    </w:p>
    <w:p w14:paraId="62B47430"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1.30794039015</w:t>
      </w:r>
    </w:p>
    <w:p w14:paraId="3FDA5112"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0.0179234319382</w:t>
      </w:r>
    </w:p>
    <w:p w14:paraId="3564EE24"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1.34569899252e-05</w:t>
      </w:r>
    </w:p>
    <w:p w14:paraId="7C10A34E"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0.75</w:t>
      </w:r>
    </w:p>
    <w:p w14:paraId="2555EB70"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1.81743722708</w:t>
      </w:r>
    </w:p>
    <w:p w14:paraId="6C35E427"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0.0257088746378</w:t>
      </w:r>
    </w:p>
    <w:p w14:paraId="6A7E9C69"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1.73707830776e-05</w:t>
      </w:r>
    </w:p>
    <w:p w14:paraId="164345E2"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1</w:t>
      </w:r>
    </w:p>
    <w:p w14:paraId="2DDCAB7F"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2.26298300851</w:t>
      </w:r>
    </w:p>
    <w:p w14:paraId="05ABEA0D"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0.0</w:t>
      </w:r>
    </w:p>
    <w:p w14:paraId="2F3EB011"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2.00560585855e-15</w:t>
      </w:r>
    </w:p>
    <w:p w14:paraId="12F5509F"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Value of Tenor: 2</w:t>
      </w:r>
    </w:p>
    <w:p w14:paraId="6822B26F"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Non-hedging strategy PNL std: 3.63306417728</w:t>
      </w:r>
    </w:p>
    <w:p w14:paraId="162441E4" w14:textId="77777777" w:rsidR="009B47BD" w:rsidRPr="009B47BD" w:rsidRDefault="009B47BD" w:rsidP="009B47BD">
      <w:pPr>
        <w:widowControl w:val="0"/>
        <w:autoSpaceDE w:val="0"/>
        <w:autoSpaceDN w:val="0"/>
        <w:adjustRightInd w:val="0"/>
        <w:rPr>
          <w:rFonts w:ascii="Menlo Regular" w:hAnsi="Menlo Regular" w:cs="Menlo Regular"/>
          <w:color w:val="0000FF"/>
          <w:sz w:val="22"/>
          <w:szCs w:val="22"/>
        </w:rPr>
      </w:pPr>
      <w:r w:rsidRPr="009B47BD">
        <w:rPr>
          <w:rFonts w:ascii="Menlo Regular" w:hAnsi="Menlo Regular" w:cs="Menlo Regular"/>
          <w:color w:val="0000FF"/>
          <w:sz w:val="22"/>
          <w:szCs w:val="22"/>
        </w:rPr>
        <w:tab/>
        <w:t>Triangle-hedging strategy PNL std: 1.31276451678</w:t>
      </w:r>
    </w:p>
    <w:p w14:paraId="4AB794EC" w14:textId="08007B15" w:rsidR="009B47BD" w:rsidRDefault="009B47BD" w:rsidP="009B47BD">
      <w:pPr>
        <w:rPr>
          <w:rFonts w:ascii="Menlo Regular" w:hAnsi="Menlo Regular" w:cs="Menlo Regular"/>
          <w:color w:val="0000FF"/>
          <w:sz w:val="22"/>
          <w:szCs w:val="22"/>
        </w:rPr>
      </w:pPr>
      <w:r w:rsidRPr="009B47BD">
        <w:rPr>
          <w:rFonts w:ascii="Menlo Regular" w:hAnsi="Menlo Regular" w:cs="Menlo Regular"/>
          <w:color w:val="0000FF"/>
          <w:sz w:val="22"/>
          <w:szCs w:val="22"/>
        </w:rPr>
        <w:tab/>
        <w:t>Factor-hedging strategy PNL std: 0.000333222588875</w:t>
      </w:r>
    </w:p>
    <w:p w14:paraId="2732D546" w14:textId="77777777" w:rsidR="009B47BD" w:rsidRDefault="009B47BD" w:rsidP="009B47BD">
      <w:pPr>
        <w:rPr>
          <w:rFonts w:ascii="Menlo Regular" w:hAnsi="Menlo Regular" w:cs="Menlo Regular"/>
          <w:color w:val="0000FF"/>
          <w:sz w:val="22"/>
          <w:szCs w:val="22"/>
        </w:rPr>
      </w:pPr>
    </w:p>
    <w:p w14:paraId="2E175315" w14:textId="430EC1EC" w:rsidR="009B47BD" w:rsidRDefault="009B47BD" w:rsidP="009B47BD">
      <w:pPr>
        <w:rPr>
          <w:color w:val="0000FF"/>
        </w:rPr>
      </w:pPr>
      <w:r>
        <w:rPr>
          <w:color w:val="0000FF"/>
        </w:rPr>
        <w:t xml:space="preserve">Conclusion: </w:t>
      </w:r>
      <w:r w:rsidRPr="009B47BD">
        <w:rPr>
          <w:color w:val="0000FF"/>
        </w:rPr>
        <w:t>Obviously</w:t>
      </w:r>
      <w:r>
        <w:rPr>
          <w:color w:val="0000FF"/>
        </w:rPr>
        <w:t xml:space="preserve">, at any tenors, </w:t>
      </w:r>
      <w:r w:rsidRPr="009B47BD">
        <w:rPr>
          <w:color w:val="0000FF"/>
        </w:rPr>
        <w:t>setting hedge notionals based o</w:t>
      </w:r>
      <w:r>
        <w:rPr>
          <w:color w:val="0000FF"/>
        </w:rPr>
        <w:t xml:space="preserve">n the true factor shocks </w:t>
      </w:r>
      <w:r w:rsidRPr="009B47BD">
        <w:rPr>
          <w:color w:val="0000FF"/>
        </w:rPr>
        <w:t>provide</w:t>
      </w:r>
      <w:r>
        <w:rPr>
          <w:color w:val="0000FF"/>
        </w:rPr>
        <w:t>s the</w:t>
      </w:r>
      <w:r w:rsidRPr="009B47BD">
        <w:rPr>
          <w:color w:val="0000FF"/>
        </w:rPr>
        <w:t xml:space="preserve"> </w:t>
      </w:r>
      <w:r>
        <w:rPr>
          <w:color w:val="0000FF"/>
        </w:rPr>
        <w:t>best</w:t>
      </w:r>
      <w:r w:rsidRPr="009B47BD">
        <w:rPr>
          <w:color w:val="0000FF"/>
        </w:rPr>
        <w:t xml:space="preserve"> hedge performance</w:t>
      </w:r>
      <w:r>
        <w:rPr>
          <w:color w:val="0000FF"/>
        </w:rPr>
        <w:t>,</w:t>
      </w:r>
      <w:r w:rsidRPr="009B47BD">
        <w:rPr>
          <w:color w:val="0000FF"/>
        </w:rPr>
        <w:t xml:space="preserve"> </w:t>
      </w:r>
      <w:r>
        <w:rPr>
          <w:color w:val="0000FF"/>
        </w:rPr>
        <w:t xml:space="preserve">the </w:t>
      </w:r>
      <w:r w:rsidRPr="009B47BD">
        <w:rPr>
          <w:color w:val="0000FF"/>
        </w:rPr>
        <w:t>ad hoc triangle shocks</w:t>
      </w:r>
      <w:r>
        <w:rPr>
          <w:color w:val="0000FF"/>
        </w:rPr>
        <w:t xml:space="preserve"> seconds, and non-hedging is the worst. </w:t>
      </w:r>
    </w:p>
    <w:p w14:paraId="20C5104B" w14:textId="77777777" w:rsidR="009B47BD" w:rsidRDefault="009B47BD" w:rsidP="009B47BD">
      <w:pPr>
        <w:rPr>
          <w:color w:val="0000FF"/>
        </w:rPr>
      </w:pPr>
    </w:p>
    <w:p w14:paraId="615FADFB" w14:textId="188B581B" w:rsidR="009B47BD" w:rsidRPr="009B47BD" w:rsidRDefault="009B47BD" w:rsidP="009B47BD">
      <w:pPr>
        <w:rPr>
          <w:color w:val="0000FF"/>
        </w:rPr>
      </w:pPr>
      <w:r>
        <w:rPr>
          <w:color w:val="0000FF"/>
        </w:rPr>
        <w:t>Analysis: According to the number above, the standard deviation of non-hedging strategy is from 0.3 to 3.6 respectively to the tenor. It will reduce to 10% when using a triangle-hedging strategy. But the most amazing difference happens on factor-hedging strategy, which reduces to almost zero compared to the standard deviations of previous two strategies.</w:t>
      </w:r>
      <w:bookmarkStart w:id="0" w:name="_GoBack"/>
      <w:bookmarkEnd w:id="0"/>
    </w:p>
    <w:sectPr w:rsidR="009B47BD" w:rsidRPr="009B47BD" w:rsidSect="00BF6A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4B480" w14:textId="77777777" w:rsidR="00A07611" w:rsidRDefault="00A07611" w:rsidP="0015140E">
      <w:r>
        <w:separator/>
      </w:r>
    </w:p>
  </w:endnote>
  <w:endnote w:type="continuationSeparator" w:id="0">
    <w:p w14:paraId="79F9D7BF" w14:textId="77777777" w:rsidR="00A07611" w:rsidRDefault="00A07611" w:rsidP="00151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8D4FD" w14:textId="77777777" w:rsidR="00A07611" w:rsidRDefault="00A07611" w:rsidP="0015140E">
      <w:r>
        <w:separator/>
      </w:r>
    </w:p>
  </w:footnote>
  <w:footnote w:type="continuationSeparator" w:id="0">
    <w:p w14:paraId="41ACBA9C" w14:textId="77777777" w:rsidR="00A07611" w:rsidRDefault="00A07611" w:rsidP="001514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43FB"/>
    <w:multiLevelType w:val="hybridMultilevel"/>
    <w:tmpl w:val="598E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3627"/>
    <w:multiLevelType w:val="hybridMultilevel"/>
    <w:tmpl w:val="794E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01D26"/>
    <w:multiLevelType w:val="hybridMultilevel"/>
    <w:tmpl w:val="FDD44EAE"/>
    <w:lvl w:ilvl="0" w:tplc="D1788AC2">
      <w:start w:val="1"/>
      <w:numFmt w:val="bullet"/>
      <w:lvlText w:val="•"/>
      <w:lvlJc w:val="left"/>
      <w:pPr>
        <w:tabs>
          <w:tab w:val="num" w:pos="720"/>
        </w:tabs>
        <w:ind w:left="720" w:hanging="360"/>
      </w:pPr>
      <w:rPr>
        <w:rFonts w:ascii="Arial" w:hAnsi="Arial" w:hint="default"/>
      </w:rPr>
    </w:lvl>
    <w:lvl w:ilvl="1" w:tplc="CDB05EE8">
      <w:start w:val="1"/>
      <w:numFmt w:val="bullet"/>
      <w:lvlText w:val="•"/>
      <w:lvlJc w:val="left"/>
      <w:pPr>
        <w:tabs>
          <w:tab w:val="num" w:pos="1440"/>
        </w:tabs>
        <w:ind w:left="1440" w:hanging="360"/>
      </w:pPr>
      <w:rPr>
        <w:rFonts w:ascii="Arial" w:hAnsi="Arial" w:hint="default"/>
      </w:rPr>
    </w:lvl>
    <w:lvl w:ilvl="2" w:tplc="4D9CE5B6" w:tentative="1">
      <w:start w:val="1"/>
      <w:numFmt w:val="bullet"/>
      <w:lvlText w:val="•"/>
      <w:lvlJc w:val="left"/>
      <w:pPr>
        <w:tabs>
          <w:tab w:val="num" w:pos="2160"/>
        </w:tabs>
        <w:ind w:left="2160" w:hanging="360"/>
      </w:pPr>
      <w:rPr>
        <w:rFonts w:ascii="Arial" w:hAnsi="Arial" w:hint="default"/>
      </w:rPr>
    </w:lvl>
    <w:lvl w:ilvl="3" w:tplc="18107184" w:tentative="1">
      <w:start w:val="1"/>
      <w:numFmt w:val="bullet"/>
      <w:lvlText w:val="•"/>
      <w:lvlJc w:val="left"/>
      <w:pPr>
        <w:tabs>
          <w:tab w:val="num" w:pos="2880"/>
        </w:tabs>
        <w:ind w:left="2880" w:hanging="360"/>
      </w:pPr>
      <w:rPr>
        <w:rFonts w:ascii="Arial" w:hAnsi="Arial" w:hint="default"/>
      </w:rPr>
    </w:lvl>
    <w:lvl w:ilvl="4" w:tplc="3048A830" w:tentative="1">
      <w:start w:val="1"/>
      <w:numFmt w:val="bullet"/>
      <w:lvlText w:val="•"/>
      <w:lvlJc w:val="left"/>
      <w:pPr>
        <w:tabs>
          <w:tab w:val="num" w:pos="3600"/>
        </w:tabs>
        <w:ind w:left="3600" w:hanging="360"/>
      </w:pPr>
      <w:rPr>
        <w:rFonts w:ascii="Arial" w:hAnsi="Arial" w:hint="default"/>
      </w:rPr>
    </w:lvl>
    <w:lvl w:ilvl="5" w:tplc="D804B00A" w:tentative="1">
      <w:start w:val="1"/>
      <w:numFmt w:val="bullet"/>
      <w:lvlText w:val="•"/>
      <w:lvlJc w:val="left"/>
      <w:pPr>
        <w:tabs>
          <w:tab w:val="num" w:pos="4320"/>
        </w:tabs>
        <w:ind w:left="4320" w:hanging="360"/>
      </w:pPr>
      <w:rPr>
        <w:rFonts w:ascii="Arial" w:hAnsi="Arial" w:hint="default"/>
      </w:rPr>
    </w:lvl>
    <w:lvl w:ilvl="6" w:tplc="24786FF2" w:tentative="1">
      <w:start w:val="1"/>
      <w:numFmt w:val="bullet"/>
      <w:lvlText w:val="•"/>
      <w:lvlJc w:val="left"/>
      <w:pPr>
        <w:tabs>
          <w:tab w:val="num" w:pos="5040"/>
        </w:tabs>
        <w:ind w:left="5040" w:hanging="360"/>
      </w:pPr>
      <w:rPr>
        <w:rFonts w:ascii="Arial" w:hAnsi="Arial" w:hint="default"/>
      </w:rPr>
    </w:lvl>
    <w:lvl w:ilvl="7" w:tplc="32008906" w:tentative="1">
      <w:start w:val="1"/>
      <w:numFmt w:val="bullet"/>
      <w:lvlText w:val="•"/>
      <w:lvlJc w:val="left"/>
      <w:pPr>
        <w:tabs>
          <w:tab w:val="num" w:pos="5760"/>
        </w:tabs>
        <w:ind w:left="5760" w:hanging="360"/>
      </w:pPr>
      <w:rPr>
        <w:rFonts w:ascii="Arial" w:hAnsi="Arial" w:hint="default"/>
      </w:rPr>
    </w:lvl>
    <w:lvl w:ilvl="8" w:tplc="2C38AC94" w:tentative="1">
      <w:start w:val="1"/>
      <w:numFmt w:val="bullet"/>
      <w:lvlText w:val="•"/>
      <w:lvlJc w:val="left"/>
      <w:pPr>
        <w:tabs>
          <w:tab w:val="num" w:pos="6480"/>
        </w:tabs>
        <w:ind w:left="6480" w:hanging="360"/>
      </w:pPr>
      <w:rPr>
        <w:rFonts w:ascii="Arial" w:hAnsi="Arial" w:hint="default"/>
      </w:rPr>
    </w:lvl>
  </w:abstractNum>
  <w:abstractNum w:abstractNumId="3">
    <w:nsid w:val="20C323DD"/>
    <w:multiLevelType w:val="hybridMultilevel"/>
    <w:tmpl w:val="3006CFBA"/>
    <w:lvl w:ilvl="0" w:tplc="D1B00A4A">
      <w:start w:val="1"/>
      <w:numFmt w:val="bullet"/>
      <w:lvlText w:val="•"/>
      <w:lvlJc w:val="left"/>
      <w:pPr>
        <w:tabs>
          <w:tab w:val="num" w:pos="720"/>
        </w:tabs>
        <w:ind w:left="720" w:hanging="360"/>
      </w:pPr>
      <w:rPr>
        <w:rFonts w:ascii="Arial" w:hAnsi="Arial" w:hint="default"/>
      </w:rPr>
    </w:lvl>
    <w:lvl w:ilvl="1" w:tplc="10B2F99C" w:tentative="1">
      <w:start w:val="1"/>
      <w:numFmt w:val="bullet"/>
      <w:lvlText w:val="•"/>
      <w:lvlJc w:val="left"/>
      <w:pPr>
        <w:tabs>
          <w:tab w:val="num" w:pos="1440"/>
        </w:tabs>
        <w:ind w:left="1440" w:hanging="360"/>
      </w:pPr>
      <w:rPr>
        <w:rFonts w:ascii="Arial" w:hAnsi="Arial" w:hint="default"/>
      </w:rPr>
    </w:lvl>
    <w:lvl w:ilvl="2" w:tplc="7CE01FA8" w:tentative="1">
      <w:start w:val="1"/>
      <w:numFmt w:val="bullet"/>
      <w:lvlText w:val="•"/>
      <w:lvlJc w:val="left"/>
      <w:pPr>
        <w:tabs>
          <w:tab w:val="num" w:pos="2160"/>
        </w:tabs>
        <w:ind w:left="2160" w:hanging="360"/>
      </w:pPr>
      <w:rPr>
        <w:rFonts w:ascii="Arial" w:hAnsi="Arial" w:hint="default"/>
      </w:rPr>
    </w:lvl>
    <w:lvl w:ilvl="3" w:tplc="CF8CD718" w:tentative="1">
      <w:start w:val="1"/>
      <w:numFmt w:val="bullet"/>
      <w:lvlText w:val="•"/>
      <w:lvlJc w:val="left"/>
      <w:pPr>
        <w:tabs>
          <w:tab w:val="num" w:pos="2880"/>
        </w:tabs>
        <w:ind w:left="2880" w:hanging="360"/>
      </w:pPr>
      <w:rPr>
        <w:rFonts w:ascii="Arial" w:hAnsi="Arial" w:hint="default"/>
      </w:rPr>
    </w:lvl>
    <w:lvl w:ilvl="4" w:tplc="41CA367A" w:tentative="1">
      <w:start w:val="1"/>
      <w:numFmt w:val="bullet"/>
      <w:lvlText w:val="•"/>
      <w:lvlJc w:val="left"/>
      <w:pPr>
        <w:tabs>
          <w:tab w:val="num" w:pos="3600"/>
        </w:tabs>
        <w:ind w:left="3600" w:hanging="360"/>
      </w:pPr>
      <w:rPr>
        <w:rFonts w:ascii="Arial" w:hAnsi="Arial" w:hint="default"/>
      </w:rPr>
    </w:lvl>
    <w:lvl w:ilvl="5" w:tplc="4AE6DA2A" w:tentative="1">
      <w:start w:val="1"/>
      <w:numFmt w:val="bullet"/>
      <w:lvlText w:val="•"/>
      <w:lvlJc w:val="left"/>
      <w:pPr>
        <w:tabs>
          <w:tab w:val="num" w:pos="4320"/>
        </w:tabs>
        <w:ind w:left="4320" w:hanging="360"/>
      </w:pPr>
      <w:rPr>
        <w:rFonts w:ascii="Arial" w:hAnsi="Arial" w:hint="default"/>
      </w:rPr>
    </w:lvl>
    <w:lvl w:ilvl="6" w:tplc="08F26B3C" w:tentative="1">
      <w:start w:val="1"/>
      <w:numFmt w:val="bullet"/>
      <w:lvlText w:val="•"/>
      <w:lvlJc w:val="left"/>
      <w:pPr>
        <w:tabs>
          <w:tab w:val="num" w:pos="5040"/>
        </w:tabs>
        <w:ind w:left="5040" w:hanging="360"/>
      </w:pPr>
      <w:rPr>
        <w:rFonts w:ascii="Arial" w:hAnsi="Arial" w:hint="default"/>
      </w:rPr>
    </w:lvl>
    <w:lvl w:ilvl="7" w:tplc="5FBE8EEC" w:tentative="1">
      <w:start w:val="1"/>
      <w:numFmt w:val="bullet"/>
      <w:lvlText w:val="•"/>
      <w:lvlJc w:val="left"/>
      <w:pPr>
        <w:tabs>
          <w:tab w:val="num" w:pos="5760"/>
        </w:tabs>
        <w:ind w:left="5760" w:hanging="360"/>
      </w:pPr>
      <w:rPr>
        <w:rFonts w:ascii="Arial" w:hAnsi="Arial" w:hint="default"/>
      </w:rPr>
    </w:lvl>
    <w:lvl w:ilvl="8" w:tplc="8A86AB54" w:tentative="1">
      <w:start w:val="1"/>
      <w:numFmt w:val="bullet"/>
      <w:lvlText w:val="•"/>
      <w:lvlJc w:val="left"/>
      <w:pPr>
        <w:tabs>
          <w:tab w:val="num" w:pos="6480"/>
        </w:tabs>
        <w:ind w:left="6480" w:hanging="360"/>
      </w:pPr>
      <w:rPr>
        <w:rFonts w:ascii="Arial" w:hAnsi="Arial" w:hint="default"/>
      </w:rPr>
    </w:lvl>
  </w:abstractNum>
  <w:abstractNum w:abstractNumId="4">
    <w:nsid w:val="323D080A"/>
    <w:multiLevelType w:val="hybridMultilevel"/>
    <w:tmpl w:val="3F68EF7A"/>
    <w:lvl w:ilvl="0" w:tplc="9D6834B8">
      <w:start w:val="1"/>
      <w:numFmt w:val="bullet"/>
      <w:lvlText w:val="•"/>
      <w:lvlJc w:val="left"/>
      <w:pPr>
        <w:tabs>
          <w:tab w:val="num" w:pos="720"/>
        </w:tabs>
        <w:ind w:left="720" w:hanging="360"/>
      </w:pPr>
      <w:rPr>
        <w:rFonts w:ascii="Arial" w:hAnsi="Arial" w:hint="default"/>
      </w:rPr>
    </w:lvl>
    <w:lvl w:ilvl="1" w:tplc="CDAE3C6E">
      <w:start w:val="1"/>
      <w:numFmt w:val="bullet"/>
      <w:lvlText w:val="•"/>
      <w:lvlJc w:val="left"/>
      <w:pPr>
        <w:tabs>
          <w:tab w:val="num" w:pos="1440"/>
        </w:tabs>
        <w:ind w:left="1440" w:hanging="360"/>
      </w:pPr>
      <w:rPr>
        <w:rFonts w:ascii="Arial" w:hAnsi="Arial" w:hint="default"/>
      </w:rPr>
    </w:lvl>
    <w:lvl w:ilvl="2" w:tplc="D02CA97C" w:tentative="1">
      <w:start w:val="1"/>
      <w:numFmt w:val="bullet"/>
      <w:lvlText w:val="•"/>
      <w:lvlJc w:val="left"/>
      <w:pPr>
        <w:tabs>
          <w:tab w:val="num" w:pos="2160"/>
        </w:tabs>
        <w:ind w:left="2160" w:hanging="360"/>
      </w:pPr>
      <w:rPr>
        <w:rFonts w:ascii="Arial" w:hAnsi="Arial" w:hint="default"/>
      </w:rPr>
    </w:lvl>
    <w:lvl w:ilvl="3" w:tplc="A96C2E5E" w:tentative="1">
      <w:start w:val="1"/>
      <w:numFmt w:val="bullet"/>
      <w:lvlText w:val="•"/>
      <w:lvlJc w:val="left"/>
      <w:pPr>
        <w:tabs>
          <w:tab w:val="num" w:pos="2880"/>
        </w:tabs>
        <w:ind w:left="2880" w:hanging="360"/>
      </w:pPr>
      <w:rPr>
        <w:rFonts w:ascii="Arial" w:hAnsi="Arial" w:hint="default"/>
      </w:rPr>
    </w:lvl>
    <w:lvl w:ilvl="4" w:tplc="1E0AEFA0" w:tentative="1">
      <w:start w:val="1"/>
      <w:numFmt w:val="bullet"/>
      <w:lvlText w:val="•"/>
      <w:lvlJc w:val="left"/>
      <w:pPr>
        <w:tabs>
          <w:tab w:val="num" w:pos="3600"/>
        </w:tabs>
        <w:ind w:left="3600" w:hanging="360"/>
      </w:pPr>
      <w:rPr>
        <w:rFonts w:ascii="Arial" w:hAnsi="Arial" w:hint="default"/>
      </w:rPr>
    </w:lvl>
    <w:lvl w:ilvl="5" w:tplc="885837FA" w:tentative="1">
      <w:start w:val="1"/>
      <w:numFmt w:val="bullet"/>
      <w:lvlText w:val="•"/>
      <w:lvlJc w:val="left"/>
      <w:pPr>
        <w:tabs>
          <w:tab w:val="num" w:pos="4320"/>
        </w:tabs>
        <w:ind w:left="4320" w:hanging="360"/>
      </w:pPr>
      <w:rPr>
        <w:rFonts w:ascii="Arial" w:hAnsi="Arial" w:hint="default"/>
      </w:rPr>
    </w:lvl>
    <w:lvl w:ilvl="6" w:tplc="FDFAE91C" w:tentative="1">
      <w:start w:val="1"/>
      <w:numFmt w:val="bullet"/>
      <w:lvlText w:val="•"/>
      <w:lvlJc w:val="left"/>
      <w:pPr>
        <w:tabs>
          <w:tab w:val="num" w:pos="5040"/>
        </w:tabs>
        <w:ind w:left="5040" w:hanging="360"/>
      </w:pPr>
      <w:rPr>
        <w:rFonts w:ascii="Arial" w:hAnsi="Arial" w:hint="default"/>
      </w:rPr>
    </w:lvl>
    <w:lvl w:ilvl="7" w:tplc="827EB7C2" w:tentative="1">
      <w:start w:val="1"/>
      <w:numFmt w:val="bullet"/>
      <w:lvlText w:val="•"/>
      <w:lvlJc w:val="left"/>
      <w:pPr>
        <w:tabs>
          <w:tab w:val="num" w:pos="5760"/>
        </w:tabs>
        <w:ind w:left="5760" w:hanging="360"/>
      </w:pPr>
      <w:rPr>
        <w:rFonts w:ascii="Arial" w:hAnsi="Arial" w:hint="default"/>
      </w:rPr>
    </w:lvl>
    <w:lvl w:ilvl="8" w:tplc="FC26DE2C" w:tentative="1">
      <w:start w:val="1"/>
      <w:numFmt w:val="bullet"/>
      <w:lvlText w:val="•"/>
      <w:lvlJc w:val="left"/>
      <w:pPr>
        <w:tabs>
          <w:tab w:val="num" w:pos="6480"/>
        </w:tabs>
        <w:ind w:left="6480" w:hanging="360"/>
      </w:pPr>
      <w:rPr>
        <w:rFonts w:ascii="Arial" w:hAnsi="Arial" w:hint="default"/>
      </w:rPr>
    </w:lvl>
  </w:abstractNum>
  <w:abstractNum w:abstractNumId="5">
    <w:nsid w:val="43F53E8B"/>
    <w:multiLevelType w:val="hybridMultilevel"/>
    <w:tmpl w:val="39AE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72857"/>
    <w:multiLevelType w:val="hybridMultilevel"/>
    <w:tmpl w:val="956E48EE"/>
    <w:lvl w:ilvl="0" w:tplc="62E2F088">
      <w:start w:val="1"/>
      <w:numFmt w:val="bullet"/>
      <w:lvlText w:val="•"/>
      <w:lvlJc w:val="left"/>
      <w:pPr>
        <w:tabs>
          <w:tab w:val="num" w:pos="720"/>
        </w:tabs>
        <w:ind w:left="720" w:hanging="360"/>
      </w:pPr>
      <w:rPr>
        <w:rFonts w:ascii="Arial" w:hAnsi="Arial" w:hint="default"/>
      </w:rPr>
    </w:lvl>
    <w:lvl w:ilvl="1" w:tplc="320EAA56" w:tentative="1">
      <w:start w:val="1"/>
      <w:numFmt w:val="bullet"/>
      <w:lvlText w:val="•"/>
      <w:lvlJc w:val="left"/>
      <w:pPr>
        <w:tabs>
          <w:tab w:val="num" w:pos="1440"/>
        </w:tabs>
        <w:ind w:left="1440" w:hanging="360"/>
      </w:pPr>
      <w:rPr>
        <w:rFonts w:ascii="Arial" w:hAnsi="Arial" w:hint="default"/>
      </w:rPr>
    </w:lvl>
    <w:lvl w:ilvl="2" w:tplc="58A42600" w:tentative="1">
      <w:start w:val="1"/>
      <w:numFmt w:val="bullet"/>
      <w:lvlText w:val="•"/>
      <w:lvlJc w:val="left"/>
      <w:pPr>
        <w:tabs>
          <w:tab w:val="num" w:pos="2160"/>
        </w:tabs>
        <w:ind w:left="2160" w:hanging="360"/>
      </w:pPr>
      <w:rPr>
        <w:rFonts w:ascii="Arial" w:hAnsi="Arial" w:hint="default"/>
      </w:rPr>
    </w:lvl>
    <w:lvl w:ilvl="3" w:tplc="14D8EA3C" w:tentative="1">
      <w:start w:val="1"/>
      <w:numFmt w:val="bullet"/>
      <w:lvlText w:val="•"/>
      <w:lvlJc w:val="left"/>
      <w:pPr>
        <w:tabs>
          <w:tab w:val="num" w:pos="2880"/>
        </w:tabs>
        <w:ind w:left="2880" w:hanging="360"/>
      </w:pPr>
      <w:rPr>
        <w:rFonts w:ascii="Arial" w:hAnsi="Arial" w:hint="default"/>
      </w:rPr>
    </w:lvl>
    <w:lvl w:ilvl="4" w:tplc="AB763CF4" w:tentative="1">
      <w:start w:val="1"/>
      <w:numFmt w:val="bullet"/>
      <w:lvlText w:val="•"/>
      <w:lvlJc w:val="left"/>
      <w:pPr>
        <w:tabs>
          <w:tab w:val="num" w:pos="3600"/>
        </w:tabs>
        <w:ind w:left="3600" w:hanging="360"/>
      </w:pPr>
      <w:rPr>
        <w:rFonts w:ascii="Arial" w:hAnsi="Arial" w:hint="default"/>
      </w:rPr>
    </w:lvl>
    <w:lvl w:ilvl="5" w:tplc="B39AC156" w:tentative="1">
      <w:start w:val="1"/>
      <w:numFmt w:val="bullet"/>
      <w:lvlText w:val="•"/>
      <w:lvlJc w:val="left"/>
      <w:pPr>
        <w:tabs>
          <w:tab w:val="num" w:pos="4320"/>
        </w:tabs>
        <w:ind w:left="4320" w:hanging="360"/>
      </w:pPr>
      <w:rPr>
        <w:rFonts w:ascii="Arial" w:hAnsi="Arial" w:hint="default"/>
      </w:rPr>
    </w:lvl>
    <w:lvl w:ilvl="6" w:tplc="9086C912" w:tentative="1">
      <w:start w:val="1"/>
      <w:numFmt w:val="bullet"/>
      <w:lvlText w:val="•"/>
      <w:lvlJc w:val="left"/>
      <w:pPr>
        <w:tabs>
          <w:tab w:val="num" w:pos="5040"/>
        </w:tabs>
        <w:ind w:left="5040" w:hanging="360"/>
      </w:pPr>
      <w:rPr>
        <w:rFonts w:ascii="Arial" w:hAnsi="Arial" w:hint="default"/>
      </w:rPr>
    </w:lvl>
    <w:lvl w:ilvl="7" w:tplc="766437E2" w:tentative="1">
      <w:start w:val="1"/>
      <w:numFmt w:val="bullet"/>
      <w:lvlText w:val="•"/>
      <w:lvlJc w:val="left"/>
      <w:pPr>
        <w:tabs>
          <w:tab w:val="num" w:pos="5760"/>
        </w:tabs>
        <w:ind w:left="5760" w:hanging="360"/>
      </w:pPr>
      <w:rPr>
        <w:rFonts w:ascii="Arial" w:hAnsi="Arial" w:hint="default"/>
      </w:rPr>
    </w:lvl>
    <w:lvl w:ilvl="8" w:tplc="5E16E660" w:tentative="1">
      <w:start w:val="1"/>
      <w:numFmt w:val="bullet"/>
      <w:lvlText w:val="•"/>
      <w:lvlJc w:val="left"/>
      <w:pPr>
        <w:tabs>
          <w:tab w:val="num" w:pos="6480"/>
        </w:tabs>
        <w:ind w:left="6480" w:hanging="360"/>
      </w:pPr>
      <w:rPr>
        <w:rFonts w:ascii="Arial" w:hAnsi="Arial" w:hint="default"/>
      </w:rPr>
    </w:lvl>
  </w:abstractNum>
  <w:abstractNum w:abstractNumId="7">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00271"/>
    <w:multiLevelType w:val="hybridMultilevel"/>
    <w:tmpl w:val="BA48F196"/>
    <w:lvl w:ilvl="0" w:tplc="ADDA2086">
      <w:start w:val="1"/>
      <w:numFmt w:val="bullet"/>
      <w:lvlText w:val="•"/>
      <w:lvlJc w:val="left"/>
      <w:pPr>
        <w:tabs>
          <w:tab w:val="num" w:pos="720"/>
        </w:tabs>
        <w:ind w:left="720" w:hanging="360"/>
      </w:pPr>
      <w:rPr>
        <w:rFonts w:ascii="Arial" w:hAnsi="Arial" w:hint="default"/>
      </w:rPr>
    </w:lvl>
    <w:lvl w:ilvl="1" w:tplc="1020019A" w:tentative="1">
      <w:start w:val="1"/>
      <w:numFmt w:val="bullet"/>
      <w:lvlText w:val="•"/>
      <w:lvlJc w:val="left"/>
      <w:pPr>
        <w:tabs>
          <w:tab w:val="num" w:pos="1440"/>
        </w:tabs>
        <w:ind w:left="1440" w:hanging="360"/>
      </w:pPr>
      <w:rPr>
        <w:rFonts w:ascii="Arial" w:hAnsi="Arial" w:hint="default"/>
      </w:rPr>
    </w:lvl>
    <w:lvl w:ilvl="2" w:tplc="C5FA9F2C" w:tentative="1">
      <w:start w:val="1"/>
      <w:numFmt w:val="bullet"/>
      <w:lvlText w:val="•"/>
      <w:lvlJc w:val="left"/>
      <w:pPr>
        <w:tabs>
          <w:tab w:val="num" w:pos="2160"/>
        </w:tabs>
        <w:ind w:left="2160" w:hanging="360"/>
      </w:pPr>
      <w:rPr>
        <w:rFonts w:ascii="Arial" w:hAnsi="Arial" w:hint="default"/>
      </w:rPr>
    </w:lvl>
    <w:lvl w:ilvl="3" w:tplc="E44A9B6E" w:tentative="1">
      <w:start w:val="1"/>
      <w:numFmt w:val="bullet"/>
      <w:lvlText w:val="•"/>
      <w:lvlJc w:val="left"/>
      <w:pPr>
        <w:tabs>
          <w:tab w:val="num" w:pos="2880"/>
        </w:tabs>
        <w:ind w:left="2880" w:hanging="360"/>
      </w:pPr>
      <w:rPr>
        <w:rFonts w:ascii="Arial" w:hAnsi="Arial" w:hint="default"/>
      </w:rPr>
    </w:lvl>
    <w:lvl w:ilvl="4" w:tplc="74C4E82C" w:tentative="1">
      <w:start w:val="1"/>
      <w:numFmt w:val="bullet"/>
      <w:lvlText w:val="•"/>
      <w:lvlJc w:val="left"/>
      <w:pPr>
        <w:tabs>
          <w:tab w:val="num" w:pos="3600"/>
        </w:tabs>
        <w:ind w:left="3600" w:hanging="360"/>
      </w:pPr>
      <w:rPr>
        <w:rFonts w:ascii="Arial" w:hAnsi="Arial" w:hint="default"/>
      </w:rPr>
    </w:lvl>
    <w:lvl w:ilvl="5" w:tplc="8E5CF832" w:tentative="1">
      <w:start w:val="1"/>
      <w:numFmt w:val="bullet"/>
      <w:lvlText w:val="•"/>
      <w:lvlJc w:val="left"/>
      <w:pPr>
        <w:tabs>
          <w:tab w:val="num" w:pos="4320"/>
        </w:tabs>
        <w:ind w:left="4320" w:hanging="360"/>
      </w:pPr>
      <w:rPr>
        <w:rFonts w:ascii="Arial" w:hAnsi="Arial" w:hint="default"/>
      </w:rPr>
    </w:lvl>
    <w:lvl w:ilvl="6" w:tplc="3B28F3FA" w:tentative="1">
      <w:start w:val="1"/>
      <w:numFmt w:val="bullet"/>
      <w:lvlText w:val="•"/>
      <w:lvlJc w:val="left"/>
      <w:pPr>
        <w:tabs>
          <w:tab w:val="num" w:pos="5040"/>
        </w:tabs>
        <w:ind w:left="5040" w:hanging="360"/>
      </w:pPr>
      <w:rPr>
        <w:rFonts w:ascii="Arial" w:hAnsi="Arial" w:hint="default"/>
      </w:rPr>
    </w:lvl>
    <w:lvl w:ilvl="7" w:tplc="85E65A30" w:tentative="1">
      <w:start w:val="1"/>
      <w:numFmt w:val="bullet"/>
      <w:lvlText w:val="•"/>
      <w:lvlJc w:val="left"/>
      <w:pPr>
        <w:tabs>
          <w:tab w:val="num" w:pos="5760"/>
        </w:tabs>
        <w:ind w:left="5760" w:hanging="360"/>
      </w:pPr>
      <w:rPr>
        <w:rFonts w:ascii="Arial" w:hAnsi="Arial" w:hint="default"/>
      </w:rPr>
    </w:lvl>
    <w:lvl w:ilvl="8" w:tplc="62F249BE" w:tentative="1">
      <w:start w:val="1"/>
      <w:numFmt w:val="bullet"/>
      <w:lvlText w:val="•"/>
      <w:lvlJc w:val="left"/>
      <w:pPr>
        <w:tabs>
          <w:tab w:val="num" w:pos="6480"/>
        </w:tabs>
        <w:ind w:left="6480" w:hanging="360"/>
      </w:pPr>
      <w:rPr>
        <w:rFonts w:ascii="Arial" w:hAnsi="Arial" w:hint="default"/>
      </w:rPr>
    </w:lvl>
  </w:abstractNum>
  <w:abstractNum w:abstractNumId="9">
    <w:nsid w:val="69CF75C7"/>
    <w:multiLevelType w:val="hybridMultilevel"/>
    <w:tmpl w:val="6C2664CA"/>
    <w:lvl w:ilvl="0" w:tplc="0EEA9A14">
      <w:start w:val="1"/>
      <w:numFmt w:val="bullet"/>
      <w:lvlText w:val="•"/>
      <w:lvlJc w:val="left"/>
      <w:pPr>
        <w:tabs>
          <w:tab w:val="num" w:pos="720"/>
        </w:tabs>
        <w:ind w:left="720" w:hanging="360"/>
      </w:pPr>
      <w:rPr>
        <w:rFonts w:ascii="Arial" w:hAnsi="Arial" w:hint="default"/>
      </w:rPr>
    </w:lvl>
    <w:lvl w:ilvl="1" w:tplc="9B3A89B8">
      <w:start w:val="1"/>
      <w:numFmt w:val="bullet"/>
      <w:lvlText w:val="•"/>
      <w:lvlJc w:val="left"/>
      <w:pPr>
        <w:tabs>
          <w:tab w:val="num" w:pos="1440"/>
        </w:tabs>
        <w:ind w:left="1440" w:hanging="360"/>
      </w:pPr>
      <w:rPr>
        <w:rFonts w:ascii="Arial" w:hAnsi="Arial" w:hint="default"/>
      </w:rPr>
    </w:lvl>
    <w:lvl w:ilvl="2" w:tplc="BBCE66B0" w:tentative="1">
      <w:start w:val="1"/>
      <w:numFmt w:val="bullet"/>
      <w:lvlText w:val="•"/>
      <w:lvlJc w:val="left"/>
      <w:pPr>
        <w:tabs>
          <w:tab w:val="num" w:pos="2160"/>
        </w:tabs>
        <w:ind w:left="2160" w:hanging="360"/>
      </w:pPr>
      <w:rPr>
        <w:rFonts w:ascii="Arial" w:hAnsi="Arial" w:hint="default"/>
      </w:rPr>
    </w:lvl>
    <w:lvl w:ilvl="3" w:tplc="EAE87DDC" w:tentative="1">
      <w:start w:val="1"/>
      <w:numFmt w:val="bullet"/>
      <w:lvlText w:val="•"/>
      <w:lvlJc w:val="left"/>
      <w:pPr>
        <w:tabs>
          <w:tab w:val="num" w:pos="2880"/>
        </w:tabs>
        <w:ind w:left="2880" w:hanging="360"/>
      </w:pPr>
      <w:rPr>
        <w:rFonts w:ascii="Arial" w:hAnsi="Arial" w:hint="default"/>
      </w:rPr>
    </w:lvl>
    <w:lvl w:ilvl="4" w:tplc="E93A1998" w:tentative="1">
      <w:start w:val="1"/>
      <w:numFmt w:val="bullet"/>
      <w:lvlText w:val="•"/>
      <w:lvlJc w:val="left"/>
      <w:pPr>
        <w:tabs>
          <w:tab w:val="num" w:pos="3600"/>
        </w:tabs>
        <w:ind w:left="3600" w:hanging="360"/>
      </w:pPr>
      <w:rPr>
        <w:rFonts w:ascii="Arial" w:hAnsi="Arial" w:hint="default"/>
      </w:rPr>
    </w:lvl>
    <w:lvl w:ilvl="5" w:tplc="5FB4018A" w:tentative="1">
      <w:start w:val="1"/>
      <w:numFmt w:val="bullet"/>
      <w:lvlText w:val="•"/>
      <w:lvlJc w:val="left"/>
      <w:pPr>
        <w:tabs>
          <w:tab w:val="num" w:pos="4320"/>
        </w:tabs>
        <w:ind w:left="4320" w:hanging="360"/>
      </w:pPr>
      <w:rPr>
        <w:rFonts w:ascii="Arial" w:hAnsi="Arial" w:hint="default"/>
      </w:rPr>
    </w:lvl>
    <w:lvl w:ilvl="6" w:tplc="8284902C" w:tentative="1">
      <w:start w:val="1"/>
      <w:numFmt w:val="bullet"/>
      <w:lvlText w:val="•"/>
      <w:lvlJc w:val="left"/>
      <w:pPr>
        <w:tabs>
          <w:tab w:val="num" w:pos="5040"/>
        </w:tabs>
        <w:ind w:left="5040" w:hanging="360"/>
      </w:pPr>
      <w:rPr>
        <w:rFonts w:ascii="Arial" w:hAnsi="Arial" w:hint="default"/>
      </w:rPr>
    </w:lvl>
    <w:lvl w:ilvl="7" w:tplc="6804DA2A" w:tentative="1">
      <w:start w:val="1"/>
      <w:numFmt w:val="bullet"/>
      <w:lvlText w:val="•"/>
      <w:lvlJc w:val="left"/>
      <w:pPr>
        <w:tabs>
          <w:tab w:val="num" w:pos="5760"/>
        </w:tabs>
        <w:ind w:left="5760" w:hanging="360"/>
      </w:pPr>
      <w:rPr>
        <w:rFonts w:ascii="Arial" w:hAnsi="Arial" w:hint="default"/>
      </w:rPr>
    </w:lvl>
    <w:lvl w:ilvl="8" w:tplc="1E6EDAA8" w:tentative="1">
      <w:start w:val="1"/>
      <w:numFmt w:val="bullet"/>
      <w:lvlText w:val="•"/>
      <w:lvlJc w:val="left"/>
      <w:pPr>
        <w:tabs>
          <w:tab w:val="num" w:pos="6480"/>
        </w:tabs>
        <w:ind w:left="6480" w:hanging="360"/>
      </w:pPr>
      <w:rPr>
        <w:rFonts w:ascii="Arial" w:hAnsi="Arial" w:hint="default"/>
      </w:rPr>
    </w:lvl>
  </w:abstractNum>
  <w:abstractNum w:abstractNumId="10">
    <w:nsid w:val="6AB619F4"/>
    <w:multiLevelType w:val="hybridMultilevel"/>
    <w:tmpl w:val="BB88EDB8"/>
    <w:lvl w:ilvl="0" w:tplc="2B6E8794">
      <w:start w:val="1"/>
      <w:numFmt w:val="bullet"/>
      <w:lvlText w:val="•"/>
      <w:lvlJc w:val="left"/>
      <w:pPr>
        <w:tabs>
          <w:tab w:val="num" w:pos="720"/>
        </w:tabs>
        <w:ind w:left="720" w:hanging="360"/>
      </w:pPr>
      <w:rPr>
        <w:rFonts w:ascii="Arial" w:hAnsi="Arial" w:hint="default"/>
      </w:rPr>
    </w:lvl>
    <w:lvl w:ilvl="1" w:tplc="A2A2A010">
      <w:start w:val="1"/>
      <w:numFmt w:val="bullet"/>
      <w:lvlText w:val="•"/>
      <w:lvlJc w:val="left"/>
      <w:pPr>
        <w:tabs>
          <w:tab w:val="num" w:pos="1440"/>
        </w:tabs>
        <w:ind w:left="1440" w:hanging="360"/>
      </w:pPr>
      <w:rPr>
        <w:rFonts w:ascii="Arial" w:hAnsi="Arial" w:hint="default"/>
      </w:rPr>
    </w:lvl>
    <w:lvl w:ilvl="2" w:tplc="EDA22630" w:tentative="1">
      <w:start w:val="1"/>
      <w:numFmt w:val="bullet"/>
      <w:lvlText w:val="•"/>
      <w:lvlJc w:val="left"/>
      <w:pPr>
        <w:tabs>
          <w:tab w:val="num" w:pos="2160"/>
        </w:tabs>
        <w:ind w:left="2160" w:hanging="360"/>
      </w:pPr>
      <w:rPr>
        <w:rFonts w:ascii="Arial" w:hAnsi="Arial" w:hint="default"/>
      </w:rPr>
    </w:lvl>
    <w:lvl w:ilvl="3" w:tplc="82F2DDEC" w:tentative="1">
      <w:start w:val="1"/>
      <w:numFmt w:val="bullet"/>
      <w:lvlText w:val="•"/>
      <w:lvlJc w:val="left"/>
      <w:pPr>
        <w:tabs>
          <w:tab w:val="num" w:pos="2880"/>
        </w:tabs>
        <w:ind w:left="2880" w:hanging="360"/>
      </w:pPr>
      <w:rPr>
        <w:rFonts w:ascii="Arial" w:hAnsi="Arial" w:hint="default"/>
      </w:rPr>
    </w:lvl>
    <w:lvl w:ilvl="4" w:tplc="2A347D2E" w:tentative="1">
      <w:start w:val="1"/>
      <w:numFmt w:val="bullet"/>
      <w:lvlText w:val="•"/>
      <w:lvlJc w:val="left"/>
      <w:pPr>
        <w:tabs>
          <w:tab w:val="num" w:pos="3600"/>
        </w:tabs>
        <w:ind w:left="3600" w:hanging="360"/>
      </w:pPr>
      <w:rPr>
        <w:rFonts w:ascii="Arial" w:hAnsi="Arial" w:hint="default"/>
      </w:rPr>
    </w:lvl>
    <w:lvl w:ilvl="5" w:tplc="D240819E" w:tentative="1">
      <w:start w:val="1"/>
      <w:numFmt w:val="bullet"/>
      <w:lvlText w:val="•"/>
      <w:lvlJc w:val="left"/>
      <w:pPr>
        <w:tabs>
          <w:tab w:val="num" w:pos="4320"/>
        </w:tabs>
        <w:ind w:left="4320" w:hanging="360"/>
      </w:pPr>
      <w:rPr>
        <w:rFonts w:ascii="Arial" w:hAnsi="Arial" w:hint="default"/>
      </w:rPr>
    </w:lvl>
    <w:lvl w:ilvl="6" w:tplc="EEDCF6FE" w:tentative="1">
      <w:start w:val="1"/>
      <w:numFmt w:val="bullet"/>
      <w:lvlText w:val="•"/>
      <w:lvlJc w:val="left"/>
      <w:pPr>
        <w:tabs>
          <w:tab w:val="num" w:pos="5040"/>
        </w:tabs>
        <w:ind w:left="5040" w:hanging="360"/>
      </w:pPr>
      <w:rPr>
        <w:rFonts w:ascii="Arial" w:hAnsi="Arial" w:hint="default"/>
      </w:rPr>
    </w:lvl>
    <w:lvl w:ilvl="7" w:tplc="2FA075E2" w:tentative="1">
      <w:start w:val="1"/>
      <w:numFmt w:val="bullet"/>
      <w:lvlText w:val="•"/>
      <w:lvlJc w:val="left"/>
      <w:pPr>
        <w:tabs>
          <w:tab w:val="num" w:pos="5760"/>
        </w:tabs>
        <w:ind w:left="5760" w:hanging="360"/>
      </w:pPr>
      <w:rPr>
        <w:rFonts w:ascii="Arial" w:hAnsi="Arial" w:hint="default"/>
      </w:rPr>
    </w:lvl>
    <w:lvl w:ilvl="8" w:tplc="E848C616" w:tentative="1">
      <w:start w:val="1"/>
      <w:numFmt w:val="bullet"/>
      <w:lvlText w:val="•"/>
      <w:lvlJc w:val="left"/>
      <w:pPr>
        <w:tabs>
          <w:tab w:val="num" w:pos="6480"/>
        </w:tabs>
        <w:ind w:left="6480" w:hanging="360"/>
      </w:pPr>
      <w:rPr>
        <w:rFonts w:ascii="Arial" w:hAnsi="Arial" w:hint="default"/>
      </w:rPr>
    </w:lvl>
  </w:abstractNum>
  <w:abstractNum w:abstractNumId="11">
    <w:nsid w:val="75017F18"/>
    <w:multiLevelType w:val="hybridMultilevel"/>
    <w:tmpl w:val="222A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843C5"/>
    <w:multiLevelType w:val="hybridMultilevel"/>
    <w:tmpl w:val="1A5EE7D6"/>
    <w:lvl w:ilvl="0" w:tplc="7C46EE8C">
      <w:start w:val="1"/>
      <w:numFmt w:val="bullet"/>
      <w:lvlText w:val="•"/>
      <w:lvlJc w:val="left"/>
      <w:pPr>
        <w:tabs>
          <w:tab w:val="num" w:pos="720"/>
        </w:tabs>
        <w:ind w:left="720" w:hanging="360"/>
      </w:pPr>
      <w:rPr>
        <w:rFonts w:ascii="Arial" w:hAnsi="Arial" w:hint="default"/>
      </w:rPr>
    </w:lvl>
    <w:lvl w:ilvl="1" w:tplc="01240EC4">
      <w:start w:val="1"/>
      <w:numFmt w:val="bullet"/>
      <w:lvlText w:val="•"/>
      <w:lvlJc w:val="left"/>
      <w:pPr>
        <w:tabs>
          <w:tab w:val="num" w:pos="1440"/>
        </w:tabs>
        <w:ind w:left="1440" w:hanging="360"/>
      </w:pPr>
      <w:rPr>
        <w:rFonts w:ascii="Arial" w:hAnsi="Arial" w:hint="default"/>
      </w:rPr>
    </w:lvl>
    <w:lvl w:ilvl="2" w:tplc="C386A562" w:tentative="1">
      <w:start w:val="1"/>
      <w:numFmt w:val="bullet"/>
      <w:lvlText w:val="•"/>
      <w:lvlJc w:val="left"/>
      <w:pPr>
        <w:tabs>
          <w:tab w:val="num" w:pos="2160"/>
        </w:tabs>
        <w:ind w:left="2160" w:hanging="360"/>
      </w:pPr>
      <w:rPr>
        <w:rFonts w:ascii="Arial" w:hAnsi="Arial" w:hint="default"/>
      </w:rPr>
    </w:lvl>
    <w:lvl w:ilvl="3" w:tplc="35962374" w:tentative="1">
      <w:start w:val="1"/>
      <w:numFmt w:val="bullet"/>
      <w:lvlText w:val="•"/>
      <w:lvlJc w:val="left"/>
      <w:pPr>
        <w:tabs>
          <w:tab w:val="num" w:pos="2880"/>
        </w:tabs>
        <w:ind w:left="2880" w:hanging="360"/>
      </w:pPr>
      <w:rPr>
        <w:rFonts w:ascii="Arial" w:hAnsi="Arial" w:hint="default"/>
      </w:rPr>
    </w:lvl>
    <w:lvl w:ilvl="4" w:tplc="81587784" w:tentative="1">
      <w:start w:val="1"/>
      <w:numFmt w:val="bullet"/>
      <w:lvlText w:val="•"/>
      <w:lvlJc w:val="left"/>
      <w:pPr>
        <w:tabs>
          <w:tab w:val="num" w:pos="3600"/>
        </w:tabs>
        <w:ind w:left="3600" w:hanging="360"/>
      </w:pPr>
      <w:rPr>
        <w:rFonts w:ascii="Arial" w:hAnsi="Arial" w:hint="default"/>
      </w:rPr>
    </w:lvl>
    <w:lvl w:ilvl="5" w:tplc="7298B11C" w:tentative="1">
      <w:start w:val="1"/>
      <w:numFmt w:val="bullet"/>
      <w:lvlText w:val="•"/>
      <w:lvlJc w:val="left"/>
      <w:pPr>
        <w:tabs>
          <w:tab w:val="num" w:pos="4320"/>
        </w:tabs>
        <w:ind w:left="4320" w:hanging="360"/>
      </w:pPr>
      <w:rPr>
        <w:rFonts w:ascii="Arial" w:hAnsi="Arial" w:hint="default"/>
      </w:rPr>
    </w:lvl>
    <w:lvl w:ilvl="6" w:tplc="F8321F3E" w:tentative="1">
      <w:start w:val="1"/>
      <w:numFmt w:val="bullet"/>
      <w:lvlText w:val="•"/>
      <w:lvlJc w:val="left"/>
      <w:pPr>
        <w:tabs>
          <w:tab w:val="num" w:pos="5040"/>
        </w:tabs>
        <w:ind w:left="5040" w:hanging="360"/>
      </w:pPr>
      <w:rPr>
        <w:rFonts w:ascii="Arial" w:hAnsi="Arial" w:hint="default"/>
      </w:rPr>
    </w:lvl>
    <w:lvl w:ilvl="7" w:tplc="E99E0BDA" w:tentative="1">
      <w:start w:val="1"/>
      <w:numFmt w:val="bullet"/>
      <w:lvlText w:val="•"/>
      <w:lvlJc w:val="left"/>
      <w:pPr>
        <w:tabs>
          <w:tab w:val="num" w:pos="5760"/>
        </w:tabs>
        <w:ind w:left="5760" w:hanging="360"/>
      </w:pPr>
      <w:rPr>
        <w:rFonts w:ascii="Arial" w:hAnsi="Arial" w:hint="default"/>
      </w:rPr>
    </w:lvl>
    <w:lvl w:ilvl="8" w:tplc="FE6C29FC" w:tentative="1">
      <w:start w:val="1"/>
      <w:numFmt w:val="bullet"/>
      <w:lvlText w:val="•"/>
      <w:lvlJc w:val="left"/>
      <w:pPr>
        <w:tabs>
          <w:tab w:val="num" w:pos="6480"/>
        </w:tabs>
        <w:ind w:left="6480" w:hanging="360"/>
      </w:pPr>
      <w:rPr>
        <w:rFonts w:ascii="Arial" w:hAnsi="Arial" w:hint="default"/>
      </w:rPr>
    </w:lvl>
  </w:abstractNum>
  <w:abstractNum w:abstractNumId="13">
    <w:nsid w:val="7DF4412B"/>
    <w:multiLevelType w:val="hybridMultilevel"/>
    <w:tmpl w:val="A970B9A0"/>
    <w:lvl w:ilvl="0" w:tplc="E8ACA60A">
      <w:start w:val="1"/>
      <w:numFmt w:val="bullet"/>
      <w:lvlText w:val="•"/>
      <w:lvlJc w:val="left"/>
      <w:pPr>
        <w:tabs>
          <w:tab w:val="num" w:pos="720"/>
        </w:tabs>
        <w:ind w:left="720" w:hanging="360"/>
      </w:pPr>
      <w:rPr>
        <w:rFonts w:ascii="Arial" w:hAnsi="Arial" w:hint="default"/>
      </w:rPr>
    </w:lvl>
    <w:lvl w:ilvl="1" w:tplc="410E3C30" w:tentative="1">
      <w:start w:val="1"/>
      <w:numFmt w:val="bullet"/>
      <w:lvlText w:val="•"/>
      <w:lvlJc w:val="left"/>
      <w:pPr>
        <w:tabs>
          <w:tab w:val="num" w:pos="1440"/>
        </w:tabs>
        <w:ind w:left="1440" w:hanging="360"/>
      </w:pPr>
      <w:rPr>
        <w:rFonts w:ascii="Arial" w:hAnsi="Arial" w:hint="default"/>
      </w:rPr>
    </w:lvl>
    <w:lvl w:ilvl="2" w:tplc="580C5866" w:tentative="1">
      <w:start w:val="1"/>
      <w:numFmt w:val="bullet"/>
      <w:lvlText w:val="•"/>
      <w:lvlJc w:val="left"/>
      <w:pPr>
        <w:tabs>
          <w:tab w:val="num" w:pos="2160"/>
        </w:tabs>
        <w:ind w:left="2160" w:hanging="360"/>
      </w:pPr>
      <w:rPr>
        <w:rFonts w:ascii="Arial" w:hAnsi="Arial" w:hint="default"/>
      </w:rPr>
    </w:lvl>
    <w:lvl w:ilvl="3" w:tplc="AAD2E03A" w:tentative="1">
      <w:start w:val="1"/>
      <w:numFmt w:val="bullet"/>
      <w:lvlText w:val="•"/>
      <w:lvlJc w:val="left"/>
      <w:pPr>
        <w:tabs>
          <w:tab w:val="num" w:pos="2880"/>
        </w:tabs>
        <w:ind w:left="2880" w:hanging="360"/>
      </w:pPr>
      <w:rPr>
        <w:rFonts w:ascii="Arial" w:hAnsi="Arial" w:hint="default"/>
      </w:rPr>
    </w:lvl>
    <w:lvl w:ilvl="4" w:tplc="C124215E" w:tentative="1">
      <w:start w:val="1"/>
      <w:numFmt w:val="bullet"/>
      <w:lvlText w:val="•"/>
      <w:lvlJc w:val="left"/>
      <w:pPr>
        <w:tabs>
          <w:tab w:val="num" w:pos="3600"/>
        </w:tabs>
        <w:ind w:left="3600" w:hanging="360"/>
      </w:pPr>
      <w:rPr>
        <w:rFonts w:ascii="Arial" w:hAnsi="Arial" w:hint="default"/>
      </w:rPr>
    </w:lvl>
    <w:lvl w:ilvl="5" w:tplc="5D0AD466" w:tentative="1">
      <w:start w:val="1"/>
      <w:numFmt w:val="bullet"/>
      <w:lvlText w:val="•"/>
      <w:lvlJc w:val="left"/>
      <w:pPr>
        <w:tabs>
          <w:tab w:val="num" w:pos="4320"/>
        </w:tabs>
        <w:ind w:left="4320" w:hanging="360"/>
      </w:pPr>
      <w:rPr>
        <w:rFonts w:ascii="Arial" w:hAnsi="Arial" w:hint="default"/>
      </w:rPr>
    </w:lvl>
    <w:lvl w:ilvl="6" w:tplc="D8A859C6" w:tentative="1">
      <w:start w:val="1"/>
      <w:numFmt w:val="bullet"/>
      <w:lvlText w:val="•"/>
      <w:lvlJc w:val="left"/>
      <w:pPr>
        <w:tabs>
          <w:tab w:val="num" w:pos="5040"/>
        </w:tabs>
        <w:ind w:left="5040" w:hanging="360"/>
      </w:pPr>
      <w:rPr>
        <w:rFonts w:ascii="Arial" w:hAnsi="Arial" w:hint="default"/>
      </w:rPr>
    </w:lvl>
    <w:lvl w:ilvl="7" w:tplc="64C6588E" w:tentative="1">
      <w:start w:val="1"/>
      <w:numFmt w:val="bullet"/>
      <w:lvlText w:val="•"/>
      <w:lvlJc w:val="left"/>
      <w:pPr>
        <w:tabs>
          <w:tab w:val="num" w:pos="5760"/>
        </w:tabs>
        <w:ind w:left="5760" w:hanging="360"/>
      </w:pPr>
      <w:rPr>
        <w:rFonts w:ascii="Arial" w:hAnsi="Arial" w:hint="default"/>
      </w:rPr>
    </w:lvl>
    <w:lvl w:ilvl="8" w:tplc="B978C9A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1"/>
  </w:num>
  <w:num w:numId="4">
    <w:abstractNumId w:val="5"/>
  </w:num>
  <w:num w:numId="5">
    <w:abstractNumId w:val="10"/>
  </w:num>
  <w:num w:numId="6">
    <w:abstractNumId w:val="4"/>
  </w:num>
  <w:num w:numId="7">
    <w:abstractNumId w:val="6"/>
  </w:num>
  <w:num w:numId="8">
    <w:abstractNumId w:val="13"/>
  </w:num>
  <w:num w:numId="9">
    <w:abstractNumId w:val="9"/>
  </w:num>
  <w:num w:numId="10">
    <w:abstractNumId w:val="2"/>
  </w:num>
  <w:num w:numId="11">
    <w:abstractNumId w:val="11"/>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A7A77"/>
    <w:rsid w:val="0015140E"/>
    <w:rsid w:val="001941E9"/>
    <w:rsid w:val="00245D41"/>
    <w:rsid w:val="00265F1D"/>
    <w:rsid w:val="002A0256"/>
    <w:rsid w:val="002B102C"/>
    <w:rsid w:val="002D09BC"/>
    <w:rsid w:val="002E0300"/>
    <w:rsid w:val="003757A1"/>
    <w:rsid w:val="00536913"/>
    <w:rsid w:val="0062217F"/>
    <w:rsid w:val="00822676"/>
    <w:rsid w:val="00951FFB"/>
    <w:rsid w:val="009B47BD"/>
    <w:rsid w:val="00A07611"/>
    <w:rsid w:val="00BF6AAC"/>
    <w:rsid w:val="00CE2212"/>
    <w:rsid w:val="00DC18DB"/>
    <w:rsid w:val="00F2436B"/>
    <w:rsid w:val="00F77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paragraph" w:styleId="NormalWeb">
    <w:name w:val="Normal (Web)"/>
    <w:basedOn w:val="Normal"/>
    <w:uiPriority w:val="99"/>
    <w:semiHidden/>
    <w:unhideWhenUsed/>
    <w:rsid w:val="002A0256"/>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5140E"/>
    <w:pPr>
      <w:tabs>
        <w:tab w:val="center" w:pos="4320"/>
        <w:tab w:val="right" w:pos="8640"/>
      </w:tabs>
    </w:pPr>
  </w:style>
  <w:style w:type="character" w:customStyle="1" w:styleId="HeaderChar">
    <w:name w:val="Header Char"/>
    <w:basedOn w:val="DefaultParagraphFont"/>
    <w:link w:val="Header"/>
    <w:uiPriority w:val="99"/>
    <w:rsid w:val="0015140E"/>
  </w:style>
  <w:style w:type="paragraph" w:styleId="Footer">
    <w:name w:val="footer"/>
    <w:basedOn w:val="Normal"/>
    <w:link w:val="FooterChar"/>
    <w:uiPriority w:val="99"/>
    <w:unhideWhenUsed/>
    <w:rsid w:val="0015140E"/>
    <w:pPr>
      <w:tabs>
        <w:tab w:val="center" w:pos="4320"/>
        <w:tab w:val="right" w:pos="8640"/>
      </w:tabs>
    </w:pPr>
  </w:style>
  <w:style w:type="character" w:customStyle="1" w:styleId="FooterChar">
    <w:name w:val="Footer Char"/>
    <w:basedOn w:val="DefaultParagraphFont"/>
    <w:link w:val="Footer"/>
    <w:uiPriority w:val="99"/>
    <w:rsid w:val="001514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paragraph" w:styleId="NormalWeb">
    <w:name w:val="Normal (Web)"/>
    <w:basedOn w:val="Normal"/>
    <w:uiPriority w:val="99"/>
    <w:semiHidden/>
    <w:unhideWhenUsed/>
    <w:rsid w:val="002A0256"/>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5140E"/>
    <w:pPr>
      <w:tabs>
        <w:tab w:val="center" w:pos="4320"/>
        <w:tab w:val="right" w:pos="8640"/>
      </w:tabs>
    </w:pPr>
  </w:style>
  <w:style w:type="character" w:customStyle="1" w:styleId="HeaderChar">
    <w:name w:val="Header Char"/>
    <w:basedOn w:val="DefaultParagraphFont"/>
    <w:link w:val="Header"/>
    <w:uiPriority w:val="99"/>
    <w:rsid w:val="0015140E"/>
  </w:style>
  <w:style w:type="paragraph" w:styleId="Footer">
    <w:name w:val="footer"/>
    <w:basedOn w:val="Normal"/>
    <w:link w:val="FooterChar"/>
    <w:uiPriority w:val="99"/>
    <w:unhideWhenUsed/>
    <w:rsid w:val="0015140E"/>
    <w:pPr>
      <w:tabs>
        <w:tab w:val="center" w:pos="4320"/>
        <w:tab w:val="right" w:pos="8640"/>
      </w:tabs>
    </w:pPr>
  </w:style>
  <w:style w:type="character" w:customStyle="1" w:styleId="FooterChar">
    <w:name w:val="Footer Char"/>
    <w:basedOn w:val="DefaultParagraphFont"/>
    <w:link w:val="Footer"/>
    <w:uiPriority w:val="99"/>
    <w:rsid w:val="0015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7758">
      <w:bodyDiv w:val="1"/>
      <w:marLeft w:val="0"/>
      <w:marRight w:val="0"/>
      <w:marTop w:val="0"/>
      <w:marBottom w:val="0"/>
      <w:divBdr>
        <w:top w:val="none" w:sz="0" w:space="0" w:color="auto"/>
        <w:left w:val="none" w:sz="0" w:space="0" w:color="auto"/>
        <w:bottom w:val="none" w:sz="0" w:space="0" w:color="auto"/>
        <w:right w:val="none" w:sz="0" w:space="0" w:color="auto"/>
      </w:divBdr>
      <w:divsChild>
        <w:div w:id="482897067">
          <w:marLeft w:val="1008"/>
          <w:marRight w:val="0"/>
          <w:marTop w:val="96"/>
          <w:marBottom w:val="0"/>
          <w:divBdr>
            <w:top w:val="none" w:sz="0" w:space="0" w:color="auto"/>
            <w:left w:val="none" w:sz="0" w:space="0" w:color="auto"/>
            <w:bottom w:val="none" w:sz="0" w:space="0" w:color="auto"/>
            <w:right w:val="none" w:sz="0" w:space="0" w:color="auto"/>
          </w:divBdr>
        </w:div>
      </w:divsChild>
    </w:div>
    <w:div w:id="412432812">
      <w:bodyDiv w:val="1"/>
      <w:marLeft w:val="0"/>
      <w:marRight w:val="0"/>
      <w:marTop w:val="0"/>
      <w:marBottom w:val="0"/>
      <w:divBdr>
        <w:top w:val="none" w:sz="0" w:space="0" w:color="auto"/>
        <w:left w:val="none" w:sz="0" w:space="0" w:color="auto"/>
        <w:bottom w:val="none" w:sz="0" w:space="0" w:color="auto"/>
        <w:right w:val="none" w:sz="0" w:space="0" w:color="auto"/>
      </w:divBdr>
      <w:divsChild>
        <w:div w:id="564225625">
          <w:marLeft w:val="547"/>
          <w:marRight w:val="0"/>
          <w:marTop w:val="106"/>
          <w:marBottom w:val="0"/>
          <w:divBdr>
            <w:top w:val="none" w:sz="0" w:space="0" w:color="auto"/>
            <w:left w:val="none" w:sz="0" w:space="0" w:color="auto"/>
            <w:bottom w:val="none" w:sz="0" w:space="0" w:color="auto"/>
            <w:right w:val="none" w:sz="0" w:space="0" w:color="auto"/>
          </w:divBdr>
        </w:div>
      </w:divsChild>
    </w:div>
    <w:div w:id="489759140">
      <w:bodyDiv w:val="1"/>
      <w:marLeft w:val="0"/>
      <w:marRight w:val="0"/>
      <w:marTop w:val="0"/>
      <w:marBottom w:val="0"/>
      <w:divBdr>
        <w:top w:val="none" w:sz="0" w:space="0" w:color="auto"/>
        <w:left w:val="none" w:sz="0" w:space="0" w:color="auto"/>
        <w:bottom w:val="none" w:sz="0" w:space="0" w:color="auto"/>
        <w:right w:val="none" w:sz="0" w:space="0" w:color="auto"/>
      </w:divBdr>
      <w:divsChild>
        <w:div w:id="1208951211">
          <w:marLeft w:val="547"/>
          <w:marRight w:val="0"/>
          <w:marTop w:val="106"/>
          <w:marBottom w:val="0"/>
          <w:divBdr>
            <w:top w:val="none" w:sz="0" w:space="0" w:color="auto"/>
            <w:left w:val="none" w:sz="0" w:space="0" w:color="auto"/>
            <w:bottom w:val="none" w:sz="0" w:space="0" w:color="auto"/>
            <w:right w:val="none" w:sz="0" w:space="0" w:color="auto"/>
          </w:divBdr>
        </w:div>
      </w:divsChild>
    </w:div>
    <w:div w:id="745690069">
      <w:bodyDiv w:val="1"/>
      <w:marLeft w:val="0"/>
      <w:marRight w:val="0"/>
      <w:marTop w:val="0"/>
      <w:marBottom w:val="0"/>
      <w:divBdr>
        <w:top w:val="none" w:sz="0" w:space="0" w:color="auto"/>
        <w:left w:val="none" w:sz="0" w:space="0" w:color="auto"/>
        <w:bottom w:val="none" w:sz="0" w:space="0" w:color="auto"/>
        <w:right w:val="none" w:sz="0" w:space="0" w:color="auto"/>
      </w:divBdr>
    </w:div>
    <w:div w:id="778380328">
      <w:bodyDiv w:val="1"/>
      <w:marLeft w:val="0"/>
      <w:marRight w:val="0"/>
      <w:marTop w:val="0"/>
      <w:marBottom w:val="0"/>
      <w:divBdr>
        <w:top w:val="none" w:sz="0" w:space="0" w:color="auto"/>
        <w:left w:val="none" w:sz="0" w:space="0" w:color="auto"/>
        <w:bottom w:val="none" w:sz="0" w:space="0" w:color="auto"/>
        <w:right w:val="none" w:sz="0" w:space="0" w:color="auto"/>
      </w:divBdr>
      <w:divsChild>
        <w:div w:id="846403780">
          <w:marLeft w:val="547"/>
          <w:marRight w:val="0"/>
          <w:marTop w:val="106"/>
          <w:marBottom w:val="0"/>
          <w:divBdr>
            <w:top w:val="none" w:sz="0" w:space="0" w:color="auto"/>
            <w:left w:val="none" w:sz="0" w:space="0" w:color="auto"/>
            <w:bottom w:val="none" w:sz="0" w:space="0" w:color="auto"/>
            <w:right w:val="none" w:sz="0" w:space="0" w:color="auto"/>
          </w:divBdr>
        </w:div>
      </w:divsChild>
    </w:div>
    <w:div w:id="971859662">
      <w:bodyDiv w:val="1"/>
      <w:marLeft w:val="0"/>
      <w:marRight w:val="0"/>
      <w:marTop w:val="0"/>
      <w:marBottom w:val="0"/>
      <w:divBdr>
        <w:top w:val="none" w:sz="0" w:space="0" w:color="auto"/>
        <w:left w:val="none" w:sz="0" w:space="0" w:color="auto"/>
        <w:bottom w:val="none" w:sz="0" w:space="0" w:color="auto"/>
        <w:right w:val="none" w:sz="0" w:space="0" w:color="auto"/>
      </w:divBdr>
    </w:div>
    <w:div w:id="1450932619">
      <w:bodyDiv w:val="1"/>
      <w:marLeft w:val="0"/>
      <w:marRight w:val="0"/>
      <w:marTop w:val="0"/>
      <w:marBottom w:val="0"/>
      <w:divBdr>
        <w:top w:val="none" w:sz="0" w:space="0" w:color="auto"/>
        <w:left w:val="none" w:sz="0" w:space="0" w:color="auto"/>
        <w:bottom w:val="none" w:sz="0" w:space="0" w:color="auto"/>
        <w:right w:val="none" w:sz="0" w:space="0" w:color="auto"/>
      </w:divBdr>
      <w:divsChild>
        <w:div w:id="1516462446">
          <w:marLeft w:val="1008"/>
          <w:marRight w:val="0"/>
          <w:marTop w:val="96"/>
          <w:marBottom w:val="0"/>
          <w:divBdr>
            <w:top w:val="none" w:sz="0" w:space="0" w:color="auto"/>
            <w:left w:val="none" w:sz="0" w:space="0" w:color="auto"/>
            <w:bottom w:val="none" w:sz="0" w:space="0" w:color="auto"/>
            <w:right w:val="none" w:sz="0" w:space="0" w:color="auto"/>
          </w:divBdr>
        </w:div>
      </w:divsChild>
    </w:div>
    <w:div w:id="1477917215">
      <w:bodyDiv w:val="1"/>
      <w:marLeft w:val="0"/>
      <w:marRight w:val="0"/>
      <w:marTop w:val="0"/>
      <w:marBottom w:val="0"/>
      <w:divBdr>
        <w:top w:val="none" w:sz="0" w:space="0" w:color="auto"/>
        <w:left w:val="none" w:sz="0" w:space="0" w:color="auto"/>
        <w:bottom w:val="none" w:sz="0" w:space="0" w:color="auto"/>
        <w:right w:val="none" w:sz="0" w:space="0" w:color="auto"/>
      </w:divBdr>
      <w:divsChild>
        <w:div w:id="2145999163">
          <w:marLeft w:val="1008"/>
          <w:marRight w:val="0"/>
          <w:marTop w:val="96"/>
          <w:marBottom w:val="0"/>
          <w:divBdr>
            <w:top w:val="none" w:sz="0" w:space="0" w:color="auto"/>
            <w:left w:val="none" w:sz="0" w:space="0" w:color="auto"/>
            <w:bottom w:val="none" w:sz="0" w:space="0" w:color="auto"/>
            <w:right w:val="none" w:sz="0" w:space="0" w:color="auto"/>
          </w:divBdr>
        </w:div>
      </w:divsChild>
    </w:div>
    <w:div w:id="1490173130">
      <w:bodyDiv w:val="1"/>
      <w:marLeft w:val="0"/>
      <w:marRight w:val="0"/>
      <w:marTop w:val="0"/>
      <w:marBottom w:val="0"/>
      <w:divBdr>
        <w:top w:val="none" w:sz="0" w:space="0" w:color="auto"/>
        <w:left w:val="none" w:sz="0" w:space="0" w:color="auto"/>
        <w:bottom w:val="none" w:sz="0" w:space="0" w:color="auto"/>
        <w:right w:val="none" w:sz="0" w:space="0" w:color="auto"/>
      </w:divBdr>
      <w:divsChild>
        <w:div w:id="1946887710">
          <w:marLeft w:val="547"/>
          <w:marRight w:val="0"/>
          <w:marTop w:val="106"/>
          <w:marBottom w:val="0"/>
          <w:divBdr>
            <w:top w:val="none" w:sz="0" w:space="0" w:color="auto"/>
            <w:left w:val="none" w:sz="0" w:space="0" w:color="auto"/>
            <w:bottom w:val="none" w:sz="0" w:space="0" w:color="auto"/>
            <w:right w:val="none" w:sz="0" w:space="0" w:color="auto"/>
          </w:divBdr>
        </w:div>
      </w:divsChild>
    </w:div>
    <w:div w:id="1527789259">
      <w:bodyDiv w:val="1"/>
      <w:marLeft w:val="0"/>
      <w:marRight w:val="0"/>
      <w:marTop w:val="0"/>
      <w:marBottom w:val="0"/>
      <w:divBdr>
        <w:top w:val="none" w:sz="0" w:space="0" w:color="auto"/>
        <w:left w:val="none" w:sz="0" w:space="0" w:color="auto"/>
        <w:bottom w:val="none" w:sz="0" w:space="0" w:color="auto"/>
        <w:right w:val="none" w:sz="0" w:space="0" w:color="auto"/>
      </w:divBdr>
      <w:divsChild>
        <w:div w:id="2084328226">
          <w:marLeft w:val="1008"/>
          <w:marRight w:val="0"/>
          <w:marTop w:val="96"/>
          <w:marBottom w:val="0"/>
          <w:divBdr>
            <w:top w:val="none" w:sz="0" w:space="0" w:color="auto"/>
            <w:left w:val="none" w:sz="0" w:space="0" w:color="auto"/>
            <w:bottom w:val="none" w:sz="0" w:space="0" w:color="auto"/>
            <w:right w:val="none" w:sz="0" w:space="0" w:color="auto"/>
          </w:divBdr>
        </w:div>
      </w:divsChild>
    </w:div>
    <w:div w:id="1797943348">
      <w:bodyDiv w:val="1"/>
      <w:marLeft w:val="0"/>
      <w:marRight w:val="0"/>
      <w:marTop w:val="0"/>
      <w:marBottom w:val="0"/>
      <w:divBdr>
        <w:top w:val="none" w:sz="0" w:space="0" w:color="auto"/>
        <w:left w:val="none" w:sz="0" w:space="0" w:color="auto"/>
        <w:bottom w:val="none" w:sz="0" w:space="0" w:color="auto"/>
        <w:right w:val="none" w:sz="0" w:space="0" w:color="auto"/>
      </w:divBdr>
    </w:div>
    <w:div w:id="1880044969">
      <w:bodyDiv w:val="1"/>
      <w:marLeft w:val="0"/>
      <w:marRight w:val="0"/>
      <w:marTop w:val="0"/>
      <w:marBottom w:val="0"/>
      <w:divBdr>
        <w:top w:val="none" w:sz="0" w:space="0" w:color="auto"/>
        <w:left w:val="none" w:sz="0" w:space="0" w:color="auto"/>
        <w:bottom w:val="none" w:sz="0" w:space="0" w:color="auto"/>
        <w:right w:val="none" w:sz="0" w:space="0" w:color="auto"/>
      </w:divBdr>
      <w:divsChild>
        <w:div w:id="1739478085">
          <w:marLeft w:val="1008"/>
          <w:marRight w:val="0"/>
          <w:marTop w:val="96"/>
          <w:marBottom w:val="0"/>
          <w:divBdr>
            <w:top w:val="none" w:sz="0" w:space="0" w:color="auto"/>
            <w:left w:val="none" w:sz="0" w:space="0" w:color="auto"/>
            <w:bottom w:val="none" w:sz="0" w:space="0" w:color="auto"/>
            <w:right w:val="none" w:sz="0" w:space="0" w:color="auto"/>
          </w:divBdr>
        </w:div>
      </w:divsChild>
    </w:div>
    <w:div w:id="1891646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Microsoft_Equation7.bin"/><Relationship Id="rId22" Type="http://schemas.openxmlformats.org/officeDocument/2006/relationships/image" Target="media/image8.emf"/><Relationship Id="rId23" Type="http://schemas.openxmlformats.org/officeDocument/2006/relationships/oleObject" Target="embeddings/Microsoft_Equation8.bin"/><Relationship Id="rId24" Type="http://schemas.openxmlformats.org/officeDocument/2006/relationships/image" Target="media/image9.emf"/><Relationship Id="rId25" Type="http://schemas.openxmlformats.org/officeDocument/2006/relationships/oleObject" Target="embeddings/Microsoft_Equation9.bin"/><Relationship Id="rId26" Type="http://schemas.openxmlformats.org/officeDocument/2006/relationships/image" Target="media/image10.emf"/><Relationship Id="rId27" Type="http://schemas.openxmlformats.org/officeDocument/2006/relationships/oleObject" Target="embeddings/Microsoft_Equation10.bin"/><Relationship Id="rId28" Type="http://schemas.openxmlformats.org/officeDocument/2006/relationships/image" Target="media/image11.emf"/><Relationship Id="rId29" Type="http://schemas.openxmlformats.org/officeDocument/2006/relationships/oleObject" Target="embeddings/Microsoft_Equation1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emf"/><Relationship Id="rId31" Type="http://schemas.openxmlformats.org/officeDocument/2006/relationships/oleObject" Target="embeddings/Microsoft_Equation12.bin"/><Relationship Id="rId32" Type="http://schemas.openxmlformats.org/officeDocument/2006/relationships/image" Target="media/image13.emf"/><Relationship Id="rId9" Type="http://schemas.openxmlformats.org/officeDocument/2006/relationships/oleObject" Target="embeddings/Microsoft_Equation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oleObject" Target="embeddings/Microsoft_Equation13.bin"/><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2.bin"/><Relationship Id="rId12" Type="http://schemas.openxmlformats.org/officeDocument/2006/relationships/image" Target="media/image3.emf"/><Relationship Id="rId13" Type="http://schemas.openxmlformats.org/officeDocument/2006/relationships/oleObject" Target="embeddings/Microsoft_Equation3.bin"/><Relationship Id="rId14" Type="http://schemas.openxmlformats.org/officeDocument/2006/relationships/image" Target="media/image4.emf"/><Relationship Id="rId15" Type="http://schemas.openxmlformats.org/officeDocument/2006/relationships/oleObject" Target="embeddings/Microsoft_Equation4.bin"/><Relationship Id="rId16" Type="http://schemas.openxmlformats.org/officeDocument/2006/relationships/image" Target="media/image5.emf"/><Relationship Id="rId17" Type="http://schemas.openxmlformats.org/officeDocument/2006/relationships/oleObject" Target="embeddings/Microsoft_Equation5.bin"/><Relationship Id="rId18" Type="http://schemas.openxmlformats.org/officeDocument/2006/relationships/image" Target="media/image6.emf"/><Relationship Id="rId19" Type="http://schemas.openxmlformats.org/officeDocument/2006/relationships/oleObject" Target="embeddings/Microsoft_Equation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1421</Words>
  <Characters>8101</Characters>
  <Application>Microsoft Macintosh Word</Application>
  <DocSecurity>0</DocSecurity>
  <Lines>67</Lines>
  <Paragraphs>19</Paragraphs>
  <ScaleCrop>false</ScaleCrop>
  <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Weiyi Chen</cp:lastModifiedBy>
  <cp:revision>10</cp:revision>
  <dcterms:created xsi:type="dcterms:W3CDTF">2014-11-05T15:41:00Z</dcterms:created>
  <dcterms:modified xsi:type="dcterms:W3CDTF">2015-09-16T19:40:00Z</dcterms:modified>
</cp:coreProperties>
</file>