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FE7" w:rsidRPr="00641FE7" w:rsidRDefault="00641FE7" w:rsidP="00641FE7">
      <w:pPr>
        <w:jc w:val="center"/>
        <w:rPr>
          <w:sz w:val="28"/>
          <w:szCs w:val="28"/>
        </w:rPr>
      </w:pPr>
      <w:bookmarkStart w:id="0" w:name="_GoBack"/>
      <w:bookmarkEnd w:id="0"/>
      <w:r w:rsidRPr="00641FE7">
        <w:rPr>
          <w:sz w:val="28"/>
          <w:szCs w:val="28"/>
        </w:rPr>
        <w:t>COUNTER-PARTY RISK</w:t>
      </w:r>
    </w:p>
    <w:p w:rsidR="00641FE7" w:rsidRDefault="00641FE7" w:rsidP="00641FE7"/>
    <w:p w:rsidR="00641FE7" w:rsidRDefault="00641FE7" w:rsidP="00641FE7">
      <w:r>
        <w:t xml:space="preserve">An option buyer and seller may negotiate and transact directly with each other.  One of the parties may be an options dealer.  The parties may have </w:t>
      </w:r>
      <w:r w:rsidR="00BE2CEA">
        <w:t>found</w:t>
      </w:r>
      <w:r>
        <w:t xml:space="preserve"> each other on their own, or they may have used the services of a broker to conduct a search.  </w:t>
      </w:r>
    </w:p>
    <w:p w:rsidR="00641FE7" w:rsidRDefault="00641FE7" w:rsidP="00641FE7">
      <w:r>
        <w:t xml:space="preserve">In all these cases, the options buyer may understandably be worried that the seller may not be able to come up with the underlying asset (for a call option) or the money (for a put) if and when the option is exercised.  Instead, an options buyer may transact on an organized options exchange, such as the CBOE – the Chicago Board Options Exchange.  An exchange provides a central venue – physical or computer-based – for potential options contract counterparties to meet and effect a </w:t>
      </w:r>
      <w:r w:rsidR="00BE2CEA">
        <w:t>transaction</w:t>
      </w:r>
      <w:r>
        <w:t>.</w:t>
      </w:r>
      <w:r w:rsidR="00FB6DCC">
        <w:rPr>
          <w:rStyle w:val="FootnoteReference"/>
        </w:rPr>
        <w:footnoteReference w:id="1"/>
      </w:r>
      <w:r>
        <w:t xml:space="preserve">  Although the contract is </w:t>
      </w:r>
      <w:r w:rsidR="00BE2CEA">
        <w:t>negotiated</w:t>
      </w:r>
      <w:r>
        <w:t xml:space="preserve"> between the buyer and </w:t>
      </w:r>
      <w:r w:rsidR="00BE2CEA">
        <w:t>seller</w:t>
      </w:r>
      <w:r>
        <w:t>, the exchange becomes the legal counterparty to each transaction.</w:t>
      </w:r>
      <w:r w:rsidR="00B0494F">
        <w:rPr>
          <w:rStyle w:val="FootnoteReference"/>
        </w:rPr>
        <w:footnoteReference w:id="2"/>
      </w:r>
      <w:r>
        <w:t xml:space="preserve">  From the perspective of the options buyer, the exchange is ultimately responsible for </w:t>
      </w:r>
      <w:r w:rsidR="00BE2CEA">
        <w:t>delivering</w:t>
      </w:r>
      <w:r>
        <w:t xml:space="preserve"> the underlying asset or funds upon exercise.  Then options buyer need only be concerned with the economics of the option itself, not with whether the </w:t>
      </w:r>
      <w:r w:rsidR="00BE2CEA">
        <w:t>contract</w:t>
      </w:r>
      <w:r>
        <w:t xml:space="preserve"> will be honored.  </w:t>
      </w:r>
      <w:r w:rsidR="00BE2CEA">
        <w:t xml:space="preserve">To appreciate the special nature of the risk faced by the option buyer when the writer cannot follow through on the contract and to understand the procedures instituted by the marketplace (including options exchanges) to handle it, we need to explore a number of interrelated concepts.  </w:t>
      </w:r>
    </w:p>
    <w:p w:rsidR="00502536" w:rsidRDefault="00502536" w:rsidP="00502536">
      <w:r>
        <w:t>PERFORMANCE RISK</w:t>
      </w:r>
    </w:p>
    <w:p w:rsidR="00641FE7" w:rsidRDefault="00641FE7" w:rsidP="00502536">
      <w:r>
        <w:t xml:space="preserve">The possibility that the </w:t>
      </w:r>
      <w:r w:rsidR="00BE2CEA">
        <w:t>counterparty</w:t>
      </w:r>
      <w:r>
        <w:t xml:space="preserve"> to a derivative contract may not follow through according to the terms of the contract is known as perf</w:t>
      </w:r>
      <w:r w:rsidR="00502536">
        <w:t>o</w:t>
      </w:r>
      <w:r>
        <w:t xml:space="preserve">rmance risk (or counterparty risk or, more </w:t>
      </w:r>
      <w:r w:rsidR="00BE2CEA">
        <w:t>generally</w:t>
      </w:r>
      <w:r>
        <w:t xml:space="preserve">, </w:t>
      </w:r>
      <w:r w:rsidR="00BE2CEA">
        <w:t>contract</w:t>
      </w:r>
      <w:r>
        <w:t xml:space="preserve"> risk).  </w:t>
      </w:r>
      <w:r w:rsidR="00BE2CEA">
        <w:t>Whereas</w:t>
      </w:r>
      <w:r>
        <w:t xml:space="preserve"> the risk of non-</w:t>
      </w:r>
      <w:r w:rsidR="00BE2CEA">
        <w:t>performance</w:t>
      </w:r>
      <w:r>
        <w:t xml:space="preserve"> </w:t>
      </w:r>
      <w:r w:rsidR="00BE2CEA">
        <w:t>generally</w:t>
      </w:r>
      <w:r>
        <w:t xml:space="preserve"> applies to both counterparties</w:t>
      </w:r>
      <w:r w:rsidR="00502536">
        <w:t xml:space="preserve"> to a derivative contract</w:t>
      </w:r>
      <w:r w:rsidR="00261930">
        <w:t xml:space="preserve">, this is not true </w:t>
      </w:r>
      <w:r w:rsidR="00BE2CEA">
        <w:t>with</w:t>
      </w:r>
      <w:r w:rsidR="00261930">
        <w:t xml:space="preserve"> re</w:t>
      </w:r>
      <w:r>
        <w:t xml:space="preserve">spect to options.  The option writer is not worried that the buyer will abide by the contact; the writer has already received the premium.  The buyer, on the </w:t>
      </w:r>
      <w:r w:rsidR="00BE2CEA">
        <w:t>other</w:t>
      </w:r>
      <w:r>
        <w:t xml:space="preserve"> hand, is concerned about the writer’s ability (or willingness) to make good on his or her end.</w:t>
      </w:r>
    </w:p>
    <w:p w:rsidR="00641FE7" w:rsidRDefault="00BE2CEA" w:rsidP="00502536">
      <w:r>
        <w:t>Performance</w:t>
      </w:r>
      <w:r w:rsidR="00641FE7">
        <w:t xml:space="preserve"> risk is a type of default risk, but is far different from, say, the risk of default on a loan.  </w:t>
      </w:r>
      <w:r>
        <w:t>Suppose</w:t>
      </w:r>
      <w:r w:rsidR="00641FE7">
        <w:t xml:space="preserve"> a bank makes a $1 million loan.  The bank is at risk for the full $1 million.  Should the borrower default, the bank stands to lose the difference between the full face amount of the loan - $1 million – and whatever it can recover, if anything.  Suppose a buyer pays $1.50 each for 40,000 call options on GE stock with a strike of $25/share.  The face amount of the contract is 40,000x$25 = $1 million.  What is the buyer’s risk with respect to the seller’s possible non-performance?</w:t>
      </w:r>
    </w:p>
    <w:p w:rsidR="00641FE7" w:rsidRDefault="00641FE7" w:rsidP="00AF627D">
      <w:pPr>
        <w:pStyle w:val="ListParagraph"/>
        <w:numPr>
          <w:ilvl w:val="0"/>
          <w:numId w:val="1"/>
        </w:numPr>
        <w:ind w:left="720"/>
      </w:pPr>
      <w:r>
        <w:t>If GE is below (or equal to) $25 a share at expiration, the buyer would not exercise (but the writer would love to be exercised!), so non-</w:t>
      </w:r>
      <w:r w:rsidR="00BE2CEA">
        <w:t>performance</w:t>
      </w:r>
      <w:r>
        <w:t xml:space="preserve"> is not an issue.</w:t>
      </w:r>
      <w:r>
        <w:rPr>
          <w:rStyle w:val="FootnoteReference"/>
        </w:rPr>
        <w:footnoteReference w:id="3"/>
      </w:r>
    </w:p>
    <w:p w:rsidR="00994160" w:rsidRDefault="00641FE7" w:rsidP="00AF627D">
      <w:pPr>
        <w:pStyle w:val="ListParagraph"/>
        <w:numPr>
          <w:ilvl w:val="0"/>
          <w:numId w:val="1"/>
        </w:numPr>
        <w:ind w:left="720"/>
      </w:pPr>
      <w:r>
        <w:lastRenderedPageBreak/>
        <w:t xml:space="preserve">If GE is </w:t>
      </w:r>
      <w:r w:rsidR="00BE2CEA">
        <w:t>above</w:t>
      </w:r>
      <w:r>
        <w:t xml:space="preserve"> 25 at expiration, </w:t>
      </w:r>
      <w:r w:rsidR="00BE2CEA">
        <w:t>performance</w:t>
      </w:r>
      <w:r>
        <w:t xml:space="preserve"> risk applies.  </w:t>
      </w:r>
      <w:r w:rsidR="00D5206C">
        <w:t>Say, for example,</w:t>
      </w:r>
      <w:r>
        <w:t xml:space="preserve"> GE hits 28.  The call buyer is entitled to pay $25 each for 40,000 shares of GE.  </w:t>
      </w:r>
      <w:r w:rsidR="00D5206C">
        <w:t>Suppose t</w:t>
      </w:r>
      <w:r>
        <w:t xml:space="preserve">he writer does not </w:t>
      </w:r>
      <w:r w:rsidR="00D5206C">
        <w:t xml:space="preserve">own </w:t>
      </w:r>
      <w:r>
        <w:t xml:space="preserve">the </w:t>
      </w:r>
      <w:r w:rsidR="00BE2CEA">
        <w:t>shares</w:t>
      </w:r>
      <w:r w:rsidR="00D5206C">
        <w:t xml:space="preserve">.  He must </w:t>
      </w:r>
      <w:r w:rsidR="00B818D4">
        <w:t>purchase</w:t>
      </w:r>
      <w:r w:rsidR="00D5206C">
        <w:t xml:space="preserve"> </w:t>
      </w:r>
      <w:r>
        <w:t xml:space="preserve">the shares in the market for 28 and then sell them to the call </w:t>
      </w:r>
      <w:r w:rsidR="00BE2CEA">
        <w:t>owner</w:t>
      </w:r>
      <w:r>
        <w:t xml:space="preserve"> for 25.  </w:t>
      </w:r>
      <w:r w:rsidR="003B1415">
        <w:t xml:space="preserve">But what if he does not have the resources to absorb this loss of $3/share?  Unless compensation is otherwise forthcoming (as described below), the </w:t>
      </w:r>
      <w:r>
        <w:t xml:space="preserve">buyer </w:t>
      </w:r>
      <w:r w:rsidR="003B1415">
        <w:t xml:space="preserve">will be forced to absorb the loss.  </w:t>
      </w:r>
      <w:r>
        <w:t xml:space="preserve">She will need to pay 28/share in the market, hence lose ($28─$25)x40,000 = $120,000.  Not </w:t>
      </w:r>
      <w:r w:rsidR="003B1415">
        <w:t xml:space="preserve">the full </w:t>
      </w:r>
      <w:r>
        <w:t xml:space="preserve">$1,000,000.  </w:t>
      </w:r>
    </w:p>
    <w:p w:rsidR="00641FE7" w:rsidRDefault="00641FE7" w:rsidP="00994160">
      <w:r>
        <w:t>We conclude the following:</w:t>
      </w:r>
    </w:p>
    <w:p w:rsidR="00994160" w:rsidRPr="00994160" w:rsidRDefault="00994160" w:rsidP="00994160">
      <w:pPr>
        <w:rPr>
          <w:u w:val="single"/>
        </w:rPr>
      </w:pPr>
      <w:r w:rsidRPr="00994160">
        <w:rPr>
          <w:u w:val="single"/>
        </w:rPr>
        <w:t xml:space="preserve">Incidence of </w:t>
      </w:r>
      <w:r>
        <w:rPr>
          <w:u w:val="single"/>
        </w:rPr>
        <w:t xml:space="preserve">Non-Performance </w:t>
      </w:r>
    </w:p>
    <w:p w:rsidR="00641FE7" w:rsidRDefault="00641FE7" w:rsidP="00994160">
      <w:r>
        <w:t xml:space="preserve">An option buyer will only suffer a loss due to non-performance if the seller cannot perform when the underlying asset is above the strike at expiration.  This significantly reduces the </w:t>
      </w:r>
      <w:r w:rsidR="00BE2CEA" w:rsidRPr="00994160">
        <w:rPr>
          <w:i/>
        </w:rPr>
        <w:t>probability</w:t>
      </w:r>
      <w:r>
        <w:t xml:space="preserve"> of a loss because </w:t>
      </w:r>
      <w:r w:rsidR="00BE2CEA">
        <w:t>two</w:t>
      </w:r>
      <w:r>
        <w:t xml:space="preserve"> events must occur si</w:t>
      </w:r>
      <w:r w:rsidR="00E02618">
        <w:t>multaneously: t</w:t>
      </w:r>
      <w:r>
        <w:t xml:space="preserve">he writer defaults on his obligation and the underlying asset is above the strike.  </w:t>
      </w:r>
      <w:r w:rsidR="00BE2CEA">
        <w:t xml:space="preserve">We know from elementary probability theory that, as long as the events are not perfectly correlated (and there is no reason to believe that there is any significant correlation between the financial health of the writer and the dynamics of GE’s stock price movements) the probability of two events occurring is much lower than that of a single event.  </w:t>
      </w:r>
      <w:r>
        <w:t xml:space="preserve">Contrast this with the above loan.  Only one event needs to </w:t>
      </w:r>
      <w:r w:rsidR="00BE2CEA">
        <w:t>occur</w:t>
      </w:r>
      <w:r>
        <w:t xml:space="preserve"> in order for the lender to suffer a loss: default by the borrower, regardless of the value of any other market parameter.</w:t>
      </w:r>
      <w:r>
        <w:rPr>
          <w:rStyle w:val="FootnoteReference"/>
        </w:rPr>
        <w:footnoteReference w:id="4"/>
      </w:r>
    </w:p>
    <w:p w:rsidR="00994160" w:rsidRPr="00994160" w:rsidRDefault="00994160" w:rsidP="00994160">
      <w:pPr>
        <w:rPr>
          <w:u w:val="single"/>
        </w:rPr>
      </w:pPr>
      <w:r w:rsidRPr="00994160">
        <w:rPr>
          <w:u w:val="single"/>
        </w:rPr>
        <w:t>Potential Loss Due to Non-Performance</w:t>
      </w:r>
    </w:p>
    <w:p w:rsidR="00CD3152" w:rsidRDefault="00641FE7" w:rsidP="00994160">
      <w:r>
        <w:t xml:space="preserve">The </w:t>
      </w:r>
      <w:r w:rsidRPr="00994160">
        <w:rPr>
          <w:i/>
        </w:rPr>
        <w:t>amount</w:t>
      </w:r>
      <w:r>
        <w:t xml:space="preserve"> at risk in event of non-</w:t>
      </w:r>
      <w:r w:rsidR="00BE2CEA">
        <w:t>performance</w:t>
      </w:r>
      <w:r>
        <w:t xml:space="preserve"> is the difference between the strike and the price of the underlying asset at expiration.  In the above example, where GE is 28/share when the call expires, the call owner loses $3 a share, not $28 (the </w:t>
      </w:r>
      <w:r w:rsidR="00BE2CEA">
        <w:t>price</w:t>
      </w:r>
      <w:r>
        <w:t xml:space="preserve"> at expiration) and not $25 (the exercise price) due to the writer’s non-performance. If GE’s cash price is currently, say, 25/share, there needs to be a </w:t>
      </w:r>
      <w:r w:rsidRPr="00994160">
        <w:rPr>
          <w:i/>
        </w:rPr>
        <w:t>change</w:t>
      </w:r>
      <w:r>
        <w:t xml:space="preserve"> in its price before performance risk becomes at all </w:t>
      </w:r>
      <w:r w:rsidR="00BE2CEA">
        <w:t>relevant</w:t>
      </w:r>
      <w:r>
        <w:t xml:space="preserve">.  Again, the contrast with the bank loan is clear:  The entire face amount </w:t>
      </w:r>
      <w:r w:rsidR="00BE2CEA">
        <w:t>of</w:t>
      </w:r>
      <w:r>
        <w:t xml:space="preserve"> the loan is at risk in case of </w:t>
      </w:r>
      <w:r w:rsidR="00BE2CEA">
        <w:t>default</w:t>
      </w:r>
      <w:r>
        <w:t xml:space="preserve"> by the borrower.  If the strike is 28 rather than 25, a larger change is necessary.  In </w:t>
      </w:r>
      <w:r w:rsidR="00BE2CEA">
        <w:t>either</w:t>
      </w:r>
      <w:r>
        <w:t xml:space="preserve"> case, the gr</w:t>
      </w:r>
      <w:r w:rsidR="00E02618">
        <w:t>e</w:t>
      </w:r>
      <w:r>
        <w:t xml:space="preserve">ater the change in GE’s price, the </w:t>
      </w:r>
      <w:r w:rsidR="00BE2CEA">
        <w:t>greater</w:t>
      </w:r>
      <w:r>
        <w:t xml:space="preserve"> the potential loss from non-</w:t>
      </w:r>
      <w:r w:rsidR="00BE2CEA">
        <w:t>performance</w:t>
      </w:r>
      <w:r>
        <w:t xml:space="preserve">.  </w:t>
      </w:r>
      <w:r w:rsidR="00BE2CEA">
        <w:t>Volatility</w:t>
      </w:r>
      <w:r>
        <w:t xml:space="preserve">, you see, is not only a key ingredient in the value of an option, it plays an important role in performance risk as well. </w:t>
      </w:r>
    </w:p>
    <w:p w:rsidR="00CD3152" w:rsidRDefault="00CD3152" w:rsidP="00CD3152">
      <w:r>
        <w:t xml:space="preserve">Note that performance risk is faced by </w:t>
      </w:r>
      <w:r w:rsidRPr="00CD3152">
        <w:rPr>
          <w:i/>
        </w:rPr>
        <w:t>both</w:t>
      </w:r>
      <w:r>
        <w:t xml:space="preserve"> counterparties to derivative </w:t>
      </w:r>
      <w:r w:rsidR="001C36D6">
        <w:t>contracts</w:t>
      </w:r>
      <w:r>
        <w:t xml:space="preserve"> other than options.  With forwards, futures and swaps, </w:t>
      </w:r>
      <w:r w:rsidR="001C36D6">
        <w:t>neither</w:t>
      </w:r>
      <w:r>
        <w:t xml:space="preserve"> party has a right</w:t>
      </w:r>
      <w:r w:rsidR="00E02618">
        <w:t xml:space="preserve">, rather, </w:t>
      </w:r>
      <w:r>
        <w:t>both have future obligations which must be honored.</w:t>
      </w:r>
    </w:p>
    <w:p w:rsidR="00502536" w:rsidRDefault="00502536" w:rsidP="00502536">
      <w:r>
        <w:t>PUT OPTIONS PEFORMANCE RISK</w:t>
      </w:r>
    </w:p>
    <w:p w:rsidR="00641FE7" w:rsidRDefault="00641FE7" w:rsidP="00502536">
      <w:r>
        <w:lastRenderedPageBreak/>
        <w:t xml:space="preserve">Performance risk with respect to put options is analyzed similarly.  The put writer need not be worried about potential lack of </w:t>
      </w:r>
      <w:r w:rsidR="00BE2CEA">
        <w:t>performance</w:t>
      </w:r>
      <w:r>
        <w:t>, as she has received her premium up front.  The put buyer is concerned that the writer may not be able to come up with the cash should the buyer choose to exercise.</w:t>
      </w:r>
      <w:r>
        <w:rPr>
          <w:rStyle w:val="FootnoteReference"/>
        </w:rPr>
        <w:footnoteReference w:id="5"/>
      </w:r>
      <w:r>
        <w:t xml:space="preserve">  This occur only if the underlying asset’s price is below the strike.  Hence, the </w:t>
      </w:r>
      <w:r w:rsidR="00BE2CEA">
        <w:t>possibility</w:t>
      </w:r>
      <w:r>
        <w:t xml:space="preserve"> of loss </w:t>
      </w:r>
      <w:r w:rsidR="00D5206C">
        <w:t xml:space="preserve">due to </w:t>
      </w:r>
      <w:r>
        <w:t>no</w:t>
      </w:r>
      <w:r w:rsidR="00D5206C">
        <w:t>n</w:t>
      </w:r>
      <w:r>
        <w:t>-</w:t>
      </w:r>
      <w:r w:rsidR="00BE2CEA">
        <w:t>performance</w:t>
      </w:r>
      <w:r>
        <w:t xml:space="preserve"> is relatively muted as the writer’s default must occur only when the underlying asset has fallen enough to </w:t>
      </w:r>
      <w:r w:rsidR="00BE2CEA">
        <w:t>create</w:t>
      </w:r>
      <w:r>
        <w:t xml:space="preserve"> a potential net present value for the put.  Further, the amount at risk is the difference between the </w:t>
      </w:r>
      <w:r w:rsidR="00BE2CEA">
        <w:t>strike</w:t>
      </w:r>
      <w:r>
        <w:t xml:space="preserve"> and the </w:t>
      </w:r>
      <w:r w:rsidR="00BE2CEA">
        <w:t>asset’s</w:t>
      </w:r>
      <w:r>
        <w:t xml:space="preserve"> price, again not the face value of the </w:t>
      </w:r>
      <w:r w:rsidR="00BE2CEA">
        <w:t>contract</w:t>
      </w:r>
      <w:r>
        <w:t>.</w:t>
      </w:r>
      <w:r>
        <w:rPr>
          <w:rStyle w:val="FootnoteReference"/>
        </w:rPr>
        <w:footnoteReference w:id="6"/>
      </w:r>
      <w:r>
        <w:t xml:space="preserve">  </w:t>
      </w:r>
    </w:p>
    <w:p w:rsidR="00502536" w:rsidRDefault="00502536" w:rsidP="00502536">
      <w:r>
        <w:t>EXCHANGE-TRADED OPTIONS</w:t>
      </w:r>
    </w:p>
    <w:p w:rsidR="00723AC0" w:rsidRDefault="00723AC0" w:rsidP="00502536">
      <w:r>
        <w:t xml:space="preserve">As stated above, the exchange is the legal counterparty to all options contracts entered into under its auspices.  The buyer of the option, therefore, faces the risk that the exchange might not perform.  Compared to an entity such as a bank, dealer, </w:t>
      </w:r>
      <w:r w:rsidR="008108BE">
        <w:t>corporation</w:t>
      </w:r>
      <w:r>
        <w:t xml:space="preserve"> or </w:t>
      </w:r>
      <w:r w:rsidR="00A10125">
        <w:t xml:space="preserve">an </w:t>
      </w:r>
      <w:r w:rsidR="008108BE">
        <w:t>individual</w:t>
      </w:r>
      <w:r>
        <w:t xml:space="preserve">, this is surely a much lower order of risk, as we will </w:t>
      </w:r>
      <w:r w:rsidR="008108BE">
        <w:t>presently</w:t>
      </w:r>
      <w:r w:rsidR="00DE79D5">
        <w:t xml:space="preserve"> see</w:t>
      </w:r>
      <w:r>
        <w:t xml:space="preserve">.  </w:t>
      </w:r>
    </w:p>
    <w:p w:rsidR="00076EBA" w:rsidRDefault="005B72BA" w:rsidP="00B84C09">
      <w:pPr>
        <w:pStyle w:val="ListBullet"/>
        <w:numPr>
          <w:ilvl w:val="0"/>
          <w:numId w:val="0"/>
        </w:numPr>
      </w:pPr>
      <w:r>
        <w:t xml:space="preserve">Suppose </w:t>
      </w:r>
      <w:r w:rsidR="004E5017">
        <w:t xml:space="preserve">Abbot </w:t>
      </w:r>
      <w:r>
        <w:t>buy</w:t>
      </w:r>
      <w:r w:rsidR="004E5017">
        <w:t>s</w:t>
      </w:r>
      <w:r>
        <w:t xml:space="preserve"> 100 call options on Apple, Inc.  The calls expire in three months and are struck at 96/share.</w:t>
      </w:r>
      <w:r>
        <w:rPr>
          <w:rStyle w:val="FootnoteReference"/>
        </w:rPr>
        <w:footnoteReference w:id="7"/>
      </w:r>
      <w:r w:rsidR="00754DB8">
        <w:t xml:space="preserve">  </w:t>
      </w:r>
      <w:r w:rsidR="003A1D3F">
        <w:t xml:space="preserve">Apple is trading at 90/share in the cash </w:t>
      </w:r>
      <w:r w:rsidR="008108BE">
        <w:t>market</w:t>
      </w:r>
      <w:r w:rsidR="003A1D3F">
        <w:t xml:space="preserve">.  </w:t>
      </w:r>
      <w:r w:rsidR="004E5017">
        <w:t xml:space="preserve">Assume the premium is 3/share, which Abbot pays now.  </w:t>
      </w:r>
      <w:r w:rsidR="00261930">
        <w:t>Initially, t</w:t>
      </w:r>
      <w:r w:rsidR="004E5017">
        <w:t xml:space="preserve">he calls </w:t>
      </w:r>
      <w:r w:rsidR="00261930">
        <w:t xml:space="preserve">were </w:t>
      </w:r>
      <w:r w:rsidR="004E5017">
        <w:t xml:space="preserve">purchased from some counterparty, say Costello.  </w:t>
      </w:r>
      <w:r w:rsidR="00836FE1">
        <w:t xml:space="preserve">The exchange, </w:t>
      </w:r>
      <w:r w:rsidR="00261930">
        <w:t>standing between Abbot and Costello</w:t>
      </w:r>
      <w:r w:rsidR="00863D7D">
        <w:t xml:space="preserve">, becomes </w:t>
      </w:r>
      <w:r w:rsidR="00261930">
        <w:t>the effective seller to the former and purchaser from the latter</w:t>
      </w:r>
      <w:r w:rsidR="00863D7D">
        <w:t xml:space="preserve">.  Hence, the exchange </w:t>
      </w:r>
      <w:r w:rsidR="00836FE1">
        <w:t xml:space="preserve">faces risk of non-performance from Costello.  This is handled in the following way: Even though Costello is entitled to the $3x100 = $300, the exchange holds it </w:t>
      </w:r>
      <w:r w:rsidR="001B6930">
        <w:t>as collateral.</w:t>
      </w:r>
      <w:r w:rsidR="0086036A">
        <w:t xml:space="preserve">  </w:t>
      </w:r>
      <w:r w:rsidR="006246DE">
        <w:t xml:space="preserve">Let’s ignore the dynamics between the initial transaction and expiration; we deal with that in a later section.  </w:t>
      </w:r>
      <w:r w:rsidR="0086036A">
        <w:t xml:space="preserve">Suppose Apple is 94/share at expiration.  Abbot (hence the </w:t>
      </w:r>
      <w:r w:rsidR="008108BE">
        <w:t>exchange</w:t>
      </w:r>
      <w:r w:rsidR="0086036A">
        <w:t xml:space="preserve">) will not exercise, and Costello keeps his $300.  Suppose instead </w:t>
      </w:r>
      <w:r w:rsidR="00261930">
        <w:t>Apple is 9</w:t>
      </w:r>
      <w:r w:rsidR="00A87F3C">
        <w:t>8</w:t>
      </w:r>
      <w:r w:rsidR="00261930">
        <w:t xml:space="preserve">/share at expiration.  Abbot </w:t>
      </w:r>
      <w:r w:rsidR="00076EBA">
        <w:t xml:space="preserve">(i.e., the </w:t>
      </w:r>
      <w:r w:rsidR="008108BE">
        <w:t>exchange</w:t>
      </w:r>
      <w:r w:rsidR="00076EBA">
        <w:t xml:space="preserve">) </w:t>
      </w:r>
      <w:r w:rsidR="00261930">
        <w:t>will exercise</w:t>
      </w:r>
      <w:r w:rsidR="00AB7D4D">
        <w:t>.  If Costello does not own the shares, he will need to</w:t>
      </w:r>
      <w:r w:rsidR="00A87F3C">
        <w:t xml:space="preserve"> purchase it in the market at 98 and deliver it for 96</w:t>
      </w:r>
      <w:r w:rsidR="00AB7D4D">
        <w:t xml:space="preserve">.  Suppose he cannot.  </w:t>
      </w:r>
      <w:r w:rsidR="00076EBA">
        <w:t>The exchange remains obligated to deliver to Abbot.  But there is no worry.  The exchange has Costello’s $300 which, together with Abbot</w:t>
      </w:r>
      <w:r w:rsidR="00A87F3C">
        <w:t>’s payment of $96</w:t>
      </w:r>
      <w:r w:rsidR="00076EBA">
        <w:t>x100 = $9</w:t>
      </w:r>
      <w:r w:rsidR="00A87F3C">
        <w:t>6</w:t>
      </w:r>
      <w:r w:rsidR="00076EBA">
        <w:t>00 is more than enough to pay the $9</w:t>
      </w:r>
      <w:r w:rsidR="00A87F3C">
        <w:t>8</w:t>
      </w:r>
      <w:r w:rsidR="00076EBA">
        <w:t>x100 = $9,</w:t>
      </w:r>
      <w:r w:rsidR="00A87F3C">
        <w:t>8</w:t>
      </w:r>
      <w:r w:rsidR="00076EBA">
        <w:t xml:space="preserve">00 cost for purchasing the shares in the market (Costello receives the remaining $100).  </w:t>
      </w:r>
      <w:r w:rsidR="00703B37">
        <w:t>The two scenarios ae summarized in Figure 1.</w:t>
      </w:r>
    </w:p>
    <w:p w:rsidR="00076EBA" w:rsidRDefault="00076EBA" w:rsidP="006246DE">
      <w:pPr>
        <w:spacing w:after="0"/>
        <w:jc w:val="center"/>
        <w:rPr>
          <w:rFonts w:ascii="Times New Roman" w:hAnsi="Times New Roman" w:cs="Times New Roman"/>
          <w:sz w:val="24"/>
          <w:szCs w:val="24"/>
        </w:rPr>
      </w:pPr>
      <w:r w:rsidRPr="00076EBA">
        <w:rPr>
          <w:rFonts w:ascii="Times New Roman" w:hAnsi="Times New Roman" w:cs="Times New Roman"/>
          <w:sz w:val="24"/>
          <w:szCs w:val="24"/>
        </w:rPr>
        <w:t>Figure I</w:t>
      </w:r>
    </w:p>
    <w:p w:rsidR="00076EBA" w:rsidRDefault="00076EBA" w:rsidP="006246DE">
      <w:pPr>
        <w:spacing w:after="0"/>
        <w:jc w:val="center"/>
        <w:rPr>
          <w:rFonts w:ascii="Times New Roman" w:hAnsi="Times New Roman" w:cs="Times New Roman"/>
          <w:sz w:val="24"/>
          <w:szCs w:val="24"/>
        </w:rPr>
      </w:pPr>
      <w:r>
        <w:rPr>
          <w:rFonts w:ascii="Times New Roman" w:hAnsi="Times New Roman" w:cs="Times New Roman"/>
          <w:sz w:val="24"/>
          <w:szCs w:val="24"/>
        </w:rPr>
        <w:t>Dynamics of Failure to Deliver</w:t>
      </w:r>
    </w:p>
    <w:p w:rsidR="00076EBA" w:rsidRDefault="00076EBA" w:rsidP="006246DE">
      <w:pPr>
        <w:spacing w:after="0"/>
        <w:jc w:val="center"/>
        <w:rPr>
          <w:rFonts w:ascii="Times New Roman" w:hAnsi="Times New Roman" w:cs="Times New Roman"/>
          <w:sz w:val="24"/>
          <w:szCs w:val="24"/>
        </w:rPr>
      </w:pPr>
      <w:r>
        <w:rPr>
          <w:rFonts w:ascii="Times New Roman" w:hAnsi="Times New Roman" w:cs="Times New Roman"/>
          <w:sz w:val="24"/>
          <w:szCs w:val="24"/>
        </w:rPr>
        <w:t xml:space="preserve">Call on </w:t>
      </w:r>
      <w:r w:rsidR="003D68F6">
        <w:rPr>
          <w:rFonts w:ascii="Times New Roman" w:hAnsi="Times New Roman" w:cs="Times New Roman"/>
          <w:sz w:val="24"/>
          <w:szCs w:val="24"/>
        </w:rPr>
        <w:t xml:space="preserve">100 shares of </w:t>
      </w:r>
      <w:r>
        <w:rPr>
          <w:rFonts w:ascii="Times New Roman" w:hAnsi="Times New Roman" w:cs="Times New Roman"/>
          <w:sz w:val="24"/>
          <w:szCs w:val="24"/>
        </w:rPr>
        <w:t xml:space="preserve">Apple, </w:t>
      </w:r>
      <w:r w:rsidR="003D68F6">
        <w:rPr>
          <w:rFonts w:ascii="Times New Roman" w:hAnsi="Times New Roman" w:cs="Times New Roman"/>
          <w:sz w:val="24"/>
          <w:szCs w:val="24"/>
        </w:rPr>
        <w:t xml:space="preserve">Exercise Price = 96, Initial </w:t>
      </w:r>
      <w:r w:rsidR="006246DE">
        <w:rPr>
          <w:rFonts w:ascii="Times New Roman" w:hAnsi="Times New Roman" w:cs="Times New Roman"/>
          <w:sz w:val="24"/>
          <w:szCs w:val="24"/>
        </w:rPr>
        <w:t>Premium = 3</w:t>
      </w:r>
    </w:p>
    <w:p w:rsidR="006246DE" w:rsidRDefault="006246DE" w:rsidP="00076EBA">
      <w:pPr>
        <w:spacing w:after="0"/>
        <w:rPr>
          <w:rFonts w:ascii="Times New Roman" w:hAnsi="Times New Roman" w:cs="Times New Roman"/>
          <w:sz w:val="24"/>
          <w:szCs w:val="24"/>
        </w:rPr>
      </w:pPr>
    </w:p>
    <w:p w:rsidR="006246DE" w:rsidRDefault="006246DE" w:rsidP="00E85858">
      <w:pPr>
        <w:spacing w:after="0"/>
        <w:ind w:left="720" w:firstLine="720"/>
        <w:rPr>
          <w:rFonts w:ascii="Times New Roman" w:hAnsi="Times New Roman" w:cs="Times New Roman"/>
          <w:sz w:val="24"/>
          <w:szCs w:val="24"/>
        </w:rPr>
      </w:pPr>
      <w:r>
        <w:rPr>
          <w:rFonts w:ascii="Times New Roman" w:hAnsi="Times New Roman" w:cs="Times New Roman"/>
          <w:sz w:val="24"/>
          <w:szCs w:val="24"/>
        </w:rPr>
        <w:t>Apple closes at 94</w:t>
      </w:r>
      <w:r w:rsidR="00703B37">
        <w:rPr>
          <w:rFonts w:ascii="Times New Roman" w:hAnsi="Times New Roman" w:cs="Times New Roman"/>
          <w:sz w:val="24"/>
          <w:szCs w:val="24"/>
        </w:rPr>
        <w:tab/>
        <w:t xml:space="preserve">   </w:t>
      </w:r>
      <w:r w:rsidR="00E85858">
        <w:rPr>
          <w:rFonts w:ascii="Times New Roman" w:hAnsi="Times New Roman" w:cs="Times New Roman"/>
          <w:sz w:val="24"/>
          <w:szCs w:val="24"/>
        </w:rPr>
        <w:tab/>
      </w:r>
      <w:r w:rsidR="00A87F3C">
        <w:rPr>
          <w:rFonts w:ascii="Times New Roman" w:hAnsi="Times New Roman" w:cs="Times New Roman"/>
          <w:sz w:val="24"/>
          <w:szCs w:val="24"/>
        </w:rPr>
        <w:t>Apple closes at 98</w:t>
      </w:r>
      <w:r w:rsidR="00703B37">
        <w:rPr>
          <w:rFonts w:ascii="Times New Roman" w:hAnsi="Times New Roman" w:cs="Times New Roman"/>
          <w:sz w:val="24"/>
          <w:szCs w:val="24"/>
        </w:rPr>
        <w:tab/>
      </w:r>
      <w:r w:rsidR="00703B37">
        <w:rPr>
          <w:rFonts w:ascii="Times New Roman" w:hAnsi="Times New Roman" w:cs="Times New Roman"/>
          <w:sz w:val="24"/>
          <w:szCs w:val="24"/>
        </w:rPr>
        <w:tab/>
      </w:r>
      <w:r w:rsidR="00703B37">
        <w:rPr>
          <w:rFonts w:ascii="Times New Roman" w:hAnsi="Times New Roman" w:cs="Times New Roman"/>
          <w:sz w:val="24"/>
          <w:szCs w:val="24"/>
        </w:rPr>
        <w:tab/>
      </w:r>
      <w:r w:rsidR="00703B37">
        <w:rPr>
          <w:rFonts w:ascii="Times New Roman" w:hAnsi="Times New Roman" w:cs="Times New Roman"/>
          <w:sz w:val="24"/>
          <w:szCs w:val="24"/>
        </w:rPr>
        <w:tab/>
      </w:r>
      <w:r w:rsidR="00703B37">
        <w:rPr>
          <w:rFonts w:ascii="Times New Roman" w:hAnsi="Times New Roman" w:cs="Times New Roman"/>
          <w:sz w:val="24"/>
          <w:szCs w:val="24"/>
        </w:rPr>
        <w:tab/>
      </w:r>
    </w:p>
    <w:p w:rsidR="006246DE" w:rsidRDefault="006246DE" w:rsidP="00E85858">
      <w:pPr>
        <w:spacing w:after="0"/>
        <w:ind w:left="720" w:firstLine="720"/>
        <w:rPr>
          <w:rFonts w:ascii="Times New Roman" w:hAnsi="Times New Roman" w:cs="Times New Roman"/>
          <w:sz w:val="24"/>
          <w:szCs w:val="24"/>
        </w:rPr>
      </w:pPr>
      <w:r>
        <w:rPr>
          <w:rFonts w:ascii="Times New Roman" w:hAnsi="Times New Roman" w:cs="Times New Roman"/>
          <w:sz w:val="24"/>
          <w:szCs w:val="24"/>
        </w:rPr>
        <w:t>Writer keeps $300</w:t>
      </w:r>
      <w:r w:rsidR="00A87F3C">
        <w:rPr>
          <w:rFonts w:ascii="Times New Roman" w:hAnsi="Times New Roman" w:cs="Times New Roman"/>
          <w:sz w:val="24"/>
          <w:szCs w:val="24"/>
        </w:rPr>
        <w:tab/>
      </w:r>
      <w:r w:rsidR="00703B37">
        <w:rPr>
          <w:rFonts w:ascii="Times New Roman" w:hAnsi="Times New Roman" w:cs="Times New Roman"/>
          <w:sz w:val="24"/>
          <w:szCs w:val="24"/>
        </w:rPr>
        <w:t xml:space="preserve">   </w:t>
      </w:r>
      <w:r w:rsidR="00E85858">
        <w:rPr>
          <w:rFonts w:ascii="Times New Roman" w:hAnsi="Times New Roman" w:cs="Times New Roman"/>
          <w:sz w:val="24"/>
          <w:szCs w:val="24"/>
        </w:rPr>
        <w:tab/>
      </w:r>
      <w:r w:rsidR="00A87F3C">
        <w:rPr>
          <w:rFonts w:ascii="Times New Roman" w:hAnsi="Times New Roman" w:cs="Times New Roman"/>
          <w:sz w:val="24"/>
          <w:szCs w:val="24"/>
        </w:rPr>
        <w:t>Buyer exercises, pays $9600</w:t>
      </w:r>
      <w:r w:rsidR="00703B37">
        <w:rPr>
          <w:rFonts w:ascii="Times New Roman" w:hAnsi="Times New Roman" w:cs="Times New Roman"/>
          <w:sz w:val="24"/>
          <w:szCs w:val="24"/>
        </w:rPr>
        <w:t xml:space="preserve"> to </w:t>
      </w:r>
      <w:r w:rsidR="008108BE">
        <w:rPr>
          <w:rFonts w:ascii="Times New Roman" w:hAnsi="Times New Roman" w:cs="Times New Roman"/>
          <w:sz w:val="24"/>
          <w:szCs w:val="24"/>
        </w:rPr>
        <w:t>exchange</w:t>
      </w:r>
    </w:p>
    <w:p w:rsidR="00A87F3C" w:rsidRDefault="00A87F3C" w:rsidP="003C410F">
      <w:pPr>
        <w:spacing w:after="0"/>
        <w:ind w:righ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03B37">
        <w:rPr>
          <w:rFonts w:ascii="Times New Roman" w:hAnsi="Times New Roman" w:cs="Times New Roman"/>
          <w:sz w:val="24"/>
          <w:szCs w:val="24"/>
        </w:rPr>
        <w:t xml:space="preserve">   </w:t>
      </w:r>
      <w:r w:rsidR="00E85858">
        <w:rPr>
          <w:rFonts w:ascii="Times New Roman" w:hAnsi="Times New Roman" w:cs="Times New Roman"/>
          <w:sz w:val="24"/>
          <w:szCs w:val="24"/>
        </w:rPr>
        <w:tab/>
      </w:r>
      <w:r w:rsidR="00E85858">
        <w:rPr>
          <w:rFonts w:ascii="Times New Roman" w:hAnsi="Times New Roman" w:cs="Times New Roman"/>
          <w:sz w:val="24"/>
          <w:szCs w:val="24"/>
        </w:rPr>
        <w:tab/>
      </w:r>
      <w:r w:rsidR="00E85858">
        <w:rPr>
          <w:rFonts w:ascii="Times New Roman" w:hAnsi="Times New Roman" w:cs="Times New Roman"/>
          <w:sz w:val="24"/>
          <w:szCs w:val="24"/>
        </w:rPr>
        <w:tab/>
      </w:r>
      <w:r w:rsidR="00703B37">
        <w:rPr>
          <w:rFonts w:ascii="Times New Roman" w:hAnsi="Times New Roman" w:cs="Times New Roman"/>
          <w:sz w:val="24"/>
          <w:szCs w:val="24"/>
        </w:rPr>
        <w:t>E</w:t>
      </w:r>
      <w:r>
        <w:rPr>
          <w:rFonts w:ascii="Times New Roman" w:hAnsi="Times New Roman" w:cs="Times New Roman"/>
          <w:sz w:val="24"/>
          <w:szCs w:val="24"/>
        </w:rPr>
        <w:t>xchange takes $200 from collateral</w:t>
      </w:r>
      <w:r w:rsidR="003C410F">
        <w:rPr>
          <w:rFonts w:ascii="Times New Roman" w:hAnsi="Times New Roman" w:cs="Times New Roman"/>
          <w:sz w:val="24"/>
          <w:szCs w:val="24"/>
        </w:rPr>
        <w:t>; Writer keeps $100</w:t>
      </w:r>
    </w:p>
    <w:p w:rsidR="00703B37" w:rsidRDefault="00703B37" w:rsidP="00076EB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85858">
        <w:rPr>
          <w:rFonts w:ascii="Times New Roman" w:hAnsi="Times New Roman" w:cs="Times New Roman"/>
          <w:sz w:val="24"/>
          <w:szCs w:val="24"/>
        </w:rPr>
        <w:tab/>
      </w:r>
      <w:r w:rsidR="00E85858">
        <w:rPr>
          <w:rFonts w:ascii="Times New Roman" w:hAnsi="Times New Roman" w:cs="Times New Roman"/>
          <w:sz w:val="24"/>
          <w:szCs w:val="24"/>
        </w:rPr>
        <w:tab/>
      </w:r>
      <w:r w:rsidR="00E85858">
        <w:rPr>
          <w:rFonts w:ascii="Times New Roman" w:hAnsi="Times New Roman" w:cs="Times New Roman"/>
          <w:sz w:val="24"/>
          <w:szCs w:val="24"/>
        </w:rPr>
        <w:tab/>
      </w:r>
      <w:r w:rsidR="008108BE">
        <w:rPr>
          <w:rFonts w:ascii="Times New Roman" w:hAnsi="Times New Roman" w:cs="Times New Roman"/>
          <w:sz w:val="24"/>
          <w:szCs w:val="24"/>
        </w:rPr>
        <w:t>Exchange</w:t>
      </w:r>
      <w:r>
        <w:rPr>
          <w:rFonts w:ascii="Times New Roman" w:hAnsi="Times New Roman" w:cs="Times New Roman"/>
          <w:sz w:val="24"/>
          <w:szCs w:val="24"/>
        </w:rPr>
        <w:t xml:space="preserve"> uses $9800 total to purchase Apple</w:t>
      </w:r>
    </w:p>
    <w:p w:rsidR="00703B37" w:rsidRDefault="00703B37" w:rsidP="00076EB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85858">
        <w:rPr>
          <w:rFonts w:ascii="Times New Roman" w:hAnsi="Times New Roman" w:cs="Times New Roman"/>
          <w:sz w:val="24"/>
          <w:szCs w:val="24"/>
        </w:rPr>
        <w:tab/>
      </w:r>
      <w:r w:rsidR="00E85858">
        <w:rPr>
          <w:rFonts w:ascii="Times New Roman" w:hAnsi="Times New Roman" w:cs="Times New Roman"/>
          <w:sz w:val="24"/>
          <w:szCs w:val="24"/>
        </w:rPr>
        <w:tab/>
      </w:r>
      <w:r w:rsidR="00E85858">
        <w:rPr>
          <w:rFonts w:ascii="Times New Roman" w:hAnsi="Times New Roman" w:cs="Times New Roman"/>
          <w:sz w:val="24"/>
          <w:szCs w:val="24"/>
        </w:rPr>
        <w:tab/>
      </w:r>
      <w:r w:rsidR="008108BE">
        <w:rPr>
          <w:rFonts w:ascii="Times New Roman" w:hAnsi="Times New Roman" w:cs="Times New Roman"/>
          <w:sz w:val="24"/>
          <w:szCs w:val="24"/>
        </w:rPr>
        <w:t>Exchange</w:t>
      </w:r>
      <w:r>
        <w:rPr>
          <w:rFonts w:ascii="Times New Roman" w:hAnsi="Times New Roman" w:cs="Times New Roman"/>
          <w:sz w:val="24"/>
          <w:szCs w:val="24"/>
        </w:rPr>
        <w:t xml:space="preserve"> delivers 100 shares to buyer</w:t>
      </w:r>
    </w:p>
    <w:p w:rsidR="00703B37" w:rsidRDefault="00703B37" w:rsidP="00076EBA">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76EBA" w:rsidRPr="00076EBA" w:rsidRDefault="007022DC" w:rsidP="00502536">
      <w:pPr>
        <w:rPr>
          <w:rFonts w:ascii="Times New Roman" w:hAnsi="Times New Roman" w:cs="Times New Roman"/>
          <w:sz w:val="24"/>
          <w:szCs w:val="24"/>
        </w:rPr>
      </w:pPr>
      <w:r>
        <w:rPr>
          <w:rFonts w:ascii="Times New Roman" w:hAnsi="Times New Roman" w:cs="Times New Roman"/>
          <w:sz w:val="24"/>
          <w:szCs w:val="24"/>
        </w:rPr>
        <w:tab/>
      </w:r>
    </w:p>
    <w:p w:rsidR="009078FE" w:rsidRDefault="00B84C09" w:rsidP="00502536">
      <w:r>
        <w:t xml:space="preserve">But what is Apple is 100/share at the call’s expiration?  Abbot will surely exercise.  The </w:t>
      </w:r>
      <w:r w:rsidR="008108BE">
        <w:t>initial</w:t>
      </w:r>
      <w:r>
        <w:t xml:space="preserve"> premium of 3/share plus the 96/share that Abbot pa</w:t>
      </w:r>
      <w:r w:rsidR="002B7657">
        <w:t xml:space="preserve">ys is not enough to buy the </w:t>
      </w:r>
      <w:r>
        <w:t xml:space="preserve">Apple shares in the cash market in order to make </w:t>
      </w:r>
      <w:r w:rsidR="008108BE">
        <w:t>delivery</w:t>
      </w:r>
      <w:r>
        <w:t xml:space="preserve">.  The exchange loses 1/share, or $100!  </w:t>
      </w:r>
      <w:r w:rsidR="009078FE">
        <w:t>No</w:t>
      </w:r>
      <w:r w:rsidR="00720962">
        <w:t xml:space="preserve">.  When Costello sold the calls, the exchange demanded collateral </w:t>
      </w:r>
      <w:r w:rsidR="00720962" w:rsidRPr="00720962">
        <w:rPr>
          <w:i/>
        </w:rPr>
        <w:t>in excess</w:t>
      </w:r>
      <w:r w:rsidR="00720962">
        <w:t xml:space="preserve"> of the premium.  The exchange holds this </w:t>
      </w:r>
      <w:r w:rsidR="002B7657">
        <w:t xml:space="preserve">collateral </w:t>
      </w:r>
      <w:r w:rsidR="00720962">
        <w:t>for precisely the possibility that Costello might default when Apple shares have risen above the exercise price.</w:t>
      </w:r>
      <w:r w:rsidR="002B7657">
        <w:t xml:space="preserve">  The total amount of collateral – the su</w:t>
      </w:r>
      <w:r w:rsidR="00FB6DCC">
        <w:t>m of the option premium plus the ext</w:t>
      </w:r>
      <w:r w:rsidR="002B7657">
        <w:t>ra amount which we shall identify presently – is known as “margin.”</w:t>
      </w:r>
      <w:r w:rsidR="0010037E">
        <w:rPr>
          <w:rStyle w:val="FootnoteReference"/>
        </w:rPr>
        <w:footnoteReference w:id="8"/>
      </w:r>
      <w:r w:rsidR="00946B4B">
        <w:t xml:space="preserve">  </w:t>
      </w:r>
    </w:p>
    <w:p w:rsidR="004C13CF" w:rsidRDefault="00FB6DCC" w:rsidP="00A1221F">
      <w:r>
        <w:t xml:space="preserve">Every exchange (and every counterparty to </w:t>
      </w:r>
      <w:r w:rsidR="00F35B3E">
        <w:t>an off-</w:t>
      </w:r>
      <w:r w:rsidR="008108BE">
        <w:t>exchange</w:t>
      </w:r>
      <w:r w:rsidR="00F35B3E">
        <w:t xml:space="preserve"> option) is free to set its </w:t>
      </w:r>
      <w:r w:rsidR="008108BE">
        <w:t>own</w:t>
      </w:r>
      <w:r w:rsidR="00F35B3E">
        <w:t xml:space="preserve"> margin requirements.  Let’s work with the </w:t>
      </w:r>
      <w:r w:rsidR="008108BE">
        <w:t>Chicago</w:t>
      </w:r>
      <w:r w:rsidR="00F35B3E">
        <w:t xml:space="preserve"> </w:t>
      </w:r>
      <w:r w:rsidR="008108BE">
        <w:t>Board</w:t>
      </w:r>
      <w:r w:rsidR="00F35B3E">
        <w:t xml:space="preserve"> Options </w:t>
      </w:r>
      <w:r w:rsidR="008108BE">
        <w:t>Exchange’s</w:t>
      </w:r>
      <w:r w:rsidR="00F35B3E">
        <w:t xml:space="preserve"> margin rules.  The CBOE requires the seller to post collateral equal to the option’s premium plus 20% of the value of the underlying asset.  </w:t>
      </w:r>
      <w:r w:rsidR="00AA0F23">
        <w:t xml:space="preserve">The higher the price of the </w:t>
      </w:r>
      <w:r w:rsidR="00B818D4">
        <w:t>underlying</w:t>
      </w:r>
      <w:r w:rsidR="00AA0F23">
        <w:t xml:space="preserve"> today, the greater the </w:t>
      </w:r>
      <w:r w:rsidR="00B818D4">
        <w:t>likelihood</w:t>
      </w:r>
      <w:r w:rsidR="00AA0F23">
        <w:t xml:space="preserve"> of the buyer exercising the option in the future.  By the same reasoning, the call writer’s loss is greater, hence the higher </w:t>
      </w:r>
      <w:r w:rsidR="00B818D4">
        <w:t>probability</w:t>
      </w:r>
      <w:r w:rsidR="00AA0F23">
        <w:t xml:space="preserve"> of default and, </w:t>
      </w:r>
      <w:r w:rsidR="00B818D4">
        <w:t>concomitantly</w:t>
      </w:r>
      <w:r w:rsidR="00AA0F23">
        <w:t xml:space="preserve">, the loss to the buyer of the call due to default (all </w:t>
      </w:r>
      <w:r w:rsidR="00B818D4">
        <w:t>illustrated</w:t>
      </w:r>
      <w:r w:rsidR="00AA0F23">
        <w:t xml:space="preserve"> below).  </w:t>
      </w:r>
      <w:r w:rsidR="00F35B3E">
        <w:t xml:space="preserve">If </w:t>
      </w:r>
      <w:r w:rsidR="007E7355">
        <w:t xml:space="preserve">the </w:t>
      </w:r>
      <w:r w:rsidR="008108BE">
        <w:t>asset’s</w:t>
      </w:r>
      <w:r w:rsidR="007E7355">
        <w:t xml:space="preserve"> price is below the strike, th</w:t>
      </w:r>
      <w:r w:rsidR="00AA0F23">
        <w:t xml:space="preserve">e difference </w:t>
      </w:r>
      <w:r w:rsidR="007E7355">
        <w:t xml:space="preserve">is subtracted.  Why?  Because the lower the underlying’s price, the less the chance that the call will be </w:t>
      </w:r>
      <w:r w:rsidR="008108BE">
        <w:t>exercised</w:t>
      </w:r>
      <w:r w:rsidR="007E7355">
        <w:t xml:space="preserve">, hence the lower the </w:t>
      </w:r>
      <w:r w:rsidR="008108BE">
        <w:t>probability</w:t>
      </w:r>
      <w:r w:rsidR="007E7355">
        <w:t xml:space="preserve"> of loss due to non-</w:t>
      </w:r>
      <w:r w:rsidR="00BE2CEA">
        <w:t>performance</w:t>
      </w:r>
      <w:r w:rsidR="007E7355">
        <w:t xml:space="preserve"> by the </w:t>
      </w:r>
      <w:r w:rsidR="00085E17">
        <w:t>writer.</w:t>
      </w:r>
      <w:r w:rsidR="001D1AC6">
        <w:rPr>
          <w:rStyle w:val="FootnoteReference"/>
        </w:rPr>
        <w:footnoteReference w:id="9"/>
      </w:r>
      <w:r w:rsidR="00085E17">
        <w:t xml:space="preserve">  </w:t>
      </w:r>
      <w:r w:rsidR="008108BE">
        <w:t>Figure</w:t>
      </w:r>
      <w:r w:rsidR="00085E17">
        <w:t xml:space="preserve"> II presents a number of examples</w:t>
      </w:r>
      <w:r w:rsidR="001D1AC6">
        <w:t xml:space="preserve"> (shown on a p</w:t>
      </w:r>
      <w:r w:rsidR="00D417BC">
        <w:t>er</w:t>
      </w:r>
      <w:r w:rsidR="001D1AC6">
        <w:t>-</w:t>
      </w:r>
      <w:r w:rsidR="00D417BC">
        <w:t>share</w:t>
      </w:r>
      <w:r w:rsidR="001D1AC6">
        <w:t xml:space="preserve"> basis</w:t>
      </w:r>
      <w:r w:rsidR="00D417BC">
        <w:t xml:space="preserve">, so multiply by 100 for </w:t>
      </w:r>
      <w:r w:rsidR="001D1AC6">
        <w:t xml:space="preserve">the </w:t>
      </w:r>
      <w:r w:rsidR="00D417BC">
        <w:t>total dollar amount.</w:t>
      </w:r>
      <w:r w:rsidR="001D1AC6">
        <w:t>)</w:t>
      </w:r>
      <w:r w:rsidR="00D417BC">
        <w:t xml:space="preserve"> </w:t>
      </w:r>
      <w:r w:rsidR="005A3679">
        <w:t xml:space="preserve">  </w:t>
      </w:r>
      <w:r w:rsidR="00F86217">
        <w:t>I include a number of differe</w:t>
      </w:r>
      <w:r w:rsidR="004C13CF">
        <w:t xml:space="preserve">nt combinations because in addition to showing how the margin </w:t>
      </w:r>
      <w:r w:rsidR="008108BE">
        <w:t>responds</w:t>
      </w:r>
      <w:r w:rsidR="004C13CF">
        <w:t xml:space="preserve"> to changing parameters and market prices, they serve to highlight some fundamental ideas about options.</w:t>
      </w:r>
    </w:p>
    <w:p w:rsidR="00085E17" w:rsidRDefault="00085E17" w:rsidP="00085E17">
      <w:pPr>
        <w:spacing w:after="0"/>
        <w:jc w:val="center"/>
        <w:rPr>
          <w:rFonts w:ascii="Times New Roman" w:hAnsi="Times New Roman" w:cs="Times New Roman"/>
          <w:sz w:val="24"/>
          <w:szCs w:val="24"/>
        </w:rPr>
      </w:pPr>
      <w:r w:rsidRPr="00076EBA">
        <w:rPr>
          <w:rFonts w:ascii="Times New Roman" w:hAnsi="Times New Roman" w:cs="Times New Roman"/>
          <w:sz w:val="24"/>
          <w:szCs w:val="24"/>
        </w:rPr>
        <w:t>Figure I</w:t>
      </w:r>
      <w:r>
        <w:rPr>
          <w:rFonts w:ascii="Times New Roman" w:hAnsi="Times New Roman" w:cs="Times New Roman"/>
          <w:sz w:val="24"/>
          <w:szCs w:val="24"/>
        </w:rPr>
        <w:t>I</w:t>
      </w:r>
    </w:p>
    <w:p w:rsidR="005A3679" w:rsidRDefault="00085E17" w:rsidP="005A3679">
      <w:pPr>
        <w:spacing w:after="0"/>
        <w:jc w:val="center"/>
        <w:rPr>
          <w:rFonts w:ascii="Times New Roman" w:hAnsi="Times New Roman" w:cs="Times New Roman"/>
          <w:sz w:val="24"/>
          <w:szCs w:val="24"/>
        </w:rPr>
      </w:pPr>
      <w:r>
        <w:rPr>
          <w:rFonts w:ascii="Times New Roman" w:hAnsi="Times New Roman" w:cs="Times New Roman"/>
          <w:sz w:val="24"/>
          <w:szCs w:val="24"/>
        </w:rPr>
        <w:t xml:space="preserve">Chicago Board Options </w:t>
      </w:r>
      <w:r w:rsidR="008108BE">
        <w:rPr>
          <w:rFonts w:ascii="Times New Roman" w:hAnsi="Times New Roman" w:cs="Times New Roman"/>
          <w:sz w:val="24"/>
          <w:szCs w:val="24"/>
        </w:rPr>
        <w:t>Exchange</w:t>
      </w:r>
      <w:r>
        <w:rPr>
          <w:rFonts w:ascii="Times New Roman" w:hAnsi="Times New Roman" w:cs="Times New Roman"/>
          <w:sz w:val="24"/>
          <w:szCs w:val="24"/>
        </w:rPr>
        <w:t xml:space="preserve"> Initial Margin Calculations</w:t>
      </w:r>
    </w:p>
    <w:p w:rsidR="00085E17" w:rsidRDefault="00085E17" w:rsidP="00085E17">
      <w:pPr>
        <w:spacing w:after="0"/>
        <w:jc w:val="center"/>
        <w:rPr>
          <w:rFonts w:ascii="Times New Roman" w:hAnsi="Times New Roman" w:cs="Times New Roman"/>
          <w:sz w:val="24"/>
          <w:szCs w:val="24"/>
        </w:rPr>
      </w:pPr>
      <w:r>
        <w:rPr>
          <w:rFonts w:ascii="Times New Roman" w:hAnsi="Times New Roman" w:cs="Times New Roman"/>
          <w:sz w:val="24"/>
          <w:szCs w:val="24"/>
        </w:rPr>
        <w:t>Call on 100 shares of Apple</w:t>
      </w:r>
    </w:p>
    <w:p w:rsidR="005A3679" w:rsidRPr="005D720B" w:rsidRDefault="005A3679" w:rsidP="005A3679">
      <w:pPr>
        <w:spacing w:after="0"/>
        <w:ind w:right="-720"/>
        <w:jc w:val="center"/>
        <w:rPr>
          <w:rFonts w:ascii="Times New Roman" w:hAnsi="Times New Roman" w:cs="Times New Roman"/>
          <w:sz w:val="24"/>
          <w:szCs w:val="24"/>
        </w:rPr>
      </w:pPr>
      <w:r w:rsidRPr="005D720B">
        <w:rPr>
          <w:rFonts w:ascii="Times New Roman" w:hAnsi="Times New Roman" w:cs="Times New Roman"/>
          <w:sz w:val="24"/>
          <w:szCs w:val="24"/>
        </w:rPr>
        <w:t>Margin = option value + 20% of stock price, less excess of strike over stock price, subject to minimum</w:t>
      </w:r>
    </w:p>
    <w:p w:rsidR="00085E17" w:rsidRDefault="00085E17" w:rsidP="00A0573E">
      <w:pPr>
        <w:spacing w:after="0"/>
      </w:pPr>
    </w:p>
    <w:p w:rsidR="005A3679" w:rsidRDefault="005A3679" w:rsidP="005A3679">
      <w:pPr>
        <w:ind w:firstLine="720"/>
      </w:pPr>
      <w:r w:rsidRPr="005A3679">
        <w:rPr>
          <w:u w:val="single"/>
        </w:rPr>
        <w:t>Apple</w:t>
      </w:r>
      <w:r>
        <w:t xml:space="preserve"> </w:t>
      </w:r>
      <w:r>
        <w:tab/>
        <w:t xml:space="preserve"> </w:t>
      </w:r>
      <w:r w:rsidRPr="005A3679">
        <w:rPr>
          <w:u w:val="single"/>
        </w:rPr>
        <w:t>exercise p</w:t>
      </w:r>
      <w:r w:rsidR="00E81D01">
        <w:rPr>
          <w:u w:val="single"/>
        </w:rPr>
        <w:t>r</w:t>
      </w:r>
      <w:r w:rsidRPr="005A3679">
        <w:rPr>
          <w:u w:val="single"/>
        </w:rPr>
        <w:t>ice</w:t>
      </w:r>
      <w:r>
        <w:t xml:space="preserve"> </w:t>
      </w:r>
      <w:r>
        <w:tab/>
      </w:r>
      <w:r w:rsidRPr="005A3679">
        <w:rPr>
          <w:u w:val="single"/>
        </w:rPr>
        <w:t>call premium</w:t>
      </w:r>
      <w:r w:rsidR="00F86217">
        <w:t xml:space="preserve"> </w:t>
      </w:r>
      <w:r w:rsidR="00F86217">
        <w:tab/>
        <w:t xml:space="preserve">              </w:t>
      </w:r>
      <w:r w:rsidR="00D20C37">
        <w:t xml:space="preserve"> </w:t>
      </w:r>
      <w:r w:rsidRPr="005A3679">
        <w:rPr>
          <w:u w:val="single"/>
        </w:rPr>
        <w:t>margin calculation</w:t>
      </w:r>
    </w:p>
    <w:p w:rsidR="001627AB" w:rsidRDefault="001627AB" w:rsidP="001627AB">
      <w:pPr>
        <w:pStyle w:val="ListParagraph"/>
        <w:numPr>
          <w:ilvl w:val="0"/>
          <w:numId w:val="5"/>
        </w:numPr>
      </w:pPr>
      <w:r>
        <w:t xml:space="preserve">  90</w:t>
      </w:r>
      <w:r>
        <w:tab/>
        <w:t xml:space="preserve">       90</w:t>
      </w:r>
      <w:r>
        <w:tab/>
      </w:r>
      <w:r>
        <w:tab/>
        <w:t xml:space="preserve">        3</w:t>
      </w:r>
      <w:r>
        <w:tab/>
      </w:r>
      <w:r>
        <w:tab/>
      </w:r>
      <w:r>
        <w:tab/>
      </w:r>
      <w:r w:rsidR="00435765">
        <w:t xml:space="preserve"> </w:t>
      </w:r>
      <w:r>
        <w:t>3 + .2x90 = 21</w:t>
      </w:r>
    </w:p>
    <w:p w:rsidR="00F86217" w:rsidRDefault="00C02ED4" w:rsidP="00F86217">
      <w:pPr>
        <w:pStyle w:val="ListParagraph"/>
        <w:numPr>
          <w:ilvl w:val="0"/>
          <w:numId w:val="5"/>
        </w:numPr>
      </w:pPr>
      <w:r>
        <w:t xml:space="preserve">  92</w:t>
      </w:r>
      <w:r>
        <w:tab/>
        <w:t xml:space="preserve">       90</w:t>
      </w:r>
      <w:r>
        <w:tab/>
      </w:r>
      <w:r>
        <w:tab/>
        <w:t xml:space="preserve">        3</w:t>
      </w:r>
      <w:r w:rsidR="00F86217">
        <w:tab/>
      </w:r>
      <w:r w:rsidR="00F86217">
        <w:tab/>
      </w:r>
      <w:r w:rsidR="00F86217">
        <w:tab/>
      </w:r>
      <w:r w:rsidR="00435765">
        <w:t xml:space="preserve"> </w:t>
      </w:r>
      <w:r w:rsidR="00F86217">
        <w:t>3 + .2x9</w:t>
      </w:r>
      <w:r w:rsidR="004C13CF">
        <w:t>2</w:t>
      </w:r>
      <w:r w:rsidR="00F86217">
        <w:t xml:space="preserve"> = 21</w:t>
      </w:r>
      <w:r w:rsidR="004C13CF">
        <w:t>.4</w:t>
      </w:r>
    </w:p>
    <w:p w:rsidR="00C02ED4" w:rsidRDefault="00C02ED4" w:rsidP="005A3679">
      <w:pPr>
        <w:pStyle w:val="ListParagraph"/>
        <w:numPr>
          <w:ilvl w:val="0"/>
          <w:numId w:val="5"/>
        </w:numPr>
      </w:pPr>
      <w:r>
        <w:t xml:space="preserve">  90</w:t>
      </w:r>
      <w:r>
        <w:tab/>
        <w:t xml:space="preserve">       88</w:t>
      </w:r>
      <w:r w:rsidR="00F86217">
        <w:tab/>
      </w:r>
      <w:r w:rsidR="00F86217">
        <w:tab/>
        <w:t xml:space="preserve">        3</w:t>
      </w:r>
      <w:r w:rsidR="00435765">
        <w:tab/>
      </w:r>
      <w:r w:rsidR="00435765">
        <w:tab/>
      </w:r>
      <w:r w:rsidR="00435765">
        <w:tab/>
        <w:t xml:space="preserve"> 3 + .2x90 = 21</w:t>
      </w:r>
    </w:p>
    <w:p w:rsidR="00C02ED4" w:rsidRDefault="00435765" w:rsidP="00C02ED4">
      <w:pPr>
        <w:pStyle w:val="ListParagraph"/>
        <w:numPr>
          <w:ilvl w:val="0"/>
          <w:numId w:val="5"/>
        </w:numPr>
      </w:pPr>
      <w:r>
        <w:t xml:space="preserve">  90</w:t>
      </w:r>
      <w:r w:rsidR="00C02ED4">
        <w:tab/>
        <w:t xml:space="preserve">       </w:t>
      </w:r>
      <w:r>
        <w:t>88</w:t>
      </w:r>
      <w:r w:rsidR="00C02ED4">
        <w:tab/>
      </w:r>
      <w:r w:rsidR="00C02ED4">
        <w:tab/>
        <w:t xml:space="preserve">        4</w:t>
      </w:r>
      <w:r>
        <w:tab/>
      </w:r>
      <w:r>
        <w:tab/>
      </w:r>
      <w:r>
        <w:tab/>
        <w:t xml:space="preserve"> 4 + .2x90 = 22</w:t>
      </w:r>
    </w:p>
    <w:p w:rsidR="00435765" w:rsidRDefault="00435765" w:rsidP="00435765">
      <w:pPr>
        <w:pStyle w:val="ListParagraph"/>
        <w:numPr>
          <w:ilvl w:val="0"/>
          <w:numId w:val="5"/>
        </w:numPr>
      </w:pPr>
      <w:r>
        <w:t xml:space="preserve">  90</w:t>
      </w:r>
      <w:r>
        <w:tab/>
        <w:t xml:space="preserve">       92</w:t>
      </w:r>
      <w:r>
        <w:tab/>
      </w:r>
      <w:r>
        <w:tab/>
        <w:t xml:space="preserve">        3</w:t>
      </w:r>
      <w:r>
        <w:tab/>
      </w:r>
      <w:r>
        <w:tab/>
      </w:r>
      <w:r>
        <w:tab/>
        <w:t xml:space="preserve"> 3 + .2x90 </w:t>
      </w:r>
      <w:r>
        <w:sym w:font="Symbol" w:char="F02D"/>
      </w:r>
      <w:r>
        <w:t xml:space="preserve"> (92–90) = 19</w:t>
      </w:r>
    </w:p>
    <w:p w:rsidR="000F4CDC" w:rsidRDefault="00C02ED4" w:rsidP="00D8758B">
      <w:pPr>
        <w:pStyle w:val="ListParagraph"/>
        <w:numPr>
          <w:ilvl w:val="0"/>
          <w:numId w:val="5"/>
        </w:numPr>
      </w:pPr>
      <w:r>
        <w:lastRenderedPageBreak/>
        <w:t xml:space="preserve">  </w:t>
      </w:r>
      <w:r w:rsidR="000C3C9D">
        <w:t>90</w:t>
      </w:r>
      <w:r w:rsidR="000C3C9D">
        <w:tab/>
        <w:t xml:space="preserve">       95</w:t>
      </w:r>
      <w:r w:rsidR="000C3C9D">
        <w:tab/>
      </w:r>
      <w:r w:rsidR="000C3C9D">
        <w:tab/>
        <w:t xml:space="preserve">        3</w:t>
      </w:r>
      <w:r w:rsidR="000C3C9D">
        <w:tab/>
      </w:r>
      <w:r w:rsidR="000C3C9D">
        <w:tab/>
      </w:r>
      <w:r w:rsidR="000C3C9D">
        <w:tab/>
        <w:t xml:space="preserve"> 3 + .2x90 </w:t>
      </w:r>
      <w:r w:rsidR="000C3C9D">
        <w:sym w:font="Symbol" w:char="F02D"/>
      </w:r>
      <w:r w:rsidR="000C3C9D">
        <w:t xml:space="preserve"> (95</w:t>
      </w:r>
      <w:r w:rsidR="000C3C9D">
        <w:sym w:font="Symbol" w:char="F02D"/>
      </w:r>
      <w:r w:rsidR="000C3C9D">
        <w:t>90) = 16</w:t>
      </w:r>
    </w:p>
    <w:p w:rsidR="000C3C9D" w:rsidRPr="005A3679" w:rsidRDefault="000C3C9D" w:rsidP="000C3C9D">
      <w:pPr>
        <w:pStyle w:val="ListParagraph"/>
        <w:numPr>
          <w:ilvl w:val="0"/>
          <w:numId w:val="5"/>
        </w:numPr>
      </w:pPr>
      <w:r>
        <w:t xml:space="preserve">  91</w:t>
      </w:r>
      <w:r>
        <w:tab/>
        <w:t xml:space="preserve">       96</w:t>
      </w:r>
      <w:r>
        <w:tab/>
      </w:r>
      <w:r>
        <w:tab/>
        <w:t xml:space="preserve">        3</w:t>
      </w:r>
      <w:r>
        <w:tab/>
      </w:r>
      <w:r>
        <w:tab/>
      </w:r>
      <w:r>
        <w:tab/>
        <w:t xml:space="preserve"> 3 + .2x91 </w:t>
      </w:r>
      <w:r>
        <w:sym w:font="Symbol" w:char="F02D"/>
      </w:r>
      <w:r>
        <w:t xml:space="preserve"> (96</w:t>
      </w:r>
      <w:r>
        <w:sym w:font="Symbol" w:char="F02D"/>
      </w:r>
      <w:r>
        <w:t>91) = 16.2</w:t>
      </w:r>
    </w:p>
    <w:p w:rsidR="000C3C9D" w:rsidRPr="005A3679" w:rsidRDefault="009B67BE" w:rsidP="000C3C9D">
      <w:pPr>
        <w:pStyle w:val="ListParagraph"/>
        <w:numPr>
          <w:ilvl w:val="0"/>
          <w:numId w:val="5"/>
        </w:numPr>
      </w:pPr>
      <w:r>
        <w:t xml:space="preserve">  91</w:t>
      </w:r>
      <w:r>
        <w:tab/>
        <w:t xml:space="preserve">       96</w:t>
      </w:r>
      <w:r>
        <w:tab/>
      </w:r>
      <w:r>
        <w:tab/>
        <w:t xml:space="preserve">        4</w:t>
      </w:r>
      <w:r>
        <w:tab/>
      </w:r>
      <w:r>
        <w:tab/>
      </w:r>
      <w:r>
        <w:tab/>
        <w:t xml:space="preserve"> 4</w:t>
      </w:r>
      <w:r w:rsidR="000C3C9D">
        <w:t xml:space="preserve"> + .2x91 </w:t>
      </w:r>
      <w:r w:rsidR="000C3C9D">
        <w:sym w:font="Symbol" w:char="F02D"/>
      </w:r>
      <w:r>
        <w:t xml:space="preserve"> (96</w:t>
      </w:r>
      <w:r w:rsidR="000C3C9D">
        <w:sym w:font="Symbol" w:char="F02D"/>
      </w:r>
      <w:r w:rsidR="000C3C9D">
        <w:t>9</w:t>
      </w:r>
      <w:r>
        <w:t>1</w:t>
      </w:r>
      <w:r w:rsidR="000C3C9D">
        <w:t>) = 1</w:t>
      </w:r>
      <w:r>
        <w:t>7</w:t>
      </w:r>
      <w:r w:rsidR="000C3C9D">
        <w:t>.2</w:t>
      </w:r>
    </w:p>
    <w:p w:rsidR="000C3C9D" w:rsidRPr="005A3679" w:rsidRDefault="005D720B" w:rsidP="005A3679">
      <w:pPr>
        <w:pStyle w:val="ListParagraph"/>
        <w:numPr>
          <w:ilvl w:val="0"/>
          <w:numId w:val="5"/>
        </w:numPr>
      </w:pPr>
      <w:r>
        <w:t xml:space="preserve">  88</w:t>
      </w:r>
      <w:r>
        <w:tab/>
        <w:t xml:space="preserve">       98</w:t>
      </w:r>
      <w:r>
        <w:tab/>
      </w:r>
      <w:r>
        <w:tab/>
        <w:t xml:space="preserve">        1</w:t>
      </w:r>
      <w:r>
        <w:tab/>
      </w:r>
      <w:r>
        <w:tab/>
      </w:r>
      <w:r>
        <w:tab/>
        <w:t xml:space="preserve"> 1 + .2x88 </w:t>
      </w:r>
      <w:r>
        <w:sym w:font="Symbol" w:char="F02D"/>
      </w:r>
      <w:r>
        <w:t xml:space="preserve"> (98</w:t>
      </w:r>
      <w:r>
        <w:sym w:font="Symbol" w:char="F02D"/>
      </w:r>
      <w:r>
        <w:t xml:space="preserve">88) = </w:t>
      </w:r>
      <w:r w:rsidR="001627AB">
        <w:t>8.6</w:t>
      </w:r>
      <w:r>
        <w:rPr>
          <w:rFonts w:ascii="Times New Roman" w:hAnsi="Times New Roman" w:cs="Times New Roman"/>
        </w:rPr>
        <w:t>→9.8</w:t>
      </w:r>
    </w:p>
    <w:p w:rsidR="00B0494F" w:rsidRDefault="00B0494F" w:rsidP="00BF2940"/>
    <w:p w:rsidR="00833472" w:rsidRDefault="00A25AA7" w:rsidP="00FE5CB6">
      <w:pPr>
        <w:tabs>
          <w:tab w:val="left" w:pos="6660"/>
        </w:tabs>
      </w:pPr>
      <w:r>
        <w:t>An option whose exercise price is equal to the current market price of the asset is said to be “at-the-money.”</w:t>
      </w:r>
      <w:r>
        <w:rPr>
          <w:rStyle w:val="FootnoteReference"/>
        </w:rPr>
        <w:footnoteReference w:id="10"/>
      </w:r>
      <w:r>
        <w:t xml:space="preserve">  </w:t>
      </w:r>
      <w:r w:rsidR="00527EBC">
        <w:t xml:space="preserve">Example 1 shows that with Apple </w:t>
      </w:r>
      <w:r w:rsidR="008108BE">
        <w:t>priced</w:t>
      </w:r>
      <w:r w:rsidR="00527EBC">
        <w:t xml:space="preserve"> at 90, writing an at-the-money call for a premium of 3 requires margin of 21 per option.  </w:t>
      </w:r>
      <w:r w:rsidR="00E81D01">
        <w:t xml:space="preserve">If Apple were to remain at 90 until the call’s expiration, </w:t>
      </w:r>
      <w:r w:rsidR="00267C3B">
        <w:t xml:space="preserve">the CBOE would bear no risk from the writer’s possible non-performance.  Were the buyer to exercise the call, the exchange would purchase Apple at 90 and receive the same from the buyer upon delivery of the stock.   Why, then, is the margin necessary?  Because of the </w:t>
      </w:r>
      <w:r w:rsidR="008108BE">
        <w:t>possibility</w:t>
      </w:r>
      <w:r w:rsidR="00267C3B">
        <w:t xml:space="preserve"> that </w:t>
      </w:r>
      <w:r w:rsidR="00360EAB">
        <w:t>Apple rises between now and exp</w:t>
      </w:r>
      <w:r w:rsidR="00267C3B">
        <w:t>iration</w:t>
      </w:r>
      <w:r w:rsidR="00833472">
        <w:t>, in which case the collateral becomes necessary in event of non-</w:t>
      </w:r>
      <w:r w:rsidR="00BE2CEA">
        <w:t>performance</w:t>
      </w:r>
      <w:r w:rsidR="00833472">
        <w:t>.</w:t>
      </w:r>
    </w:p>
    <w:p w:rsidR="00894513" w:rsidRDefault="004D38DB" w:rsidP="00BF2940">
      <w:r>
        <w:t>E</w:t>
      </w:r>
      <w:r w:rsidR="00BF2940">
        <w:t xml:space="preserve">xample 2 </w:t>
      </w:r>
      <w:r>
        <w:t>pertains to a situation where the stock’s price is above the strike.  In particular, the call option in this case is</w:t>
      </w:r>
      <w:r w:rsidR="00A9566A">
        <w:t xml:space="preserve"> said to be “in-the-money” by $2/share.  </w:t>
      </w:r>
      <w:r w:rsidR="008108BE">
        <w:t>Again</w:t>
      </w:r>
      <w:r w:rsidR="00A9566A">
        <w:t xml:space="preserve">, the exchange certainly has enough collateral should Apple remain at 92 and the writer defaults upon exercise at expiration:  pay 92/share for the stock and deliver to the writer for 90, entailing a loss of 2/share while holding collateral of 21.4/share.  The extra margin covers the possibility of Apple rising </w:t>
      </w:r>
      <w:r w:rsidR="008108BE">
        <w:t>father</w:t>
      </w:r>
      <w:r w:rsidR="00A9566A">
        <w:t xml:space="preserve">.  </w:t>
      </w:r>
    </w:p>
    <w:p w:rsidR="00741812" w:rsidRDefault="00894513" w:rsidP="00BF2940">
      <w:r>
        <w:t xml:space="preserve">Now look at situation 3.  </w:t>
      </w:r>
      <w:r w:rsidR="005C1F81">
        <w:t>The call is in-the-money by the same 2/share as example 2.  Yet, by the CBOE’s formula, less margin is demanded.  The reason re</w:t>
      </w:r>
      <w:r w:rsidR="00924C50">
        <w:t>l</w:t>
      </w:r>
      <w:r w:rsidR="005C1F81">
        <w:t>ate</w:t>
      </w:r>
      <w:r w:rsidR="00924C50">
        <w:t>s</w:t>
      </w:r>
      <w:r w:rsidR="005C1F81">
        <w:t xml:space="preserve"> to volatility</w:t>
      </w:r>
      <w:r w:rsidR="001172FF">
        <w:t xml:space="preserve"> and the way we think </w:t>
      </w:r>
      <w:r w:rsidR="00B818D4">
        <w:t>about</w:t>
      </w:r>
      <w:r w:rsidR="001172FF">
        <w:t xml:space="preserve"> it.  </w:t>
      </w:r>
      <w:r w:rsidR="00B818D4">
        <w:t>Volatility</w:t>
      </w:r>
      <w:r w:rsidR="00800258">
        <w:t xml:space="preserve">, as </w:t>
      </w:r>
      <w:r w:rsidR="00B818D4">
        <w:t>introduced</w:t>
      </w:r>
      <w:r w:rsidR="00800258">
        <w:t xml:space="preserve"> in the last chapter, is obviously a major topic in options, a</w:t>
      </w:r>
      <w:r w:rsidR="00303056">
        <w:t>s</w:t>
      </w:r>
      <w:r w:rsidR="00800258">
        <w:t xml:space="preserve"> we will see in succeeding chapters.  </w:t>
      </w:r>
      <w:r w:rsidR="00303056">
        <w:t>We think about asset price volatility in percentage (i.e., relative) terms.  A 20% range, for example, around 92 is wider than a 20% range around 90</w:t>
      </w:r>
      <w:r w:rsidR="005C1F81">
        <w:t xml:space="preserve">.  </w:t>
      </w:r>
      <w:r w:rsidR="00303056">
        <w:t xml:space="preserve">And because </w:t>
      </w:r>
      <w:r w:rsidR="00B818D4">
        <w:t>volatility</w:t>
      </w:r>
      <w:r w:rsidR="00303056">
        <w:t xml:space="preserve"> gives a sense for the potential movement in Apple stock, Apple at 92 requires more margin than Apple at 90 even with the strike price </w:t>
      </w:r>
      <w:r w:rsidR="00B818D4">
        <w:t>correspondingly</w:t>
      </w:r>
      <w:r w:rsidR="00303056">
        <w:t xml:space="preserve"> lower by 2.  </w:t>
      </w:r>
      <w:r w:rsidR="005C1F81">
        <w:t xml:space="preserve">    </w:t>
      </w:r>
    </w:p>
    <w:p w:rsidR="00741812" w:rsidRDefault="008F794B" w:rsidP="00BF2940">
      <w:r>
        <w:t xml:space="preserve">Apple’s stock price and the call’s exercise </w:t>
      </w:r>
      <w:r w:rsidR="00B818D4">
        <w:t>price</w:t>
      </w:r>
      <w:r>
        <w:t xml:space="preserve"> are the same in example 4 as in example 3.  The </w:t>
      </w:r>
      <w:r w:rsidR="00B818D4">
        <w:t>margin</w:t>
      </w:r>
      <w:r>
        <w:t xml:space="preserve">, however, is greater in example 4.  This is because </w:t>
      </w:r>
      <w:r w:rsidR="00993704">
        <w:t xml:space="preserve">of the greater premium.  The reasoning again relates to volatility.  Since the </w:t>
      </w:r>
      <w:r w:rsidR="00B818D4">
        <w:t>underlying</w:t>
      </w:r>
      <w:r w:rsidR="00993704">
        <w:t xml:space="preserve"> and strike prices are the same, the greater premium must reflect greater volatility expected by market participants.</w:t>
      </w:r>
      <w:r w:rsidR="00993704">
        <w:rPr>
          <w:rStyle w:val="FootnoteReference"/>
        </w:rPr>
        <w:footnoteReference w:id="11"/>
      </w:r>
      <w:r w:rsidR="00ED7DF6">
        <w:t xml:space="preserve">  Hence, by the reasoning of the previous paragraph, more collateral is called for.</w:t>
      </w:r>
    </w:p>
    <w:p w:rsidR="009E5F8B" w:rsidRDefault="009E5F8B" w:rsidP="00BF2940">
      <w:r>
        <w:t xml:space="preserve">Example 5 is a </w:t>
      </w:r>
      <w:r w:rsidR="00B818D4">
        <w:t>different</w:t>
      </w:r>
      <w:r>
        <w:t xml:space="preserve"> situation entirely.  The strike price is above Apple’s current market price</w:t>
      </w:r>
      <w:r w:rsidR="009B67BE">
        <w:t xml:space="preserve"> – it is “out-of-the-money.”</w:t>
      </w:r>
      <w:r>
        <w:t xml:space="preserve">  If Apple stays where it is, there will be no </w:t>
      </w:r>
      <w:r w:rsidR="00B818D4">
        <w:t>exercise</w:t>
      </w:r>
      <w:r>
        <w:t xml:space="preserve"> at expiration (or earlier), hence no potential loss from non-performance.  </w:t>
      </w:r>
      <w:r w:rsidR="009B67BE">
        <w:t>Recognizing this lower risk, the exchange su</w:t>
      </w:r>
      <w:r w:rsidR="00C81C0B">
        <w:t xml:space="preserve">btracts the amount the call is </w:t>
      </w:r>
      <w:r w:rsidR="009B67BE">
        <w:t xml:space="preserve">out-of-the-money from what the formula </w:t>
      </w:r>
      <w:r w:rsidR="00B818D4">
        <w:t>would</w:t>
      </w:r>
      <w:r w:rsidR="009B67BE">
        <w:t xml:space="preserve"> otherwise produce.  In this example, 2 is subtracted from 21 (the margin in example 1 for the same cash price of Apple but not out-of-the-</w:t>
      </w:r>
      <w:r w:rsidR="009B67BE">
        <w:lastRenderedPageBreak/>
        <w:t xml:space="preserve">money).  In </w:t>
      </w:r>
      <w:r w:rsidR="00B818D4">
        <w:t>example</w:t>
      </w:r>
      <w:r w:rsidR="009B67BE">
        <w:t xml:space="preserve"> 6, 5 is subtracted.  In example 7, 5 is subtracted as well, but the margin is greater than in example 6 </w:t>
      </w:r>
      <w:r w:rsidR="00B818D4">
        <w:t>because</w:t>
      </w:r>
      <w:r w:rsidR="009B67BE">
        <w:t xml:space="preserve"> the </w:t>
      </w:r>
      <w:r w:rsidR="00B818D4">
        <w:t>cash</w:t>
      </w:r>
      <w:r w:rsidR="009B67BE">
        <w:t xml:space="preserve"> price of Apple is higher, </w:t>
      </w:r>
      <w:r w:rsidR="00B818D4">
        <w:t>resulting</w:t>
      </w:r>
      <w:r w:rsidR="009B67BE">
        <w:t xml:space="preserve"> in a great</w:t>
      </w:r>
      <w:r w:rsidR="00AB069F">
        <w:t xml:space="preserve">er potential future change in </w:t>
      </w:r>
      <w:r w:rsidR="009B67BE">
        <w:t>price.</w:t>
      </w:r>
      <w:r w:rsidR="00916EEF">
        <w:t xml:space="preserve">  </w:t>
      </w:r>
      <w:r w:rsidR="00B818D4">
        <w:t>Similarly</w:t>
      </w:r>
      <w:r w:rsidR="00916EEF">
        <w:t xml:space="preserve">, example 8 requires more margin than example 7, despite both being out-of-the-money by the same amount.  </w:t>
      </w:r>
      <w:r w:rsidR="00F708CA">
        <w:t>The larger premium means market participants expect greater volatility.</w:t>
      </w:r>
    </w:p>
    <w:p w:rsidR="00BF2940" w:rsidRDefault="00DA2509" w:rsidP="00BF2940">
      <w:r>
        <w:t xml:space="preserve">The final example in the table </w:t>
      </w:r>
      <w:r w:rsidR="00BF2940">
        <w:t xml:space="preserve">seems inconsistent with the formula.  </w:t>
      </w:r>
      <w:r>
        <w:t>B</w:t>
      </w:r>
      <w:r w:rsidR="00BF2940">
        <w:t xml:space="preserve">ecause </w:t>
      </w:r>
      <w:r>
        <w:t xml:space="preserve">the call is so out-of-the-money, the formula would produce </w:t>
      </w:r>
      <w:r w:rsidR="00B818D4">
        <w:t>required</w:t>
      </w:r>
      <w:r>
        <w:t xml:space="preserve"> margin of 8.6.  The exchange, </w:t>
      </w:r>
      <w:r w:rsidR="00B818D4">
        <w:t>however</w:t>
      </w:r>
      <w:r>
        <w:t>, imposes a minimum</w:t>
      </w:r>
      <w:r w:rsidR="0052086F">
        <w:t xml:space="preserve"> margin requirement</w:t>
      </w:r>
      <w:r>
        <w:t xml:space="preserve">: </w:t>
      </w:r>
      <w:r w:rsidR="0052086F">
        <w:t xml:space="preserve">the option value plus 10% of the </w:t>
      </w:r>
      <w:r w:rsidR="00B818D4">
        <w:t>underlying</w:t>
      </w:r>
      <w:r w:rsidR="0052086F">
        <w:t xml:space="preserve"> asset’s price.</w:t>
      </w:r>
    </w:p>
    <w:p w:rsidR="007873BC" w:rsidRDefault="007873BC" w:rsidP="007873BC">
      <w:r>
        <w:t xml:space="preserve">In sum, the buyer of a call option faces the risk of non-performance by the option writer.  By requiring the writer to deposit collateral into a margin account, the exchange ensures that there will be enough funds should the option </w:t>
      </w:r>
      <w:r w:rsidR="00FC24DF">
        <w:t>owner</w:t>
      </w:r>
      <w:r>
        <w:t xml:space="preserve"> exercise, thereby protecting itself and, </w:t>
      </w:r>
      <w:r w:rsidR="00FC24DF">
        <w:t>ultimately</w:t>
      </w:r>
      <w:r>
        <w:t>, the option buyer from default risk.</w:t>
      </w:r>
    </w:p>
    <w:p w:rsidR="00754DB8" w:rsidRDefault="00F87C3B" w:rsidP="00502536">
      <w:r>
        <w:t>Marking-</w:t>
      </w:r>
      <w:r w:rsidR="009078FE">
        <w:t>t</w:t>
      </w:r>
      <w:r>
        <w:t>o-Market and Exiting the Position</w:t>
      </w:r>
    </w:p>
    <w:p w:rsidR="00440E79" w:rsidRDefault="00440E79" w:rsidP="00502536">
      <w:r>
        <w:t xml:space="preserve">The effect of day-to-day movements in the </w:t>
      </w:r>
      <w:r w:rsidR="00FC24DF">
        <w:t>price</w:t>
      </w:r>
      <w:r>
        <w:t xml:space="preserve"> of an option on the option owner’s</w:t>
      </w:r>
      <w:r w:rsidR="005A3F01">
        <w:t xml:space="preserve"> wealth </w:t>
      </w:r>
      <w:r>
        <w:t>is fu</w:t>
      </w:r>
      <w:r w:rsidR="005A3F01">
        <w:t xml:space="preserve">ndamentally similar to that of </w:t>
      </w:r>
      <w:r>
        <w:t xml:space="preserve">movements in other asset prices.  </w:t>
      </w:r>
      <w:r w:rsidR="009B48EB">
        <w:t xml:space="preserve">An increase in the premium, regardless of its cause, increases her wealth and a decrease in the premium reduces her wealth.  The change in </w:t>
      </w:r>
      <w:r w:rsidR="00FC24DF">
        <w:t>value</w:t>
      </w:r>
      <w:r w:rsidR="009B48EB">
        <w:t xml:space="preserve"> is not </w:t>
      </w:r>
      <w:r w:rsidR="009B48EB" w:rsidRPr="009B48EB">
        <w:rPr>
          <w:i/>
        </w:rPr>
        <w:t>realized</w:t>
      </w:r>
      <w:r w:rsidR="009B48EB">
        <w:t xml:space="preserve"> –</w:t>
      </w:r>
      <w:r w:rsidR="008E5DF8">
        <w:t xml:space="preserve"> wi</w:t>
      </w:r>
      <w:r w:rsidR="009B48EB">
        <w:t xml:space="preserve">th attendant potential tax and other </w:t>
      </w:r>
      <w:r w:rsidR="00FC24DF">
        <w:t>implications</w:t>
      </w:r>
      <w:r w:rsidR="009B48EB">
        <w:t xml:space="preserve"> – until the </w:t>
      </w:r>
      <w:r w:rsidR="00FC24DF">
        <w:t>owner</w:t>
      </w:r>
      <w:r w:rsidR="009B48EB">
        <w:t xml:space="preserve"> actually sells the option (or exercises or expires in-the-money).  </w:t>
      </w:r>
      <w:r w:rsidR="00FC24DF">
        <w:t>That</w:t>
      </w:r>
      <w:r w:rsidR="009B48EB">
        <w:t xml:space="preserve"> is, there is no cash flow event until the position is liquidated.</w:t>
      </w:r>
    </w:p>
    <w:p w:rsidR="00017CDF" w:rsidRDefault="00746E0A" w:rsidP="008816B1">
      <w:r>
        <w:t xml:space="preserve">Not so for the option writer.  </w:t>
      </w:r>
      <w:r w:rsidR="00C81C0B">
        <w:t xml:space="preserve">In order for the margin to serve its purpose – prevent losses to the counterparty should the writer not perform – the collateral needs to be updated along with the market.  </w:t>
      </w:r>
      <w:r w:rsidR="008E5DF8">
        <w:t xml:space="preserve">Look at </w:t>
      </w:r>
      <w:r w:rsidR="00654038">
        <w:t xml:space="preserve">Figure </w:t>
      </w:r>
      <w:r w:rsidR="008E5DF8">
        <w:t>I</w:t>
      </w:r>
      <w:r w:rsidR="00654038">
        <w:t>II</w:t>
      </w:r>
      <w:r w:rsidR="00114115">
        <w:t xml:space="preserve">, which displays the dynamics of the writer’s margin as Apple’s price and/or the call’s premium change </w:t>
      </w:r>
      <w:r w:rsidR="00FC24DF">
        <w:t>over</w:t>
      </w:r>
      <w:r w:rsidR="00114115">
        <w:t xml:space="preserve"> time.  </w:t>
      </w:r>
      <w:r w:rsidR="0025073B">
        <w:t>As</w:t>
      </w:r>
      <w:r w:rsidR="00627E30">
        <w:t xml:space="preserve"> we are dealing with a particular option, the strike price remains fixed, in this example at 90.  On </w:t>
      </w:r>
      <w:r w:rsidR="00017CDF">
        <w:t xml:space="preserve">day 1, with Apple at 90 in the cash market, </w:t>
      </w:r>
      <w:r w:rsidR="008816B1">
        <w:t xml:space="preserve">Chico pays $3 for </w:t>
      </w:r>
      <w:r w:rsidR="00017CDF">
        <w:t xml:space="preserve">an at-the-money call </w:t>
      </w:r>
      <w:r w:rsidR="008816B1">
        <w:t xml:space="preserve">option ($300 in total for the </w:t>
      </w:r>
      <w:r w:rsidR="00FC24DF">
        <w:t>contract</w:t>
      </w:r>
      <w:r w:rsidR="008816B1">
        <w:t xml:space="preserve">).  Groucho, the writer, </w:t>
      </w:r>
      <w:r w:rsidR="00017CDF">
        <w:t>deposits marg</w:t>
      </w:r>
      <w:r w:rsidR="00B342C1">
        <w:t>in of $21 per option (or $2,100</w:t>
      </w:r>
      <w:r w:rsidR="00017CDF">
        <w:t xml:space="preserve"> per contract).  </w:t>
      </w:r>
      <w:r w:rsidR="008816B1">
        <w:t>This is known as “</w:t>
      </w:r>
      <w:r w:rsidR="00402E8B">
        <w:t>initial margin</w:t>
      </w:r>
      <w:r w:rsidR="008816B1">
        <w:t xml:space="preserve">” </w:t>
      </w:r>
      <w:r w:rsidR="00402E8B">
        <w:t xml:space="preserve">(displayed with a negative sign in the table to denote a debit to the writer.)  </w:t>
      </w:r>
      <w:r w:rsidR="004166C6">
        <w:t xml:space="preserve">The next day, Apple rises to 92.  </w:t>
      </w:r>
      <w:r w:rsidR="008816B1">
        <w:t xml:space="preserve">New call contracts, with the same strike of 90 and </w:t>
      </w:r>
      <w:r w:rsidR="00FC24DF">
        <w:t>expiration</w:t>
      </w:r>
      <w:r w:rsidR="009A0D18">
        <w:t>, are being establishe</w:t>
      </w:r>
      <w:r w:rsidR="00402E8B">
        <w:t>d</w:t>
      </w:r>
      <w:r w:rsidR="009A0D18">
        <w:t xml:space="preserve"> with a premium of 4.  In particular, Harpo has purchased a call from Zeppo on the CBOE. </w:t>
      </w:r>
      <w:r w:rsidR="008C56CE">
        <w:t xml:space="preserve"> </w:t>
      </w:r>
      <w:r w:rsidR="009A0D18">
        <w:t>Harpo pays the premium, an</w:t>
      </w:r>
      <w:r w:rsidR="008C56CE">
        <w:t>d Zeppo puts up his initial marg</w:t>
      </w:r>
      <w:r w:rsidR="009A0D18">
        <w:t>in</w:t>
      </w:r>
      <w:r w:rsidR="008C56CE">
        <w:t xml:space="preserve"> of $22.4</w:t>
      </w:r>
      <w:r w:rsidR="00FD2182">
        <w:t xml:space="preserve">0.  </w:t>
      </w:r>
      <w:r w:rsidR="009A0D18">
        <w:t>Theoretically, Gro</w:t>
      </w:r>
      <w:r w:rsidR="00FD2182">
        <w:t xml:space="preserve">ucho </w:t>
      </w:r>
      <w:r w:rsidR="009A0D18">
        <w:t xml:space="preserve"> </w:t>
      </w:r>
      <w:r w:rsidR="00FD2182">
        <w:t xml:space="preserve">and </w:t>
      </w:r>
      <w:r w:rsidR="009A0D18">
        <w:t>Chi</w:t>
      </w:r>
      <w:r w:rsidR="00FD2182">
        <w:t xml:space="preserve">co’s contract initiated the previous day is </w:t>
      </w:r>
      <w:r w:rsidR="00E9604B">
        <w:t xml:space="preserve">not </w:t>
      </w:r>
      <w:r w:rsidR="00FC24DF">
        <w:t>directly</w:t>
      </w:r>
      <w:r w:rsidR="009A0D18">
        <w:t xml:space="preserve"> affected </w:t>
      </w:r>
      <w:r w:rsidR="00FD2182">
        <w:t xml:space="preserve">by the new contracts negotiated today.  Groucho has paid, and Chico has received (albeit deposited with the exchange), the $3 </w:t>
      </w:r>
      <w:r w:rsidR="00FC24DF">
        <w:t>premium</w:t>
      </w:r>
      <w:r w:rsidR="00FD2182">
        <w:t xml:space="preserve"> hey agreed to and that’s that.  Groucho’s wealth has risen, of course, as he now holds a security – a call option – worth 33% more than it was worth the day before.  But there is no cash flow effect because Groucho still owns the call.  For Chico, though, things are different.  The exchange brings him “up to date.”  </w:t>
      </w:r>
      <w:r w:rsidR="004648B4">
        <w:t xml:space="preserve">He has sold something that today is worth more than yesterday, and the exchange forces him to “realize” that change in cash.  Because margin for new positions for the very same </w:t>
      </w:r>
      <w:r w:rsidR="00FC24DF">
        <w:t>option</w:t>
      </w:r>
      <w:r w:rsidR="004648B4">
        <w:t xml:space="preserve"> are now $22.40, Chico is debited (must come up with) an additional $1.40 per option, or </w:t>
      </w:r>
      <w:r w:rsidR="004648B4">
        <w:lastRenderedPageBreak/>
        <w:t>$140.  This brings his margin in line with Zeppo’s – Chico is “marked-to-market.”</w:t>
      </w:r>
      <w:r w:rsidR="00FD2182">
        <w:t xml:space="preserve">   </w:t>
      </w:r>
      <w:r w:rsidR="00017CDF">
        <w:tab/>
      </w:r>
      <w:r w:rsidR="00017CDF">
        <w:tab/>
      </w:r>
      <w:r w:rsidR="00017CDF">
        <w:tab/>
      </w:r>
      <w:r w:rsidR="00017CDF">
        <w:tab/>
        <w:t xml:space="preserve">  </w:t>
      </w:r>
    </w:p>
    <w:p w:rsidR="008E5DF8" w:rsidRDefault="008E5DF8" w:rsidP="008E5DF8">
      <w:pPr>
        <w:spacing w:after="0"/>
        <w:jc w:val="center"/>
        <w:rPr>
          <w:rFonts w:ascii="Times New Roman" w:hAnsi="Times New Roman" w:cs="Times New Roman"/>
          <w:sz w:val="24"/>
          <w:szCs w:val="24"/>
        </w:rPr>
      </w:pPr>
      <w:r w:rsidRPr="00076EBA">
        <w:rPr>
          <w:rFonts w:ascii="Times New Roman" w:hAnsi="Times New Roman" w:cs="Times New Roman"/>
          <w:sz w:val="24"/>
          <w:szCs w:val="24"/>
        </w:rPr>
        <w:t xml:space="preserve">Figure </w:t>
      </w:r>
      <w:r>
        <w:rPr>
          <w:rFonts w:ascii="Times New Roman" w:hAnsi="Times New Roman" w:cs="Times New Roman"/>
          <w:sz w:val="24"/>
          <w:szCs w:val="24"/>
        </w:rPr>
        <w:t>I</w:t>
      </w:r>
      <w:r w:rsidRPr="00076EBA">
        <w:rPr>
          <w:rFonts w:ascii="Times New Roman" w:hAnsi="Times New Roman" w:cs="Times New Roman"/>
          <w:sz w:val="24"/>
          <w:szCs w:val="24"/>
        </w:rPr>
        <w:t>I</w:t>
      </w:r>
      <w:r>
        <w:rPr>
          <w:rFonts w:ascii="Times New Roman" w:hAnsi="Times New Roman" w:cs="Times New Roman"/>
          <w:sz w:val="24"/>
          <w:szCs w:val="24"/>
        </w:rPr>
        <w:t>I</w:t>
      </w:r>
    </w:p>
    <w:p w:rsidR="008E5DF8" w:rsidRDefault="008E5DF8" w:rsidP="008E5DF8">
      <w:pPr>
        <w:spacing w:after="0"/>
        <w:jc w:val="center"/>
        <w:rPr>
          <w:rFonts w:ascii="Times New Roman" w:hAnsi="Times New Roman" w:cs="Times New Roman"/>
          <w:sz w:val="24"/>
          <w:szCs w:val="24"/>
        </w:rPr>
      </w:pPr>
      <w:r>
        <w:rPr>
          <w:rFonts w:ascii="Times New Roman" w:hAnsi="Times New Roman" w:cs="Times New Roman"/>
          <w:sz w:val="24"/>
          <w:szCs w:val="24"/>
        </w:rPr>
        <w:t xml:space="preserve">Chicago Board Options </w:t>
      </w:r>
      <w:r w:rsidR="00B818D4">
        <w:rPr>
          <w:rFonts w:ascii="Times New Roman" w:hAnsi="Times New Roman" w:cs="Times New Roman"/>
          <w:sz w:val="24"/>
          <w:szCs w:val="24"/>
        </w:rPr>
        <w:t>Exchange</w:t>
      </w:r>
      <w:r>
        <w:rPr>
          <w:rFonts w:ascii="Times New Roman" w:hAnsi="Times New Roman" w:cs="Times New Roman"/>
          <w:sz w:val="24"/>
          <w:szCs w:val="24"/>
        </w:rPr>
        <w:t xml:space="preserve"> Margin Calculations</w:t>
      </w:r>
    </w:p>
    <w:p w:rsidR="008E5DF8" w:rsidRDefault="008E5DF8" w:rsidP="008E5DF8">
      <w:pPr>
        <w:spacing w:after="0"/>
        <w:jc w:val="center"/>
        <w:rPr>
          <w:rFonts w:ascii="Times New Roman" w:hAnsi="Times New Roman" w:cs="Times New Roman"/>
          <w:sz w:val="24"/>
          <w:szCs w:val="24"/>
        </w:rPr>
      </w:pPr>
      <w:r>
        <w:rPr>
          <w:rFonts w:ascii="Times New Roman" w:hAnsi="Times New Roman" w:cs="Times New Roman"/>
          <w:sz w:val="24"/>
          <w:szCs w:val="24"/>
        </w:rPr>
        <w:t>Call on 100 shares of Apple, exercise price of 90</w:t>
      </w:r>
    </w:p>
    <w:p w:rsidR="008E5DF8" w:rsidRPr="005D720B" w:rsidRDefault="008E5DF8" w:rsidP="008E5DF8">
      <w:pPr>
        <w:spacing w:after="0"/>
        <w:ind w:right="-720"/>
        <w:jc w:val="center"/>
        <w:rPr>
          <w:rFonts w:ascii="Times New Roman" w:hAnsi="Times New Roman" w:cs="Times New Roman"/>
          <w:sz w:val="24"/>
          <w:szCs w:val="24"/>
        </w:rPr>
      </w:pPr>
      <w:r w:rsidRPr="005D720B">
        <w:rPr>
          <w:rFonts w:ascii="Times New Roman" w:hAnsi="Times New Roman" w:cs="Times New Roman"/>
          <w:sz w:val="24"/>
          <w:szCs w:val="24"/>
        </w:rPr>
        <w:t>Mar</w:t>
      </w:r>
      <w:r w:rsidR="008C56CE">
        <w:rPr>
          <w:rFonts w:ascii="Times New Roman" w:hAnsi="Times New Roman" w:cs="Times New Roman"/>
          <w:sz w:val="24"/>
          <w:szCs w:val="24"/>
        </w:rPr>
        <w:t>k</w:t>
      </w:r>
      <w:r w:rsidRPr="005D720B">
        <w:rPr>
          <w:rFonts w:ascii="Times New Roman" w:hAnsi="Times New Roman" w:cs="Times New Roman"/>
          <w:sz w:val="24"/>
          <w:szCs w:val="24"/>
        </w:rPr>
        <w:t>in</w:t>
      </w:r>
      <w:r w:rsidR="008C56CE">
        <w:rPr>
          <w:rFonts w:ascii="Times New Roman" w:hAnsi="Times New Roman" w:cs="Times New Roman"/>
          <w:sz w:val="24"/>
          <w:szCs w:val="24"/>
        </w:rPr>
        <w:t xml:space="preserve">g–to–Market of Writer’s Margin </w:t>
      </w:r>
    </w:p>
    <w:p w:rsidR="008E5DF8" w:rsidRDefault="008E5DF8" w:rsidP="008E5DF8">
      <w:pPr>
        <w:spacing w:after="0"/>
      </w:pPr>
    </w:p>
    <w:p w:rsidR="008E5DF8" w:rsidRPr="008E5DF8" w:rsidRDefault="008E5DF8" w:rsidP="008E5DF8">
      <w:pPr>
        <w:ind w:firstLine="360"/>
      </w:pPr>
      <w:r>
        <w:rPr>
          <w:u w:val="single"/>
        </w:rPr>
        <w:t>Day</w:t>
      </w:r>
      <w:r>
        <w:rPr>
          <w:u w:val="single"/>
        </w:rPr>
        <w:tab/>
      </w:r>
      <w:r>
        <w:t xml:space="preserve">       </w:t>
      </w:r>
      <w:r w:rsidRPr="005A3679">
        <w:rPr>
          <w:u w:val="single"/>
        </w:rPr>
        <w:t>Apple</w:t>
      </w:r>
      <w:r>
        <w:t xml:space="preserve">       </w:t>
      </w:r>
      <w:r w:rsidRPr="005A3679">
        <w:rPr>
          <w:u w:val="single"/>
        </w:rPr>
        <w:t>call premium</w:t>
      </w:r>
      <w:r>
        <w:t xml:space="preserve"> </w:t>
      </w:r>
      <w:r>
        <w:tab/>
        <w:t xml:space="preserve">     </w:t>
      </w:r>
      <w:r w:rsidRPr="005A3679">
        <w:rPr>
          <w:u w:val="single"/>
        </w:rPr>
        <w:t>margin calculation</w:t>
      </w:r>
      <w:r>
        <w:tab/>
      </w:r>
      <w:r>
        <w:tab/>
      </w:r>
      <w:r w:rsidRPr="008E5DF8">
        <w:rPr>
          <w:u w:val="single"/>
        </w:rPr>
        <w:t>mark-to-market</w:t>
      </w:r>
    </w:p>
    <w:p w:rsidR="008E5DF8" w:rsidRDefault="008E5DF8" w:rsidP="008E5DF8">
      <w:pPr>
        <w:pStyle w:val="ListParagraph"/>
        <w:numPr>
          <w:ilvl w:val="0"/>
          <w:numId w:val="7"/>
        </w:numPr>
      </w:pPr>
      <w:r>
        <w:t xml:space="preserve">         90</w:t>
      </w:r>
      <w:r>
        <w:tab/>
        <w:t xml:space="preserve">                 3</w:t>
      </w:r>
      <w:r>
        <w:tab/>
      </w:r>
      <w:r>
        <w:tab/>
      </w:r>
      <w:r w:rsidR="008C56CE">
        <w:t xml:space="preserve">       3 + .2x90 = 21</w:t>
      </w:r>
      <w:r w:rsidR="008C56CE">
        <w:tab/>
      </w:r>
      <w:r w:rsidR="008C56CE">
        <w:tab/>
        <w:t xml:space="preserve">      ─</w:t>
      </w:r>
      <w:r>
        <w:t xml:space="preserve"> 21</w:t>
      </w:r>
    </w:p>
    <w:p w:rsidR="008E5DF8" w:rsidRDefault="008E5DF8" w:rsidP="008E5DF8">
      <w:pPr>
        <w:pStyle w:val="ListParagraph"/>
        <w:numPr>
          <w:ilvl w:val="0"/>
          <w:numId w:val="6"/>
        </w:numPr>
      </w:pPr>
      <w:r>
        <w:t xml:space="preserve">         92</w:t>
      </w:r>
      <w:r>
        <w:tab/>
      </w:r>
      <w:r w:rsidR="007331FB">
        <w:t xml:space="preserve">  </w:t>
      </w:r>
      <w:r w:rsidR="007331FB">
        <w:tab/>
      </w:r>
      <w:r>
        <w:t xml:space="preserve">  4</w:t>
      </w:r>
      <w:r>
        <w:tab/>
      </w:r>
      <w:r>
        <w:tab/>
      </w:r>
      <w:r w:rsidR="00402E8B">
        <w:t xml:space="preserve">      </w:t>
      </w:r>
      <w:r>
        <w:t xml:space="preserve"> </w:t>
      </w:r>
      <w:r w:rsidR="00402E8B">
        <w:t>4</w:t>
      </w:r>
      <w:r>
        <w:t xml:space="preserve"> + .2x92 = 2</w:t>
      </w:r>
      <w:r w:rsidR="008C56CE">
        <w:t>2</w:t>
      </w:r>
      <w:r>
        <w:t>.4</w:t>
      </w:r>
      <w:r w:rsidR="008C56CE">
        <w:tab/>
      </w:r>
      <w:r w:rsidR="008C56CE">
        <w:tab/>
        <w:t xml:space="preserve">      ─ 1.4</w:t>
      </w:r>
    </w:p>
    <w:p w:rsidR="008E5DF8" w:rsidRDefault="008E5DF8" w:rsidP="008E5DF8">
      <w:pPr>
        <w:pStyle w:val="ListParagraph"/>
        <w:numPr>
          <w:ilvl w:val="0"/>
          <w:numId w:val="6"/>
        </w:numPr>
      </w:pPr>
      <w:r>
        <w:t xml:space="preserve">         93</w:t>
      </w:r>
      <w:r>
        <w:tab/>
        <w:t xml:space="preserve">                4</w:t>
      </w:r>
      <w:r>
        <w:tab/>
      </w:r>
      <w:r>
        <w:tab/>
        <w:t xml:space="preserve">       </w:t>
      </w:r>
      <w:r w:rsidR="002E0E60">
        <w:t>4 + .2x93 = 22.6</w:t>
      </w:r>
      <w:r>
        <w:tab/>
      </w:r>
      <w:r>
        <w:tab/>
      </w:r>
      <w:r w:rsidR="002E0E60">
        <w:t xml:space="preserve">      ─ 0</w:t>
      </w:r>
      <w:r>
        <w:t>.</w:t>
      </w:r>
      <w:r w:rsidR="002E0E60">
        <w:t>2</w:t>
      </w:r>
    </w:p>
    <w:p w:rsidR="008E5DF8" w:rsidRDefault="008E5DF8" w:rsidP="008E5DF8">
      <w:pPr>
        <w:pStyle w:val="ListParagraph"/>
        <w:numPr>
          <w:ilvl w:val="0"/>
          <w:numId w:val="6"/>
        </w:numPr>
      </w:pPr>
      <w:r>
        <w:t xml:space="preserve">         90</w:t>
      </w:r>
      <w:r>
        <w:tab/>
        <w:t xml:space="preserve">               </w:t>
      </w:r>
      <w:r w:rsidR="007331FB">
        <w:t xml:space="preserve"> </w:t>
      </w:r>
      <w:r>
        <w:t>3.5</w:t>
      </w:r>
      <w:r>
        <w:tab/>
      </w:r>
      <w:r>
        <w:tab/>
        <w:t xml:space="preserve">       </w:t>
      </w:r>
      <w:r w:rsidR="00BD2043">
        <w:t xml:space="preserve">3.5 + </w:t>
      </w:r>
      <w:r w:rsidR="004C264A">
        <w:t>.</w:t>
      </w:r>
      <w:r w:rsidR="00BD2043">
        <w:t>2x90 = 21.5</w:t>
      </w:r>
      <w:r>
        <w:tab/>
      </w:r>
      <w:r>
        <w:tab/>
      </w:r>
      <w:r w:rsidR="00E742DF">
        <w:t xml:space="preserve">      + </w:t>
      </w:r>
      <w:r w:rsidR="002D09AD">
        <w:t>1.1</w:t>
      </w:r>
    </w:p>
    <w:p w:rsidR="004C264A" w:rsidRDefault="007331FB" w:rsidP="008E5DF8">
      <w:pPr>
        <w:pStyle w:val="ListParagraph"/>
        <w:numPr>
          <w:ilvl w:val="0"/>
          <w:numId w:val="6"/>
        </w:numPr>
      </w:pPr>
      <w:r>
        <w:t xml:space="preserve">         89</w:t>
      </w:r>
      <w:r>
        <w:tab/>
        <w:t xml:space="preserve">       </w:t>
      </w:r>
      <w:r>
        <w:tab/>
        <w:t xml:space="preserve"> </w:t>
      </w:r>
      <w:r w:rsidR="008E5DF8">
        <w:t>3.5</w:t>
      </w:r>
      <w:r w:rsidR="008E5DF8">
        <w:tab/>
      </w:r>
      <w:r w:rsidR="008E5DF8">
        <w:tab/>
        <w:t xml:space="preserve">       3</w:t>
      </w:r>
      <w:r w:rsidR="002D09AD">
        <w:t xml:space="preserve">.5 + .2x89 </w:t>
      </w:r>
      <w:r w:rsidR="00151961">
        <w:sym w:font="Symbol" w:char="F02D"/>
      </w:r>
      <w:r w:rsidR="00151961">
        <w:t xml:space="preserve"> (90</w:t>
      </w:r>
      <w:r w:rsidR="00151961">
        <w:sym w:font="Symbol" w:char="F02D"/>
      </w:r>
      <w:r w:rsidR="00151961">
        <w:t xml:space="preserve">89) </w:t>
      </w:r>
      <w:r w:rsidR="002D09AD">
        <w:t xml:space="preserve">= </w:t>
      </w:r>
      <w:r w:rsidR="004C264A">
        <w:t>2</w:t>
      </w:r>
      <w:r w:rsidR="00151961">
        <w:t>0</w:t>
      </w:r>
      <w:r w:rsidR="004C264A">
        <w:t>.3</w:t>
      </w:r>
      <w:r w:rsidR="00151961">
        <w:tab/>
        <w:t xml:space="preserve">      </w:t>
      </w:r>
      <w:r w:rsidR="004C264A">
        <w:t xml:space="preserve">+ </w:t>
      </w:r>
      <w:r w:rsidR="00151961">
        <w:t>1</w:t>
      </w:r>
      <w:r w:rsidR="004C264A">
        <w:t>.2</w:t>
      </w:r>
    </w:p>
    <w:p w:rsidR="00952D0B" w:rsidRDefault="00952D0B" w:rsidP="00952D0B">
      <w:pPr>
        <w:spacing w:after="0"/>
      </w:pPr>
    </w:p>
    <w:p w:rsidR="00952D0B" w:rsidRDefault="00952D0B" w:rsidP="00502536">
      <w:r>
        <w:t xml:space="preserve">A day later, Apple increases by another $1 per share.  New call option prices, however, are unchanged </w:t>
      </w:r>
      <w:r w:rsidR="002E0E60">
        <w:t xml:space="preserve">(due </w:t>
      </w:r>
      <w:r>
        <w:t xml:space="preserve">likely </w:t>
      </w:r>
      <w:r w:rsidR="002E0E60">
        <w:t xml:space="preserve">to </w:t>
      </w:r>
      <w:r>
        <w:t xml:space="preserve">a combination of </w:t>
      </w:r>
      <w:r w:rsidR="00FC24DF">
        <w:t>low</w:t>
      </w:r>
      <w:r>
        <w:t xml:space="preserve"> expected </w:t>
      </w:r>
      <w:r w:rsidR="00FC24DF">
        <w:t>volatility</w:t>
      </w:r>
      <w:r>
        <w:t xml:space="preserve"> and </w:t>
      </w:r>
      <w:r w:rsidR="002E0E60">
        <w:t xml:space="preserve">one day closer to expiration).  Groucho’s position is not </w:t>
      </w:r>
      <w:r w:rsidR="00987B72">
        <w:t>worth</w:t>
      </w:r>
      <w:r w:rsidR="002E0E60">
        <w:t xml:space="preserve"> any more than it was the day before.  </w:t>
      </w:r>
      <w:r w:rsidR="000E7154">
        <w:t xml:space="preserve">Yet, </w:t>
      </w:r>
      <w:r w:rsidR="00987B72">
        <w:t>interestingly</w:t>
      </w:r>
      <w:r w:rsidR="00BD2043">
        <w:t xml:space="preserve">, </w:t>
      </w:r>
      <w:r w:rsidR="000E7154">
        <w:t xml:space="preserve">Chico’s position is debited by another 0.20 per option to bring him in line </w:t>
      </w:r>
      <w:r w:rsidR="00BE2CEA">
        <w:t>with</w:t>
      </w:r>
      <w:r w:rsidR="000E7154">
        <w:t xml:space="preserve"> the market.  </w:t>
      </w:r>
      <w:r w:rsidR="00BD2043">
        <w:t>The higher cash price for Apple presents a greater risk of loss due to non-performance, as explained above.</w:t>
      </w:r>
    </w:p>
    <w:p w:rsidR="002D09AD" w:rsidRDefault="00BC30E5" w:rsidP="00502536">
      <w:r>
        <w:t>On day 3</w:t>
      </w:r>
      <w:r w:rsidR="002D09AD">
        <w:t>, Apple recedes by 3/share, and the call drops by half a point.  Chico’s margin account is credited by 1.1 per option due to both fact</w:t>
      </w:r>
      <w:r>
        <w:t>ors, which Chico may withdraw.  On day 4, Apple falls by another point.  Despite no change in the option</w:t>
      </w:r>
      <w:r w:rsidR="00C7077C">
        <w:t xml:space="preserve"> price</w:t>
      </w:r>
      <w:r>
        <w:t xml:space="preserve">, </w:t>
      </w:r>
      <w:r w:rsidR="005F609F">
        <w:t xml:space="preserve">required margin </w:t>
      </w:r>
      <w:r w:rsidR="00987B72">
        <w:t>declines</w:t>
      </w:r>
      <w:r w:rsidR="00151961">
        <w:t xml:space="preserve"> 1</w:t>
      </w:r>
      <w:r w:rsidR="005F609F">
        <w:t>.2</w:t>
      </w:r>
      <w:r w:rsidR="00151961">
        <w:t>:  0.2 due to the decline in Apple</w:t>
      </w:r>
      <w:r w:rsidR="005F609F">
        <w:t xml:space="preserve">, </w:t>
      </w:r>
      <w:r w:rsidR="00151961">
        <w:t xml:space="preserve">plus an additional 1.0 because the call is now out-of-the-money by a point.  This </w:t>
      </w:r>
      <w:r w:rsidR="005F609F">
        <w:t>is credited to the margin account.</w:t>
      </w:r>
    </w:p>
    <w:p w:rsidR="00D21B81" w:rsidRDefault="00D21B81" w:rsidP="00502536">
      <w:r>
        <w:t>Exiting Exchange-Traded Options</w:t>
      </w:r>
    </w:p>
    <w:p w:rsidR="00663434" w:rsidRDefault="00D21B81" w:rsidP="00502536">
      <w:r>
        <w:t xml:space="preserve">The fact that the exchange is the effective counter-party to options </w:t>
      </w:r>
      <w:r w:rsidR="00987B72">
        <w:t>enters</w:t>
      </w:r>
      <w:r>
        <w:t xml:space="preserve"> into under its auspices makes exiting a </w:t>
      </w:r>
      <w:r w:rsidR="00987B72">
        <w:t>contract</w:t>
      </w:r>
      <w:r>
        <w:t xml:space="preserve"> quick and easy.  </w:t>
      </w:r>
      <w:r w:rsidR="00FB340A">
        <w:t xml:space="preserve">Suppose you </w:t>
      </w:r>
      <w:r w:rsidR="00987B72">
        <w:t>purchase</w:t>
      </w:r>
      <w:r w:rsidR="00FB340A">
        <w:t xml:space="preserve"> a call option outside an options exchange.  Prior to expiration you might wish to sell that call.  The options </w:t>
      </w:r>
      <w:r w:rsidR="00987B72">
        <w:t>contract</w:t>
      </w:r>
      <w:r w:rsidR="00FB340A">
        <w:t xml:space="preserve"> may state that you need permission from </w:t>
      </w:r>
      <w:r w:rsidR="00987B72">
        <w:t>the</w:t>
      </w:r>
      <w:r w:rsidR="00FB340A">
        <w:t xml:space="preserve"> writer to do so.  Her agreement is </w:t>
      </w:r>
      <w:r w:rsidR="00987B72">
        <w:t>with</w:t>
      </w:r>
      <w:r w:rsidR="00FB340A">
        <w:t xml:space="preserve"> you, </w:t>
      </w:r>
      <w:r w:rsidR="00E54B9B">
        <w:t xml:space="preserve">which </w:t>
      </w:r>
      <w:r w:rsidR="00FB340A">
        <w:t xml:space="preserve">cannot </w:t>
      </w:r>
      <w:r w:rsidR="00E54B9B">
        <w:t xml:space="preserve">be </w:t>
      </w:r>
      <w:r w:rsidR="00FB340A">
        <w:t>change</w:t>
      </w:r>
      <w:r w:rsidR="00E54B9B">
        <w:t xml:space="preserve">d </w:t>
      </w:r>
      <w:r w:rsidR="00987B72">
        <w:t>without</w:t>
      </w:r>
      <w:r w:rsidR="00FB340A">
        <w:t xml:space="preserve"> her consent.  </w:t>
      </w:r>
      <w:r w:rsidR="00031CB0">
        <w:t xml:space="preserve">Not so with </w:t>
      </w:r>
      <w:r w:rsidR="00987B72">
        <w:t>exchange</w:t>
      </w:r>
      <w:r w:rsidR="00031CB0">
        <w:t xml:space="preserve">-traded options.  Suppose in the example in Figure III Abbot chooses to sell his option on day 2, when the call has </w:t>
      </w:r>
      <w:r w:rsidR="00987B72">
        <w:t>appreciated</w:t>
      </w:r>
      <w:r w:rsidR="00031CB0">
        <w:t xml:space="preserve"> by $1 from his original </w:t>
      </w:r>
      <w:r w:rsidR="00987B72">
        <w:t>purchase</w:t>
      </w:r>
      <w:r w:rsidR="00031CB0">
        <w:t xml:space="preserve"> price.  Abbot simply enters into a new call contract as a seller of the call at the going price of 4 with a </w:t>
      </w:r>
      <w:r w:rsidR="00BE2CEA">
        <w:t>counterparty</w:t>
      </w:r>
      <w:r w:rsidR="00031CB0">
        <w:t xml:space="preserve"> other than Costello.  Because the CBOE </w:t>
      </w:r>
      <w:r w:rsidR="00E9604B">
        <w:t>i</w:t>
      </w:r>
      <w:r w:rsidR="00031CB0">
        <w:t xml:space="preserve">s the effective counterparty in this new contract as the buyer, and remains the counterparty of the original contract as the seller, </w:t>
      </w:r>
      <w:r w:rsidR="004C4923">
        <w:t xml:space="preserve">the two contracts cancel.  Of course, from Abbot’s perspective the contracts cancel as well.  </w:t>
      </w:r>
      <w:r w:rsidR="00EF662C">
        <w:t xml:space="preserve">Because he paid $3 per </w:t>
      </w:r>
      <w:r w:rsidR="00987B72">
        <w:t>option</w:t>
      </w:r>
      <w:r w:rsidR="00EF662C">
        <w:t xml:space="preserve"> and now sold at $4 he has a realized (i.e., cash) profit of $1 per contract, or $100 in total.  </w:t>
      </w:r>
      <w:r w:rsidR="00663434">
        <w:t xml:space="preserve">Had you done the same thing outside of an exchange, you would have two contracts </w:t>
      </w:r>
      <w:r w:rsidR="00987B72">
        <w:t>outstanding</w:t>
      </w:r>
      <w:r w:rsidR="00663434">
        <w:t xml:space="preserve">, one as an </w:t>
      </w:r>
      <w:r w:rsidR="00987B72">
        <w:t>owner</w:t>
      </w:r>
      <w:r w:rsidR="00663434">
        <w:t xml:space="preserve"> and one as a writer (with </w:t>
      </w:r>
      <w:r w:rsidR="00987B72">
        <w:t>counterparty</w:t>
      </w:r>
      <w:r w:rsidR="00663434">
        <w:t xml:space="preserve"> risk from the writer).  </w:t>
      </w:r>
    </w:p>
    <w:p w:rsidR="00E9767D" w:rsidRDefault="00484436" w:rsidP="00502536">
      <w:r>
        <w:lastRenderedPageBreak/>
        <w:t xml:space="preserve">What </w:t>
      </w:r>
      <w:r w:rsidR="00663434">
        <w:t xml:space="preserve">about the writer </w:t>
      </w:r>
      <w:r>
        <w:t>exit</w:t>
      </w:r>
      <w:r w:rsidR="00663434">
        <w:t>ing?</w:t>
      </w:r>
      <w:r w:rsidR="00973671">
        <w:t xml:space="preserve">  </w:t>
      </w:r>
      <w:r w:rsidR="002812F4">
        <w:t xml:space="preserve">She simply does the </w:t>
      </w:r>
      <w:r w:rsidR="00973671">
        <w:t>opposite trad</w:t>
      </w:r>
      <w:r w:rsidR="002812F4">
        <w:t xml:space="preserve">e as well.  </w:t>
      </w:r>
      <w:r w:rsidR="002A2572">
        <w:t xml:space="preserve">On day 2, her margin account shows a balance of 22.4 ($2,240 per 100 contracts) the cumulative total of her initial </w:t>
      </w:r>
      <w:r w:rsidR="00987B72">
        <w:t>margin</w:t>
      </w:r>
      <w:r w:rsidR="002A2572">
        <w:t xml:space="preserve"> </w:t>
      </w:r>
      <w:r w:rsidR="00F9062A">
        <w:t xml:space="preserve">plus </w:t>
      </w:r>
      <w:r w:rsidR="002A2572">
        <w:t xml:space="preserve">the marking-to-market  margin of day 1.  </w:t>
      </w:r>
      <w:r w:rsidR="00F9062A">
        <w:t>Worried about further increases in the option’s price</w:t>
      </w:r>
      <w:r w:rsidR="00973671">
        <w:t xml:space="preserve">, </w:t>
      </w:r>
      <w:r w:rsidR="00F9062A">
        <w:t xml:space="preserve">she now purchases 10 calls at a price of 4 per call ($400).  </w:t>
      </w:r>
      <w:r w:rsidR="00EC7F89">
        <w:t>A</w:t>
      </w:r>
      <w:r w:rsidR="00F9062A">
        <w:t>s the</w:t>
      </w:r>
      <w:r w:rsidR="00973671">
        <w:t xml:space="preserve"> exchange </w:t>
      </w:r>
      <w:r w:rsidR="00F9062A">
        <w:t xml:space="preserve">is the </w:t>
      </w:r>
      <w:r w:rsidR="00973671">
        <w:t>counterparty</w:t>
      </w:r>
      <w:r w:rsidR="00F9062A">
        <w:t xml:space="preserve"> to both her </w:t>
      </w:r>
      <w:r w:rsidR="00987B72">
        <w:t>initial</w:t>
      </w:r>
      <w:r w:rsidR="00F9062A">
        <w:t xml:space="preserve"> and offsetting transactions, </w:t>
      </w:r>
      <w:r w:rsidR="00EC7F89">
        <w:t xml:space="preserve">her two </w:t>
      </w:r>
      <w:r w:rsidR="00987B72">
        <w:t>positions</w:t>
      </w:r>
      <w:r w:rsidR="00EC7F89">
        <w:t xml:space="preserve"> cancel, and she has exited the position.  </w:t>
      </w:r>
      <w:r w:rsidR="004F2EEB">
        <w:t>What is her net cash flow?  Having purchased the option, she must pay 4</w:t>
      </w:r>
      <w:r w:rsidR="00973671">
        <w:t xml:space="preserve">.  </w:t>
      </w:r>
      <w:r w:rsidR="004F2EEB">
        <w:t>The exchange has 22.4 in margin.  So she withdraws the remaining 18.4.  This makes sense.  Out of the 22.4 in the margin account, her “own” money is 19.4, because 3 repr</w:t>
      </w:r>
      <w:r w:rsidR="00E9604B">
        <w:t>e</w:t>
      </w:r>
      <w:r w:rsidR="004F2EEB">
        <w:t>sents the original sale price of the call.  Her loss, therefore, is 19.4</w:t>
      </w:r>
      <w:r w:rsidR="004F2EEB">
        <w:sym w:font="Symbol" w:char="F02D"/>
      </w:r>
      <w:r w:rsidR="004F2EEB">
        <w:t>18.4=1</w:t>
      </w:r>
      <w:r w:rsidR="00E9767D">
        <w:t xml:space="preserve"> ($100)</w:t>
      </w:r>
      <w:r w:rsidR="004F2EEB">
        <w:t xml:space="preserve">, which equals the loss in her short call </w:t>
      </w:r>
      <w:r w:rsidR="00987B72">
        <w:t>position</w:t>
      </w:r>
      <w:r w:rsidR="004F2EEB">
        <w:t xml:space="preserve">: she sold at 3 and bought at 4.  </w:t>
      </w:r>
      <w:r w:rsidR="00E9604B">
        <w:t>Had she wait</w:t>
      </w:r>
      <w:r w:rsidR="00E9767D">
        <w:t>ed until day 3 to exit, her loss would have been only 0.5 per option.</w:t>
      </w:r>
      <w:r w:rsidR="002639C6">
        <w:t xml:space="preserve">  If the call price drops below 3 at her exit, she walks away with a profit of 0.5.  </w:t>
      </w:r>
    </w:p>
    <w:p w:rsidR="00484436" w:rsidRDefault="00E9767D" w:rsidP="00502536">
      <w:r>
        <w:t xml:space="preserve">Note the ease of exit for the call writer.  She need not search for and buy back the option from the counterparty she originally sold it to.  She buys the option from any counterparty via the exchange and, because the </w:t>
      </w:r>
      <w:r w:rsidR="00987B72">
        <w:t>exchange</w:t>
      </w:r>
      <w:r>
        <w:t xml:space="preserve"> becomes the effective  </w:t>
      </w:r>
      <w:r w:rsidR="00987B72">
        <w:t>counterparty</w:t>
      </w:r>
      <w:r>
        <w:t xml:space="preserve">, her </w:t>
      </w:r>
      <w:r w:rsidR="00987B72">
        <w:t>positions</w:t>
      </w:r>
      <w:r>
        <w:t xml:space="preserve"> offset one another.  </w:t>
      </w:r>
      <w:r w:rsidR="001B34B9">
        <w:t xml:space="preserve">Furthermore, all writers of this call, regardless of when they </w:t>
      </w:r>
      <w:r w:rsidR="00987B72">
        <w:t>initiated</w:t>
      </w:r>
      <w:r w:rsidR="001B34B9">
        <w:t xml:space="preserve"> their sale – hence, with different prices – should they choose to exit on that same day, pay the same premium, 4, which </w:t>
      </w:r>
      <w:r w:rsidR="00987B72">
        <w:t>is</w:t>
      </w:r>
      <w:r w:rsidR="001B34B9">
        <w:t xml:space="preserve"> subtracted from their margin accounts.  And because their margin </w:t>
      </w:r>
      <w:r w:rsidR="00987B72">
        <w:t>accounts</w:t>
      </w:r>
      <w:r w:rsidR="001B34B9">
        <w:t xml:space="preserve"> have been marked-to-market, </w:t>
      </w:r>
      <w:r w:rsidR="006D1B00">
        <w:t xml:space="preserve">they all exit with </w:t>
      </w:r>
      <w:r w:rsidR="00987B72">
        <w:t>the</w:t>
      </w:r>
      <w:r w:rsidR="006D1B00">
        <w:t xml:space="preserve"> same 18.4!</w:t>
      </w:r>
      <w:r w:rsidR="001A4E36">
        <w:t xml:space="preserve">  This is proved in an exercise following the section.</w:t>
      </w:r>
    </w:p>
    <w:p w:rsidR="008B164E" w:rsidRDefault="008B164E" w:rsidP="00502536">
      <w:r>
        <w:t>EXERCISES / QUESTIONS</w:t>
      </w:r>
    </w:p>
    <w:p w:rsidR="009B7971" w:rsidRDefault="009B7971" w:rsidP="009B7971">
      <w:pPr>
        <w:pStyle w:val="ListParagraph"/>
        <w:numPr>
          <w:ilvl w:val="0"/>
          <w:numId w:val="8"/>
        </w:numPr>
      </w:pPr>
      <w:r>
        <w:t>Continue with the call writer in Figure III.  Suppose she exits during day 3.  What is her cash flow</w:t>
      </w:r>
      <w:r w:rsidR="003D76D2">
        <w:t xml:space="preserve"> on that day?</w:t>
      </w:r>
      <w:r>
        <w:t xml:space="preserve">  Show that her loss is 0.5 per option, or $50.</w:t>
      </w:r>
    </w:p>
    <w:p w:rsidR="009B7971" w:rsidRDefault="009B7971" w:rsidP="009B7971">
      <w:pPr>
        <w:pStyle w:val="ListParagraph"/>
        <w:numPr>
          <w:ilvl w:val="0"/>
          <w:numId w:val="8"/>
        </w:numPr>
      </w:pPr>
      <w:r>
        <w:t xml:space="preserve">Consider a call writer who sells the call on day 1 rather than day 0.  What is his </w:t>
      </w:r>
      <w:r w:rsidR="00987B72">
        <w:t>initial</w:t>
      </w:r>
      <w:r>
        <w:t xml:space="preserve"> </w:t>
      </w:r>
      <w:r w:rsidR="00987B72">
        <w:t>margin?</w:t>
      </w:r>
      <w:r>
        <w:t xml:space="preserve">  What is his marking-to-market for day 2?  Suppose he exits </w:t>
      </w:r>
      <w:r w:rsidR="003D76D2">
        <w:t>during day 3 as well.  Show that his cash flow for that is the same as that of the previous writer, yet he makes a net profit of 0.5 instead of a loss.</w:t>
      </w:r>
    </w:p>
    <w:p w:rsidR="005B64CB" w:rsidRDefault="001C36D6" w:rsidP="00502536">
      <w:r>
        <w:t>Position</w:t>
      </w:r>
      <w:r w:rsidR="005B64CB">
        <w:t xml:space="preserve"> </w:t>
      </w:r>
      <w:r>
        <w:t>Maintained</w:t>
      </w:r>
      <w:r w:rsidR="005B64CB">
        <w:t xml:space="preserve"> Until </w:t>
      </w:r>
      <w:r w:rsidR="00364301">
        <w:t>Expiration</w:t>
      </w:r>
    </w:p>
    <w:p w:rsidR="005B64CB" w:rsidRDefault="005B64CB" w:rsidP="00502536">
      <w:r>
        <w:t xml:space="preserve">Suppose you, the call buyer, do not offset, or close out, your </w:t>
      </w:r>
      <w:r w:rsidR="001C36D6">
        <w:t>position</w:t>
      </w:r>
      <w:r>
        <w:t xml:space="preserve"> prior to the option’s </w:t>
      </w:r>
      <w:r w:rsidR="00364301">
        <w:t>expira</w:t>
      </w:r>
      <w:r>
        <w:t>t</w:t>
      </w:r>
      <w:r w:rsidR="00364301">
        <w:t>ion</w:t>
      </w:r>
      <w:r>
        <w:t xml:space="preserve"> date.  At that point you must either </w:t>
      </w:r>
      <w:r w:rsidR="001C36D6">
        <w:t>exercise</w:t>
      </w:r>
      <w:r>
        <w:t xml:space="preserve"> or allow the call to expire.  </w:t>
      </w:r>
      <w:r w:rsidR="008F6F93">
        <w:t xml:space="preserve">If Apple is below 90/share, say 88, you </w:t>
      </w:r>
      <w:r w:rsidR="001C36D6">
        <w:t>will</w:t>
      </w:r>
      <w:r w:rsidR="008F6F93">
        <w:t xml:space="preserve"> not exercise.  The premium has fallen to zero, and your </w:t>
      </w:r>
      <w:r w:rsidR="001C36D6">
        <w:t>position</w:t>
      </w:r>
      <w:r w:rsidR="008F6F93">
        <w:t xml:space="preserve"> is worthless (i.e., your loss is equal to the premium you paid).  If Apple is above 90/share at that point, say 95, you will exercise.  That is, you pay 90/share and receive 100 shares from a call seller who has been “assigned” (see below).  You can hold on to the shares, or sell them in the cash market for 95/share.</w:t>
      </w:r>
      <w:r w:rsidR="007765F4">
        <w:rPr>
          <w:rStyle w:val="FootnoteReference"/>
        </w:rPr>
        <w:footnoteReference w:id="12"/>
      </w:r>
      <w:r w:rsidR="005E1D33">
        <w:t xml:space="preserve">  If the options contract is cash settled, you simply receive $5/share.</w:t>
      </w:r>
    </w:p>
    <w:p w:rsidR="002639C6" w:rsidRDefault="002639C6" w:rsidP="00502536">
      <w:r>
        <w:t xml:space="preserve">What about the writer?  </w:t>
      </w:r>
      <w:r w:rsidR="00E27919">
        <w:t xml:space="preserve">If Apple finishes below 90, the call is worth nothing.  She simply withdraws all the </w:t>
      </w:r>
      <w:r w:rsidR="005E1D33">
        <w:t>f</w:t>
      </w:r>
      <w:r w:rsidR="00E27919">
        <w:t xml:space="preserve">unds in her margin </w:t>
      </w:r>
      <w:r w:rsidR="001C36D6">
        <w:t>account</w:t>
      </w:r>
      <w:r w:rsidR="00E27919">
        <w:t>, which include the original premium and additional margin, plus any net marking-to-</w:t>
      </w:r>
      <w:r w:rsidR="001C36D6">
        <w:t>market</w:t>
      </w:r>
      <w:r w:rsidR="00E27919">
        <w:t>.  Because</w:t>
      </w:r>
      <w:r w:rsidR="0088351C">
        <w:t xml:space="preserve"> the ori</w:t>
      </w:r>
      <w:r w:rsidR="00E27919">
        <w:t>ginal premium was not her money, that i</w:t>
      </w:r>
      <w:r w:rsidR="008F16B8">
        <w:t>s her p</w:t>
      </w:r>
      <w:r w:rsidR="00E27919">
        <w:t xml:space="preserve">rofit.  Suppose, </w:t>
      </w:r>
      <w:r w:rsidR="00E27919">
        <w:lastRenderedPageBreak/>
        <w:t xml:space="preserve">instead, Apple </w:t>
      </w:r>
      <w:r w:rsidR="007E214F">
        <w:t>is at 95 at</w:t>
      </w:r>
      <w:r w:rsidR="008F16B8">
        <w:t xml:space="preserve"> </w:t>
      </w:r>
      <w:r w:rsidR="001C36D6">
        <w:t>expiration</w:t>
      </w:r>
      <w:r w:rsidR="008F16B8">
        <w:t xml:space="preserve">.  The writer will be </w:t>
      </w:r>
      <w:r w:rsidR="001C36D6">
        <w:t>exercised</w:t>
      </w:r>
      <w:r w:rsidR="00086171">
        <w:t xml:space="preserve"> (known as an “assignment;” see the next section)</w:t>
      </w:r>
      <w:r w:rsidR="008F16B8">
        <w:t xml:space="preserve">.  That is, she will be required to deliver (100) Apple shares </w:t>
      </w:r>
      <w:r w:rsidR="00B3513B">
        <w:t>to you, the call ow</w:t>
      </w:r>
      <w:r w:rsidR="008F16B8">
        <w:t xml:space="preserve">ner, in exchange for 90 per share.  </w:t>
      </w:r>
      <w:r w:rsidR="00933C95">
        <w:t xml:space="preserve">If she does not own the shares, she will pay </w:t>
      </w:r>
      <w:r w:rsidR="001C36D6">
        <w:t>the</w:t>
      </w:r>
      <w:r w:rsidR="00933C95">
        <w:t xml:space="preserve"> cash price of 95, for a loss of 5/share.  (If she does own Apple shares, she will lose 5/share because she is receiving $90 for an asset worth $95.)  Her</w:t>
      </w:r>
      <w:r w:rsidR="00933C95" w:rsidRPr="00933C95">
        <w:rPr>
          <w:i/>
        </w:rPr>
        <w:t xml:space="preserve"> net</w:t>
      </w:r>
      <w:r w:rsidR="00933C95">
        <w:t xml:space="preserve"> loss is $5 less the </w:t>
      </w:r>
      <w:r w:rsidR="001C36D6">
        <w:t>original</w:t>
      </w:r>
      <w:r w:rsidR="00933C95">
        <w:t xml:space="preserve"> premium received when the call was written.</w:t>
      </w:r>
      <w:r w:rsidR="00944DAD" w:rsidRPr="00944DAD">
        <w:rPr>
          <w:rStyle w:val="FootnoteReference"/>
        </w:rPr>
        <w:t xml:space="preserve"> </w:t>
      </w:r>
      <w:r w:rsidR="00944DAD">
        <w:rPr>
          <w:rStyle w:val="FootnoteReference"/>
        </w:rPr>
        <w:footnoteReference w:id="13"/>
      </w:r>
      <w:r w:rsidR="00933C95">
        <w:t xml:space="preserve">  In practice, the exchange takes the </w:t>
      </w:r>
      <w:r w:rsidR="001C36D6">
        <w:t>exercise</w:t>
      </w:r>
      <w:r w:rsidR="00933C95">
        <w:t xml:space="preserve"> price, 90, paid by the call buyer, plus the amount in the </w:t>
      </w:r>
      <w:r w:rsidR="001C36D6">
        <w:t>writer’s</w:t>
      </w:r>
      <w:r w:rsidR="00933C95">
        <w:t xml:space="preserve"> margin </w:t>
      </w:r>
      <w:r w:rsidR="001C36D6">
        <w:t>account</w:t>
      </w:r>
      <w:r w:rsidR="00933C95">
        <w:t xml:space="preserve"> and purchases Apple in the cash market. </w:t>
      </w:r>
      <w:r w:rsidR="001B5C19">
        <w:t xml:space="preserve"> </w:t>
      </w:r>
      <w:r w:rsidR="00E83831">
        <w:t>The remaining amount is retur</w:t>
      </w:r>
      <w:r w:rsidR="00933C95">
        <w:t>ned to the writer</w:t>
      </w:r>
      <w:r w:rsidR="00CD7FDA">
        <w:t>, which produces a net l</w:t>
      </w:r>
      <w:r w:rsidR="00E86FA0">
        <w:t>o</w:t>
      </w:r>
      <w:r w:rsidR="00CD7FDA">
        <w:t xml:space="preserve">ss of $5 less the </w:t>
      </w:r>
      <w:r w:rsidR="001C36D6">
        <w:t>original</w:t>
      </w:r>
      <w:r w:rsidR="00CD7FDA">
        <w:t xml:space="preserve"> </w:t>
      </w:r>
      <w:r w:rsidR="001C36D6">
        <w:t>premium</w:t>
      </w:r>
      <w:r w:rsidR="00CD7FDA">
        <w:t>.</w:t>
      </w:r>
      <w:r w:rsidR="001B5C19">
        <w:rPr>
          <w:rStyle w:val="FootnoteReference"/>
        </w:rPr>
        <w:footnoteReference w:id="14"/>
      </w:r>
      <w:r w:rsidR="00E83831">
        <w:t xml:space="preserve">  If the contract is cash settled, the exchange returns the writer’s margin less the amount the call is in the money, in this case $5/share.</w:t>
      </w:r>
    </w:p>
    <w:p w:rsidR="003E5347" w:rsidRDefault="003E5347" w:rsidP="00502536">
      <w:r>
        <w:t>Early Exercise</w:t>
      </w:r>
    </w:p>
    <w:p w:rsidR="005F1E23" w:rsidRDefault="003E5347" w:rsidP="00502536">
      <w:r>
        <w:t xml:space="preserve">American style options allow the option holder to exercise prior to the expiration date.  </w:t>
      </w:r>
      <w:r w:rsidR="001C36D6">
        <w:t>Needless</w:t>
      </w:r>
      <w:r>
        <w:t xml:space="preserve"> to say, the owner of the call will exercise only if, in our example, Apple’s cash price exceeds 90, the strike. </w:t>
      </w:r>
      <w:r w:rsidR="00A727F0">
        <w:rPr>
          <w:rStyle w:val="FootnoteReference"/>
        </w:rPr>
        <w:footnoteReference w:id="15"/>
      </w:r>
      <w:r w:rsidR="001D770F">
        <w:t xml:space="preserve">  Suppose he does.  At any point, only a fraction of, if any, call owners exercise.</w:t>
      </w:r>
      <w:r w:rsidR="001D770F">
        <w:rPr>
          <w:rStyle w:val="FootnoteReference"/>
        </w:rPr>
        <w:footnoteReference w:id="16"/>
      </w:r>
      <w:r>
        <w:t xml:space="preserve"> </w:t>
      </w:r>
      <w:r w:rsidR="005F1E23">
        <w:t xml:space="preserve"> The exchange will choose which call writers must respond to the exercise.  </w:t>
      </w:r>
      <w:r w:rsidR="005B64CB">
        <w:t xml:space="preserve">This </w:t>
      </w:r>
      <w:r w:rsidR="005F1E23">
        <w:t>is known as “</w:t>
      </w:r>
      <w:r w:rsidR="001C36D6">
        <w:t>assignment</w:t>
      </w:r>
      <w:r w:rsidR="005F1E23">
        <w:t>,” with rules determined by the exchange.</w:t>
      </w:r>
      <w:r w:rsidR="00B53F5F">
        <w:t xml:space="preserve">  The assigned writer must deliver the chares to the exerciser, with the resultant dynamics just as </w:t>
      </w:r>
      <w:r w:rsidR="001C36D6">
        <w:t>described</w:t>
      </w:r>
      <w:r w:rsidR="00B53F5F">
        <w:t xml:space="preserve"> in the pre</w:t>
      </w:r>
      <w:r w:rsidR="008108BE">
        <w:t>vious section.</w:t>
      </w:r>
    </w:p>
    <w:p w:rsidR="009B7971" w:rsidRDefault="00FE5CB6" w:rsidP="00502536">
      <w:r>
        <w:t xml:space="preserve">Failure to Meet Margin </w:t>
      </w:r>
    </w:p>
    <w:p w:rsidR="00FE5CB6" w:rsidRDefault="00FE5CB6" w:rsidP="00502536">
      <w:r>
        <w:t xml:space="preserve">Suppose an </w:t>
      </w:r>
      <w:r w:rsidR="001C36D6">
        <w:t>increase</w:t>
      </w:r>
      <w:r>
        <w:t xml:space="preserve"> in margin is required of the call writer which he cannot (or will not) meet.  </w:t>
      </w:r>
      <w:r w:rsidR="00337F9B">
        <w:t xml:space="preserve">The additional margin may be due to an increase in the price of the underlying asset and/or a rise in the option premium (as occurred in Table III between day 0 and day 1).  The exchange “closes out” the </w:t>
      </w:r>
      <w:r w:rsidR="00337F9B">
        <w:lastRenderedPageBreak/>
        <w:t xml:space="preserve">writer’s </w:t>
      </w:r>
      <w:r w:rsidR="001C36D6">
        <w:t>position</w:t>
      </w:r>
      <w:r w:rsidR="00337F9B">
        <w:t xml:space="preserve">.  It purchases call options </w:t>
      </w:r>
      <w:r w:rsidR="00796429">
        <w:t xml:space="preserve">(with the specific exercise price and </w:t>
      </w:r>
      <w:r w:rsidR="001C36D6">
        <w:t>expiration</w:t>
      </w:r>
      <w:r w:rsidR="00796429">
        <w:t xml:space="preserve">) </w:t>
      </w:r>
      <w:r w:rsidR="00337F9B">
        <w:t xml:space="preserve">on behalf of the writer, who exits the </w:t>
      </w:r>
      <w:r w:rsidR="001C36D6">
        <w:t>position</w:t>
      </w:r>
      <w:r w:rsidR="00337F9B">
        <w:t xml:space="preserve"> just as described in the earlier section on exiting.</w:t>
      </w:r>
    </w:p>
    <w:p w:rsidR="00D5206C" w:rsidRDefault="00D5206C" w:rsidP="00502536">
      <w:r>
        <w:t>Writer in Possession of Shares</w:t>
      </w:r>
    </w:p>
    <w:p w:rsidR="00261930" w:rsidRDefault="00D5206C" w:rsidP="00502536">
      <w:r>
        <w:t xml:space="preserve">Should the writer own the shares, no margin would be necessary.  The buyer’s, hence the </w:t>
      </w:r>
      <w:r w:rsidR="001C36D6">
        <w:t>exchange’s</w:t>
      </w:r>
      <w:r w:rsidR="001A7D50">
        <w:t>, risk of the writer’s non-perf</w:t>
      </w:r>
      <w:r>
        <w:t>o</w:t>
      </w:r>
      <w:r w:rsidR="001A7D50">
        <w:t>r</w:t>
      </w:r>
      <w:r>
        <w:t xml:space="preserve">mance vanishes.  Recall </w:t>
      </w:r>
      <w:r w:rsidR="00AB069F">
        <w:t>that the risk faced by the buyer due to the pote</w:t>
      </w:r>
      <w:r w:rsidR="001A7D50">
        <w:t>ntial lack of perfo</w:t>
      </w:r>
      <w:r w:rsidR="00AB069F">
        <w:t xml:space="preserve">rmance on the part of the </w:t>
      </w:r>
      <w:r w:rsidR="00364301">
        <w:t>writer is the excess of the ass</w:t>
      </w:r>
      <w:r w:rsidR="00AB069F">
        <w:t>et’s price at expiration above the call’s exercise price.  If the writer posts the shares as collateral, the buyer will not need to make a cash market purchase</w:t>
      </w:r>
      <w:r w:rsidR="009459DE">
        <w:t xml:space="preserve"> should the writer not perform</w:t>
      </w:r>
      <w:r w:rsidR="00AB069F">
        <w:t xml:space="preserve">.  </w:t>
      </w:r>
      <w:r w:rsidR="009459DE">
        <w:t xml:space="preserve">The risk is said to be “covered.”  The call </w:t>
      </w:r>
      <w:r w:rsidR="001C36D6">
        <w:t>owner</w:t>
      </w:r>
      <w:r w:rsidR="009459DE">
        <w:t xml:space="preserve"> </w:t>
      </w:r>
      <w:r w:rsidR="00AB069F">
        <w:t xml:space="preserve">exercises </w:t>
      </w:r>
      <w:r w:rsidR="009459DE">
        <w:t>a</w:t>
      </w:r>
      <w:r w:rsidR="00AB069F">
        <w:t>nd the exchange simply delivers the shares.</w:t>
      </w:r>
      <w:r w:rsidR="00AB069F">
        <w:rPr>
          <w:rStyle w:val="FootnoteReference"/>
        </w:rPr>
        <w:footnoteReference w:id="17"/>
      </w:r>
    </w:p>
    <w:p w:rsidR="001A7D50" w:rsidRDefault="008B42C5" w:rsidP="00502536">
      <w:r>
        <w:t>PUT MARGIN CALCULATIONS</w:t>
      </w:r>
    </w:p>
    <w:p w:rsidR="005A45B7" w:rsidRDefault="005A45B7" w:rsidP="00502536">
      <w:r>
        <w:t xml:space="preserve">The buyer of a put option faces the risk that the counterparty may not be able to honor his obligation at exercise.  </w:t>
      </w:r>
      <w:r w:rsidR="004C13D5">
        <w:t xml:space="preserve">Consider a put on Apple </w:t>
      </w:r>
      <w:r w:rsidR="001C36D6">
        <w:t>exercisable</w:t>
      </w:r>
      <w:r w:rsidR="004C13D5">
        <w:t xml:space="preserve"> at 90/share.  Suppose Apple </w:t>
      </w:r>
      <w:r w:rsidR="005524AB">
        <w:t>is 88/share at the put’s expiration.</w:t>
      </w:r>
      <w:r w:rsidR="005524AB">
        <w:rPr>
          <w:rStyle w:val="FootnoteReference"/>
        </w:rPr>
        <w:footnoteReference w:id="18"/>
      </w:r>
      <w:r w:rsidR="005524AB">
        <w:t xml:space="preserve">  The buyer will surely wish to exercise.  </w:t>
      </w:r>
      <w:r w:rsidR="00465D92">
        <w:t xml:space="preserve">The writer will be forced to pay 90 for the number of Apple shares covered by the contract, but can only sell them for 88 per share.  He may not be in a position to absorb the loss and, as a result, </w:t>
      </w:r>
      <w:r w:rsidR="001C36D6">
        <w:t>defaults</w:t>
      </w:r>
      <w:r w:rsidR="00465D92">
        <w:t xml:space="preserve"> on the </w:t>
      </w:r>
      <w:r w:rsidR="001C36D6">
        <w:t>contract</w:t>
      </w:r>
      <w:r w:rsidR="00465D92">
        <w:t xml:space="preserve">.  If the option buyer owns the Apple shares, she needs to sell them in the market, and loses 90 – 88 = 2/share because she thought she had the 90/share “locked in.”  If she does not own the </w:t>
      </w:r>
      <w:r w:rsidR="001C36D6">
        <w:t>underlying</w:t>
      </w:r>
      <w:r w:rsidR="00465D92">
        <w:t xml:space="preserve"> shares, rather speculated on a decline in Apple price, she gives up her profit of 2/share from her “winning” position that she </w:t>
      </w:r>
      <w:r w:rsidR="001C36D6">
        <w:t>otherwise</w:t>
      </w:r>
      <w:r w:rsidR="00465D92">
        <w:t xml:space="preserve"> would have received if not for the default.</w:t>
      </w:r>
    </w:p>
    <w:p w:rsidR="005A45B7" w:rsidRDefault="00295AFF" w:rsidP="00502536">
      <w:r>
        <w:t xml:space="preserve">Just as is the case with calls, the </w:t>
      </w:r>
      <w:r w:rsidR="005A45B7">
        <w:t xml:space="preserve">exchange </w:t>
      </w:r>
      <w:r>
        <w:t xml:space="preserve">is the legal counterparty to the call buyer.  After the initial transaction, the exchange is effectively the seller to the put buyer, and the buyer of the out from the put writer.  Hence the exchange faces the </w:t>
      </w:r>
      <w:r w:rsidR="001C36D6">
        <w:t>performance</w:t>
      </w:r>
      <w:r>
        <w:t xml:space="preserve"> risk </w:t>
      </w:r>
      <w:r w:rsidR="001C36D6">
        <w:t>from</w:t>
      </w:r>
      <w:r>
        <w:t xml:space="preserve"> the writer.  To prevent </w:t>
      </w:r>
      <w:r w:rsidR="0048479B">
        <w:t>l</w:t>
      </w:r>
      <w:r>
        <w:t>osses in the case of non-</w:t>
      </w:r>
      <w:r w:rsidR="001C36D6">
        <w:t>performance</w:t>
      </w:r>
      <w:r>
        <w:t>, the CBOE requires put writers to post collateral in a manner similar to that of calls.</w:t>
      </w:r>
      <w:r w:rsidR="00A87264">
        <w:t xml:space="preserve">  Required margin equals the put premium plus 20% of the underlying asset’s value.  If the option is out-of-the-money, that amount is subtracted.  Figure IV provides representative calculations</w:t>
      </w:r>
      <w:r w:rsidR="000A20F1">
        <w:t xml:space="preserve"> for puts on Apple shares</w:t>
      </w:r>
      <w:r w:rsidR="00A87264">
        <w:t>.</w:t>
      </w:r>
    </w:p>
    <w:p w:rsidR="00C762BF" w:rsidRDefault="00C762BF" w:rsidP="00C762BF">
      <w:pPr>
        <w:spacing w:after="0" w:line="240" w:lineRule="auto"/>
        <w:jc w:val="center"/>
        <w:rPr>
          <w:rFonts w:ascii="Times New Roman" w:hAnsi="Times New Roman" w:cs="Times New Roman"/>
          <w:sz w:val="24"/>
          <w:szCs w:val="24"/>
        </w:rPr>
      </w:pPr>
    </w:p>
    <w:p w:rsidR="00A87264" w:rsidRDefault="00A87264" w:rsidP="00A87264">
      <w:pPr>
        <w:spacing w:after="0"/>
        <w:jc w:val="center"/>
        <w:rPr>
          <w:rFonts w:ascii="Times New Roman" w:hAnsi="Times New Roman" w:cs="Times New Roman"/>
          <w:sz w:val="24"/>
          <w:szCs w:val="24"/>
        </w:rPr>
      </w:pPr>
      <w:r w:rsidRPr="00076EBA">
        <w:rPr>
          <w:rFonts w:ascii="Times New Roman" w:hAnsi="Times New Roman" w:cs="Times New Roman"/>
          <w:sz w:val="24"/>
          <w:szCs w:val="24"/>
        </w:rPr>
        <w:t>Figure I</w:t>
      </w:r>
      <w:r>
        <w:rPr>
          <w:rFonts w:ascii="Times New Roman" w:hAnsi="Times New Roman" w:cs="Times New Roman"/>
          <w:sz w:val="24"/>
          <w:szCs w:val="24"/>
        </w:rPr>
        <w:t>V</w:t>
      </w:r>
    </w:p>
    <w:p w:rsidR="00A87264" w:rsidRDefault="00A87264" w:rsidP="00A87264">
      <w:pPr>
        <w:spacing w:after="0"/>
        <w:jc w:val="center"/>
        <w:rPr>
          <w:rFonts w:ascii="Times New Roman" w:hAnsi="Times New Roman" w:cs="Times New Roman"/>
          <w:sz w:val="24"/>
          <w:szCs w:val="24"/>
        </w:rPr>
      </w:pPr>
      <w:r>
        <w:rPr>
          <w:rFonts w:ascii="Times New Roman" w:hAnsi="Times New Roman" w:cs="Times New Roman"/>
          <w:sz w:val="24"/>
          <w:szCs w:val="24"/>
        </w:rPr>
        <w:t>Chicago Board Options Exchange Initial Margin Calculations</w:t>
      </w:r>
    </w:p>
    <w:p w:rsidR="00A87264" w:rsidRDefault="00A87264" w:rsidP="00A87264">
      <w:pPr>
        <w:spacing w:after="0"/>
        <w:jc w:val="center"/>
        <w:rPr>
          <w:rFonts w:ascii="Times New Roman" w:hAnsi="Times New Roman" w:cs="Times New Roman"/>
          <w:sz w:val="24"/>
          <w:szCs w:val="24"/>
        </w:rPr>
      </w:pPr>
      <w:r>
        <w:rPr>
          <w:rFonts w:ascii="Times New Roman" w:hAnsi="Times New Roman" w:cs="Times New Roman"/>
          <w:sz w:val="24"/>
          <w:szCs w:val="24"/>
        </w:rPr>
        <w:t>Put on 100 shares of Apple</w:t>
      </w:r>
    </w:p>
    <w:p w:rsidR="008F5FA2" w:rsidRDefault="00A87264" w:rsidP="00A87264">
      <w:pPr>
        <w:spacing w:after="0"/>
        <w:ind w:right="-720"/>
        <w:jc w:val="center"/>
        <w:rPr>
          <w:rFonts w:ascii="Times New Roman" w:hAnsi="Times New Roman" w:cs="Times New Roman"/>
          <w:sz w:val="24"/>
          <w:szCs w:val="24"/>
        </w:rPr>
      </w:pPr>
      <w:r w:rsidRPr="005D720B">
        <w:rPr>
          <w:rFonts w:ascii="Times New Roman" w:hAnsi="Times New Roman" w:cs="Times New Roman"/>
          <w:sz w:val="24"/>
          <w:szCs w:val="24"/>
        </w:rPr>
        <w:t>Margin = option value + 20% of stock price, less excess of stock price</w:t>
      </w:r>
      <w:r w:rsidR="008F5FA2">
        <w:rPr>
          <w:rFonts w:ascii="Times New Roman" w:hAnsi="Times New Roman" w:cs="Times New Roman"/>
          <w:sz w:val="24"/>
          <w:szCs w:val="24"/>
        </w:rPr>
        <w:t xml:space="preserve"> over exercise price</w:t>
      </w:r>
      <w:r w:rsidRPr="005D720B">
        <w:rPr>
          <w:rFonts w:ascii="Times New Roman" w:hAnsi="Times New Roman" w:cs="Times New Roman"/>
          <w:sz w:val="24"/>
          <w:szCs w:val="24"/>
        </w:rPr>
        <w:t xml:space="preserve">, </w:t>
      </w:r>
    </w:p>
    <w:p w:rsidR="00A87264" w:rsidRPr="005D720B" w:rsidRDefault="00A87264" w:rsidP="00A87264">
      <w:pPr>
        <w:spacing w:after="0"/>
        <w:ind w:right="-720"/>
        <w:jc w:val="center"/>
        <w:rPr>
          <w:rFonts w:ascii="Times New Roman" w:hAnsi="Times New Roman" w:cs="Times New Roman"/>
          <w:sz w:val="24"/>
          <w:szCs w:val="24"/>
        </w:rPr>
      </w:pPr>
      <w:r w:rsidRPr="005D720B">
        <w:rPr>
          <w:rFonts w:ascii="Times New Roman" w:hAnsi="Times New Roman" w:cs="Times New Roman"/>
          <w:sz w:val="24"/>
          <w:szCs w:val="24"/>
        </w:rPr>
        <w:t>subject to minimum</w:t>
      </w:r>
    </w:p>
    <w:p w:rsidR="00A87264" w:rsidRDefault="00A87264" w:rsidP="00A87264">
      <w:pPr>
        <w:spacing w:after="0"/>
      </w:pPr>
    </w:p>
    <w:p w:rsidR="00A87264" w:rsidRDefault="00A87264" w:rsidP="00A87264">
      <w:pPr>
        <w:ind w:firstLine="720"/>
      </w:pPr>
      <w:r w:rsidRPr="005A3679">
        <w:rPr>
          <w:u w:val="single"/>
        </w:rPr>
        <w:t>Apple</w:t>
      </w:r>
      <w:r>
        <w:t xml:space="preserve"> </w:t>
      </w:r>
      <w:r>
        <w:tab/>
        <w:t xml:space="preserve"> </w:t>
      </w:r>
      <w:r w:rsidRPr="005A3679">
        <w:rPr>
          <w:u w:val="single"/>
        </w:rPr>
        <w:t>exercise p</w:t>
      </w:r>
      <w:r>
        <w:rPr>
          <w:u w:val="single"/>
        </w:rPr>
        <w:t>r</w:t>
      </w:r>
      <w:r w:rsidRPr="005A3679">
        <w:rPr>
          <w:u w:val="single"/>
        </w:rPr>
        <w:t>ice</w:t>
      </w:r>
      <w:r>
        <w:t xml:space="preserve"> </w:t>
      </w:r>
      <w:r>
        <w:tab/>
      </w:r>
      <w:r w:rsidR="008F5FA2" w:rsidRPr="008F5FA2">
        <w:rPr>
          <w:u w:val="single"/>
        </w:rPr>
        <w:t>put</w:t>
      </w:r>
      <w:r w:rsidRPr="008F5FA2">
        <w:rPr>
          <w:u w:val="single"/>
        </w:rPr>
        <w:t xml:space="preserve"> premium</w:t>
      </w:r>
      <w:r>
        <w:t xml:space="preserve"> </w:t>
      </w:r>
      <w:r>
        <w:tab/>
        <w:t xml:space="preserve">               </w:t>
      </w:r>
      <w:r w:rsidRPr="005A3679">
        <w:rPr>
          <w:u w:val="single"/>
        </w:rPr>
        <w:t>margin calculation</w:t>
      </w:r>
    </w:p>
    <w:p w:rsidR="00A87264" w:rsidRDefault="00A87264" w:rsidP="008F5FA2">
      <w:pPr>
        <w:pStyle w:val="ListParagraph"/>
        <w:numPr>
          <w:ilvl w:val="0"/>
          <w:numId w:val="9"/>
        </w:numPr>
      </w:pPr>
      <w:r>
        <w:lastRenderedPageBreak/>
        <w:t xml:space="preserve">  90</w:t>
      </w:r>
      <w:r>
        <w:tab/>
        <w:t xml:space="preserve">       90</w:t>
      </w:r>
      <w:r>
        <w:tab/>
      </w:r>
      <w:r>
        <w:tab/>
        <w:t xml:space="preserve">        3</w:t>
      </w:r>
      <w:r>
        <w:tab/>
      </w:r>
      <w:r>
        <w:tab/>
      </w:r>
      <w:r>
        <w:tab/>
        <w:t xml:space="preserve"> 3 + .2x90 = 21</w:t>
      </w:r>
    </w:p>
    <w:p w:rsidR="00A87264" w:rsidRDefault="006B43D1" w:rsidP="008F5FA2">
      <w:pPr>
        <w:pStyle w:val="ListParagraph"/>
        <w:numPr>
          <w:ilvl w:val="0"/>
          <w:numId w:val="9"/>
        </w:numPr>
      </w:pPr>
      <w:r>
        <w:t xml:space="preserve">  88</w:t>
      </w:r>
      <w:r w:rsidR="00A87264">
        <w:tab/>
        <w:t xml:space="preserve">       90</w:t>
      </w:r>
      <w:r w:rsidR="00A87264">
        <w:tab/>
      </w:r>
      <w:r w:rsidR="00A87264">
        <w:tab/>
        <w:t xml:space="preserve">        3</w:t>
      </w:r>
      <w:r w:rsidR="00A87264">
        <w:tab/>
      </w:r>
      <w:r w:rsidR="00A87264">
        <w:tab/>
      </w:r>
      <w:r w:rsidR="00A87264">
        <w:tab/>
        <w:t xml:space="preserve"> 3 + .2x</w:t>
      </w:r>
      <w:r>
        <w:t xml:space="preserve">88 </w:t>
      </w:r>
      <w:r w:rsidR="00A87264">
        <w:t>= 2</w:t>
      </w:r>
      <w:r>
        <w:t>0</w:t>
      </w:r>
      <w:r w:rsidR="00A87264">
        <w:t>.</w:t>
      </w:r>
      <w:r>
        <w:t>6</w:t>
      </w:r>
    </w:p>
    <w:p w:rsidR="00A87264" w:rsidRDefault="00A87264" w:rsidP="005F1F09">
      <w:pPr>
        <w:pStyle w:val="ListParagraph"/>
        <w:numPr>
          <w:ilvl w:val="0"/>
          <w:numId w:val="9"/>
        </w:numPr>
      </w:pPr>
      <w:r>
        <w:t xml:space="preserve">  </w:t>
      </w:r>
      <w:r w:rsidR="00B66C32">
        <w:t>88</w:t>
      </w:r>
      <w:r>
        <w:tab/>
        <w:t xml:space="preserve">       </w:t>
      </w:r>
      <w:r w:rsidR="00B66C32">
        <w:t>90</w:t>
      </w:r>
      <w:r>
        <w:tab/>
      </w:r>
      <w:r>
        <w:tab/>
        <w:t xml:space="preserve">        4</w:t>
      </w:r>
      <w:r>
        <w:tab/>
      </w:r>
      <w:r>
        <w:tab/>
      </w:r>
      <w:r>
        <w:tab/>
        <w:t xml:space="preserve"> 4 + .2x</w:t>
      </w:r>
      <w:r w:rsidR="00B66C32">
        <w:t>88</w:t>
      </w:r>
      <w:r>
        <w:t xml:space="preserve"> = 2</w:t>
      </w:r>
      <w:r w:rsidR="00B66C32">
        <w:t>1.6</w:t>
      </w:r>
    </w:p>
    <w:p w:rsidR="00A87264" w:rsidRDefault="00A87264" w:rsidP="008F5FA2">
      <w:pPr>
        <w:pStyle w:val="ListParagraph"/>
        <w:numPr>
          <w:ilvl w:val="0"/>
          <w:numId w:val="9"/>
        </w:numPr>
      </w:pPr>
      <w:r>
        <w:t xml:space="preserve">  90</w:t>
      </w:r>
      <w:r>
        <w:tab/>
        <w:t xml:space="preserve">       </w:t>
      </w:r>
      <w:r w:rsidR="00F743B4">
        <w:t>88</w:t>
      </w:r>
      <w:r>
        <w:tab/>
      </w:r>
      <w:r>
        <w:tab/>
        <w:t xml:space="preserve">        3</w:t>
      </w:r>
      <w:r>
        <w:tab/>
      </w:r>
      <w:r>
        <w:tab/>
      </w:r>
      <w:r>
        <w:tab/>
        <w:t xml:space="preserve"> 3 + .2x90 </w:t>
      </w:r>
      <w:r>
        <w:sym w:font="Symbol" w:char="F02D"/>
      </w:r>
      <w:r>
        <w:t xml:space="preserve"> (9</w:t>
      </w:r>
      <w:r w:rsidR="00F743B4">
        <w:t>0</w:t>
      </w:r>
      <w:r>
        <w:t>–</w:t>
      </w:r>
      <w:r w:rsidR="00F743B4">
        <w:t>88</w:t>
      </w:r>
      <w:r>
        <w:t>) = 19</w:t>
      </w:r>
    </w:p>
    <w:p w:rsidR="00A87264" w:rsidRDefault="00A87264" w:rsidP="008F5FA2">
      <w:pPr>
        <w:pStyle w:val="ListParagraph"/>
        <w:numPr>
          <w:ilvl w:val="0"/>
          <w:numId w:val="9"/>
        </w:numPr>
      </w:pPr>
      <w:r>
        <w:t xml:space="preserve">  9</w:t>
      </w:r>
      <w:r w:rsidR="00A42D54">
        <w:t>2</w:t>
      </w:r>
      <w:r>
        <w:tab/>
        <w:t xml:space="preserve">       9</w:t>
      </w:r>
      <w:r w:rsidR="00A42D54">
        <w:t>0</w:t>
      </w:r>
      <w:r>
        <w:tab/>
      </w:r>
      <w:r>
        <w:tab/>
        <w:t xml:space="preserve">        3</w:t>
      </w:r>
      <w:r>
        <w:tab/>
      </w:r>
      <w:r>
        <w:tab/>
      </w:r>
      <w:r>
        <w:tab/>
        <w:t xml:space="preserve"> 3 + .2x9</w:t>
      </w:r>
      <w:r w:rsidR="00A42D54">
        <w:t>2</w:t>
      </w:r>
      <w:r>
        <w:t xml:space="preserve"> </w:t>
      </w:r>
      <w:r>
        <w:sym w:font="Symbol" w:char="F02D"/>
      </w:r>
      <w:r>
        <w:t xml:space="preserve"> (9</w:t>
      </w:r>
      <w:r w:rsidR="00A42D54">
        <w:t>2</w:t>
      </w:r>
      <w:r>
        <w:sym w:font="Symbol" w:char="F02D"/>
      </w:r>
      <w:r>
        <w:t>90) = 1</w:t>
      </w:r>
      <w:r w:rsidR="00A42D54">
        <w:t>9.4</w:t>
      </w:r>
    </w:p>
    <w:p w:rsidR="00A87264" w:rsidRPr="005A3679" w:rsidRDefault="00A87264" w:rsidP="008F5FA2">
      <w:pPr>
        <w:pStyle w:val="ListParagraph"/>
        <w:numPr>
          <w:ilvl w:val="0"/>
          <w:numId w:val="9"/>
        </w:numPr>
      </w:pPr>
      <w:r>
        <w:t xml:space="preserve">  9</w:t>
      </w:r>
      <w:r w:rsidR="00393269">
        <w:t>2</w:t>
      </w:r>
      <w:r>
        <w:tab/>
        <w:t xml:space="preserve">       9</w:t>
      </w:r>
      <w:r w:rsidR="00393269">
        <w:t>0</w:t>
      </w:r>
      <w:r>
        <w:tab/>
      </w:r>
      <w:r>
        <w:tab/>
        <w:t xml:space="preserve">        4</w:t>
      </w:r>
      <w:r>
        <w:tab/>
      </w:r>
      <w:r>
        <w:tab/>
      </w:r>
      <w:r>
        <w:tab/>
        <w:t xml:space="preserve"> 4 + .2x9</w:t>
      </w:r>
      <w:r w:rsidR="00393269">
        <w:t>2</w:t>
      </w:r>
      <w:r>
        <w:t xml:space="preserve"> </w:t>
      </w:r>
      <w:r>
        <w:sym w:font="Symbol" w:char="F02D"/>
      </w:r>
      <w:r>
        <w:t xml:space="preserve"> (9</w:t>
      </w:r>
      <w:r w:rsidR="00393269">
        <w:t>2</w:t>
      </w:r>
      <w:r>
        <w:sym w:font="Symbol" w:char="F02D"/>
      </w:r>
      <w:r>
        <w:t>9</w:t>
      </w:r>
      <w:r w:rsidR="00393269">
        <w:t xml:space="preserve">0) = </w:t>
      </w:r>
      <w:r>
        <w:t>2</w:t>
      </w:r>
      <w:r w:rsidR="00393269">
        <w:t>0.4</w:t>
      </w:r>
    </w:p>
    <w:p w:rsidR="00A87264" w:rsidRPr="005A3679" w:rsidRDefault="00A87264" w:rsidP="008F5FA2">
      <w:pPr>
        <w:pStyle w:val="ListParagraph"/>
        <w:numPr>
          <w:ilvl w:val="0"/>
          <w:numId w:val="9"/>
        </w:numPr>
      </w:pPr>
      <w:r>
        <w:t xml:space="preserve">  </w:t>
      </w:r>
      <w:r w:rsidR="00404BBC">
        <w:t>102</w:t>
      </w:r>
      <w:r w:rsidR="00454D0B">
        <w:tab/>
        <w:t xml:space="preserve">       90</w:t>
      </w:r>
      <w:r>
        <w:tab/>
      </w:r>
      <w:r>
        <w:tab/>
        <w:t xml:space="preserve">        1</w:t>
      </w:r>
      <w:r>
        <w:tab/>
      </w:r>
      <w:r>
        <w:tab/>
      </w:r>
      <w:r>
        <w:tab/>
        <w:t xml:space="preserve"> 1 + .2x</w:t>
      </w:r>
      <w:r w:rsidR="00404BBC">
        <w:t>102</w:t>
      </w:r>
      <w:r>
        <w:t xml:space="preserve"> </w:t>
      </w:r>
      <w:r>
        <w:sym w:font="Symbol" w:char="F02D"/>
      </w:r>
      <w:r>
        <w:t xml:space="preserve"> (</w:t>
      </w:r>
      <w:r w:rsidR="00404BBC">
        <w:t>102</w:t>
      </w:r>
      <w:r>
        <w:sym w:font="Symbol" w:char="F02D"/>
      </w:r>
      <w:r w:rsidR="00454D0B">
        <w:t>90</w:t>
      </w:r>
      <w:r>
        <w:t xml:space="preserve">) = </w:t>
      </w:r>
      <w:r w:rsidR="00404BBC">
        <w:t>9.4</w:t>
      </w:r>
      <w:r>
        <w:rPr>
          <w:rFonts w:ascii="Times New Roman" w:hAnsi="Times New Roman" w:cs="Times New Roman"/>
        </w:rPr>
        <w:t>→</w:t>
      </w:r>
      <w:r w:rsidR="00404BBC">
        <w:rPr>
          <w:rFonts w:ascii="Times New Roman" w:hAnsi="Times New Roman" w:cs="Times New Roman"/>
        </w:rPr>
        <w:t>10</w:t>
      </w:r>
    </w:p>
    <w:p w:rsidR="00A87264" w:rsidRDefault="00A87264" w:rsidP="00502536"/>
    <w:p w:rsidR="000A20F1" w:rsidRDefault="000A20F1" w:rsidP="00502536">
      <w:r>
        <w:t xml:space="preserve">Example 1 </w:t>
      </w:r>
      <w:r w:rsidR="001C36D6">
        <w:t>presents</w:t>
      </w:r>
      <w:r>
        <w:t xml:space="preserve"> the at-the-money situation.  The required margin is the same as for the at-the-money call.  </w:t>
      </w:r>
      <w:r w:rsidR="00530793">
        <w:t>Suppose Apple is at 88, yet the put premium is the same 3/share, as in example 2.  The put is now in-the-money, but the margin is lower</w:t>
      </w:r>
      <w:r w:rsidR="00376E8B">
        <w:t>!</w:t>
      </w:r>
      <w:r w:rsidR="00530793">
        <w:t xml:space="preserve">  This is unlike the call margin (see example 2 of Figure II) which increases due to the call moving into-the-money despite the same premium.  </w:t>
      </w:r>
      <w:r w:rsidR="00376E8B">
        <w:t xml:space="preserve">What’s the difference?  As mentioned above, asset price volatility is a relative concept.  A 20% range around 88 is </w:t>
      </w:r>
      <w:r w:rsidR="001C36D6">
        <w:t>narrower</w:t>
      </w:r>
      <w:r w:rsidR="00376E8B">
        <w:t xml:space="preserve"> than a 20% range around 90.  The potential future movement in Apple stock, hence the potential loss due to writer non-performance, is lower.</w:t>
      </w:r>
      <w:r w:rsidR="0078188F">
        <w:t xml:space="preserve">  A higher premium, however, will increase required margin, as in </w:t>
      </w:r>
      <w:r w:rsidR="001C36D6">
        <w:t>example</w:t>
      </w:r>
      <w:r w:rsidR="0078188F">
        <w:t xml:space="preserve"> 3.  This is because the higher premium reveals market </w:t>
      </w:r>
      <w:r w:rsidR="001C36D6">
        <w:t>participants</w:t>
      </w:r>
      <w:r w:rsidR="0078188F">
        <w:t>’</w:t>
      </w:r>
      <w:r w:rsidR="00393269">
        <w:t xml:space="preserve"> exp</w:t>
      </w:r>
      <w:r w:rsidR="0078188F">
        <w:t>ectations of increased v</w:t>
      </w:r>
      <w:r w:rsidR="001C36D6">
        <w:t>o</w:t>
      </w:r>
      <w:r w:rsidR="0078188F">
        <w:t xml:space="preserve">laoltity, hence risk of non-performance.  </w:t>
      </w:r>
    </w:p>
    <w:p w:rsidR="00A42D54" w:rsidRDefault="00A42D54" w:rsidP="00502536">
      <w:r>
        <w:t>In example 4 the put is out-of-the-money.  The risk of non-performance is lower, so the CBOE gives a credit equal to the amount out-of-the-money.  In example 5, the put is out-of-the-money to the same degree as in example 4.  But t</w:t>
      </w:r>
      <w:r w:rsidR="00393269">
        <w:t xml:space="preserve">he margin requirement is greater because Apple is at 92, so that the same </w:t>
      </w:r>
      <w:r w:rsidR="001C36D6">
        <w:t>parentage</w:t>
      </w:r>
      <w:r w:rsidR="00393269">
        <w:t xml:space="preserve"> volaioltity portends a greater potential price change.  </w:t>
      </w:r>
      <w:r w:rsidR="00454D0B">
        <w:t>The margin is higher in example 6 because of the greater</w:t>
      </w:r>
      <w:r w:rsidR="008C6444">
        <w:t xml:space="preserve"> premium, reflecting greater exp</w:t>
      </w:r>
      <w:r w:rsidR="00454D0B">
        <w:t xml:space="preserve">ected </w:t>
      </w:r>
      <w:r w:rsidR="00EA23F9">
        <w:t>volatility</w:t>
      </w:r>
      <w:r w:rsidR="00454D0B">
        <w:t xml:space="preserve"> on the part of market </w:t>
      </w:r>
      <w:r w:rsidR="00EA23F9">
        <w:t>participants</w:t>
      </w:r>
      <w:r w:rsidR="00454D0B">
        <w:t xml:space="preserve">.  </w:t>
      </w:r>
      <w:r w:rsidR="008C6444">
        <w:t xml:space="preserve">Example </w:t>
      </w:r>
      <w:r w:rsidR="00E9604B">
        <w:t xml:space="preserve">7 </w:t>
      </w:r>
      <w:r w:rsidR="008C6444">
        <w:t xml:space="preserve">is the CBOE’s exception to its rule: the put writer’s margin cannot be less than the premium plus 10% of the exercise price (compared to 10% of the underlying </w:t>
      </w:r>
      <w:r w:rsidR="008C6444" w:rsidRPr="008C6444">
        <w:rPr>
          <w:i/>
        </w:rPr>
        <w:t>asset’s</w:t>
      </w:r>
      <w:r w:rsidR="008C6444">
        <w:t xml:space="preserve"> price in the case of a call.)</w:t>
      </w:r>
    </w:p>
    <w:p w:rsidR="00AF6B5A" w:rsidRDefault="00AF6B5A" w:rsidP="00502536">
      <w:r>
        <w:t xml:space="preserve">The initial margin at the establishment of a written put position and the subsequent markings-to-market follow the procedure outlined above for written calls.  An example is left for an end-of-chapter exercise.  Exiting a put is straightforward as well.  The put buyer sells a put which, because the exchange is the counterparty to both the original and offsetting transactions, cancels the </w:t>
      </w:r>
      <w:r w:rsidR="00EA23F9">
        <w:t>position</w:t>
      </w:r>
      <w:r>
        <w:t>.  A profit or loss is realized</w:t>
      </w:r>
      <w:r w:rsidR="001E31F9">
        <w:t xml:space="preserve"> depending upon the put premium at exit compared to that at entry</w:t>
      </w:r>
      <w:r>
        <w:t xml:space="preserve">.  The put writer </w:t>
      </w:r>
      <w:r w:rsidR="001E31F9">
        <w:t xml:space="preserve">similarly </w:t>
      </w:r>
      <w:r>
        <w:t xml:space="preserve">exits via an opposite trade, and withdraws whatever is remaining in her margin account.  This will be more </w:t>
      </w:r>
      <w:r w:rsidR="004771BD">
        <w:t xml:space="preserve">(hence a </w:t>
      </w:r>
      <w:r w:rsidR="00CB4E4E">
        <w:t>p</w:t>
      </w:r>
      <w:r w:rsidR="004771BD">
        <w:t xml:space="preserve">rofit) </w:t>
      </w:r>
      <w:r>
        <w:t xml:space="preserve">or les </w:t>
      </w:r>
      <w:r w:rsidR="004771BD">
        <w:t xml:space="preserve">(a loss) </w:t>
      </w:r>
      <w:r>
        <w:t xml:space="preserve">than the sum of the </w:t>
      </w:r>
      <w:r w:rsidR="00EA23F9">
        <w:t>initial</w:t>
      </w:r>
      <w:r>
        <w:t xml:space="preserve"> margin and net markings-to-market </w:t>
      </w:r>
      <w:r w:rsidR="00EA23F9">
        <w:t>depending</w:t>
      </w:r>
      <w:r w:rsidR="004771BD">
        <w:t xml:space="preserve"> upon whether </w:t>
      </w:r>
      <w:r>
        <w:t>the put premium at exit is below or above, respectively, the premium at entry.</w:t>
      </w:r>
    </w:p>
    <w:p w:rsidR="00CB4E4E" w:rsidRDefault="00CB4E4E" w:rsidP="00502536">
      <w:r>
        <w:t xml:space="preserve">Suppose the buyer </w:t>
      </w:r>
      <w:r w:rsidR="00EA23F9">
        <w:t>remains</w:t>
      </w:r>
      <w:r w:rsidR="00364301">
        <w:t xml:space="preserve"> until</w:t>
      </w:r>
      <w:r>
        <w:t xml:space="preserve"> expiration.  </w:t>
      </w:r>
      <w:r w:rsidR="005C12B7">
        <w:t xml:space="preserve">If the put expires out-of (or at) -the-money, the buyer does nothing, but loses the premium which the writer earns.  Suppose it expires in-the-money – i.e., Apple is 87/share.  The buyer exercises.  If he has Apple in possession, he delivers the shares and receives the strike, or 90/share.  If he does not own it, he purchases it at 88 and delivers for 90.  If the put is cash settled, he receives $2/share.  The writer will lose the ITM value of the option, either by a cash debit </w:t>
      </w:r>
      <w:r w:rsidR="005C12B7">
        <w:lastRenderedPageBreak/>
        <w:t xml:space="preserve">from his margin account or by purchasing Apple at the strike price and selling it at the lower market </w:t>
      </w:r>
      <w:r w:rsidR="00EA23F9">
        <w:t>price</w:t>
      </w:r>
      <w:r w:rsidR="005C12B7">
        <w:t>.</w:t>
      </w:r>
      <w:r w:rsidR="00084B12">
        <w:rPr>
          <w:rStyle w:val="FootnoteReference"/>
        </w:rPr>
        <w:footnoteReference w:id="19"/>
      </w:r>
      <w:r w:rsidR="005C12B7">
        <w:t xml:space="preserve">  </w:t>
      </w:r>
      <w:r w:rsidR="00B55C2C">
        <w:t xml:space="preserve">The put buyer’s </w:t>
      </w:r>
      <w:r w:rsidR="00B55C2C" w:rsidRPr="00B55C2C">
        <w:rPr>
          <w:i/>
        </w:rPr>
        <w:t>net</w:t>
      </w:r>
      <w:r w:rsidR="00B55C2C">
        <w:t xml:space="preserve"> gain is the ITM value at expiration less the premium paid; this is the writer’s net loss.</w:t>
      </w:r>
    </w:p>
    <w:p w:rsidR="00364301" w:rsidRDefault="008B42C5" w:rsidP="00502536">
      <w:r>
        <w:t>MORE ON PUT MARGIN: EARLY EXERCISE, FAILURE TO POST AND COVERED SHORT</w:t>
      </w:r>
    </w:p>
    <w:p w:rsidR="004B7A66" w:rsidRDefault="004B7A66" w:rsidP="007D7444">
      <w:pPr>
        <w:pStyle w:val="ListParagraph"/>
        <w:numPr>
          <w:ilvl w:val="0"/>
          <w:numId w:val="10"/>
        </w:numPr>
      </w:pPr>
      <w:r>
        <w:t xml:space="preserve">If a put option is in-the-money, then assuming the </w:t>
      </w:r>
      <w:r w:rsidR="00EA23F9">
        <w:t>option</w:t>
      </w:r>
      <w:r>
        <w:t xml:space="preserve"> is </w:t>
      </w:r>
      <w:r w:rsidR="00EA23F9">
        <w:t>American</w:t>
      </w:r>
      <w:r>
        <w:t xml:space="preserve"> style (as CBOE options are), some put holders may exercise prior to expiration.</w:t>
      </w:r>
      <w:r>
        <w:rPr>
          <w:rStyle w:val="FootnoteReference"/>
        </w:rPr>
        <w:footnoteReference w:id="20"/>
      </w:r>
      <w:r w:rsidR="00796429">
        <w:t xml:space="preserve">  In those cases, the exchange “assigns” the exercise to put writers, who will be required to purchase the underlying asset at the exercise price.  </w:t>
      </w:r>
    </w:p>
    <w:p w:rsidR="00796429" w:rsidRDefault="00796429" w:rsidP="007D7444">
      <w:pPr>
        <w:pStyle w:val="ListParagraph"/>
        <w:numPr>
          <w:ilvl w:val="0"/>
          <w:numId w:val="10"/>
        </w:numPr>
      </w:pPr>
      <w:r>
        <w:t xml:space="preserve">What if a writer fails to meet margin?  As is the case with calls, the exchange closes out the offending writer’s position.  </w:t>
      </w:r>
      <w:r w:rsidR="007D7444">
        <w:t>It purchases puts on behalf of the writer, who then exits the contract in the manner described above.</w:t>
      </w:r>
    </w:p>
    <w:p w:rsidR="009459DE" w:rsidRDefault="003750A9" w:rsidP="007D7444">
      <w:pPr>
        <w:pStyle w:val="ListParagraph"/>
        <w:numPr>
          <w:ilvl w:val="0"/>
          <w:numId w:val="10"/>
        </w:numPr>
      </w:pPr>
      <w:r>
        <w:t>Suppose the call writer has sold Apple short.</w:t>
      </w:r>
      <w:r>
        <w:rPr>
          <w:rStyle w:val="FootnoteReference"/>
        </w:rPr>
        <w:footnoteReference w:id="21"/>
      </w:r>
      <w:r w:rsidR="00BF388D">
        <w:t xml:space="preserve">  The put buyer’s risk of the writer’s non-</w:t>
      </w:r>
      <w:r w:rsidR="00B818D4">
        <w:t>performance</w:t>
      </w:r>
      <w:r w:rsidR="00BF388D">
        <w:t xml:space="preserve"> is essentially absent.  For should Apple’s price decline below the strike and the buyer exercises, the proceeds of the short sale, held as collateral, will be used </w:t>
      </w:r>
      <w:r w:rsidR="008B42C5">
        <w:t>to pay the put o</w:t>
      </w:r>
      <w:r w:rsidR="00C41F28">
        <w:t xml:space="preserve">wner.  </w:t>
      </w:r>
    </w:p>
    <w:p w:rsidR="008B42C5" w:rsidRDefault="008B42C5" w:rsidP="00946B4B">
      <w:r>
        <w:t xml:space="preserve">INDEX OPTIONS </w:t>
      </w:r>
    </w:p>
    <w:p w:rsidR="00256953" w:rsidRDefault="00714198" w:rsidP="00714198">
      <w:r>
        <w:t xml:space="preserve">The Chicago Board Options </w:t>
      </w:r>
      <w:r w:rsidR="00B818D4">
        <w:t>Exchange</w:t>
      </w:r>
      <w:r>
        <w:t xml:space="preserve"> sponsors trading in options on equity indices.  An index is not a security.  It is a weighted average of prices of the assets which the index comprises.  </w:t>
      </w:r>
      <w:r w:rsidR="003B278B">
        <w:t xml:space="preserve">Well known examples are the Dow Jones Industrial Average of 30 (equally weighted) stocks and the Standard &amp; </w:t>
      </w:r>
      <w:r w:rsidR="00B818D4">
        <w:t>Poor’s</w:t>
      </w:r>
      <w:r w:rsidR="003B278B">
        <w:t xml:space="preserve"> 500 Index of (capitalization weighted) the largest US stocks.</w:t>
      </w:r>
      <w:r w:rsidR="003B278B">
        <w:rPr>
          <w:rStyle w:val="FootnoteReference"/>
        </w:rPr>
        <w:footnoteReference w:id="22"/>
      </w:r>
      <w:r w:rsidR="003B278B">
        <w:t xml:space="preserve">  You cannot </w:t>
      </w:r>
      <w:r w:rsidR="003B278B" w:rsidRPr="003B278B">
        <w:rPr>
          <w:i/>
        </w:rPr>
        <w:t>buy</w:t>
      </w:r>
      <w:r w:rsidR="003B278B">
        <w:t xml:space="preserve"> or </w:t>
      </w:r>
      <w:r w:rsidR="003B278B" w:rsidRPr="003B278B">
        <w:rPr>
          <w:i/>
        </w:rPr>
        <w:t>sell</w:t>
      </w:r>
      <w:r w:rsidR="003B278B">
        <w:t xml:space="preserve"> an index in the traditional sense – there is no asset to deliver.  However, you </w:t>
      </w:r>
      <w:r w:rsidR="003B278B" w:rsidRPr="003B278B">
        <w:rPr>
          <w:i/>
        </w:rPr>
        <w:t>can</w:t>
      </w:r>
      <w:r w:rsidR="003B278B">
        <w:t xml:space="preserve"> </w:t>
      </w:r>
      <w:r w:rsidR="00AA752C">
        <w:t xml:space="preserve">purchase and write </w:t>
      </w:r>
      <w:r w:rsidR="003B278B">
        <w:t>options on an index</w:t>
      </w:r>
      <w:r w:rsidR="00AA752C">
        <w:t xml:space="preserve"> as long as settlement is in cash rather than physical.</w:t>
      </w:r>
      <w:r w:rsidR="00AA752C">
        <w:rPr>
          <w:rStyle w:val="FootnoteReference"/>
        </w:rPr>
        <w:footnoteReference w:id="23"/>
      </w:r>
      <w:r w:rsidR="00AA752C">
        <w:t xml:space="preserve">  </w:t>
      </w:r>
    </w:p>
    <w:p w:rsidR="00714198" w:rsidRDefault="006A605A" w:rsidP="00714198">
      <w:r>
        <w:t xml:space="preserve">The mechanics of CBOE index </w:t>
      </w:r>
      <w:r w:rsidR="00714198">
        <w:t xml:space="preserve">options </w:t>
      </w:r>
      <w:r>
        <w:t xml:space="preserve">are similar to those of single stocks, as illustrated above.  Because the components of the index are imperfectly </w:t>
      </w:r>
      <w:r w:rsidR="00B818D4">
        <w:t>correlated</w:t>
      </w:r>
      <w:r>
        <w:t xml:space="preserve">, indices display </w:t>
      </w:r>
      <w:r w:rsidR="00B818D4">
        <w:t>lower</w:t>
      </w:r>
      <w:r>
        <w:t xml:space="preserve"> </w:t>
      </w:r>
      <w:r w:rsidR="00B818D4">
        <w:t>volatility</w:t>
      </w:r>
      <w:r>
        <w:t xml:space="preserve"> that </w:t>
      </w:r>
      <w:r w:rsidR="00B818D4">
        <w:t>individual</w:t>
      </w:r>
      <w:r>
        <w:t xml:space="preserve"> stock prices.  </w:t>
      </w:r>
      <w:r w:rsidR="00A05E51">
        <w:t>Recognizing this, the CBOE’s margin requirements are lower: the option premium plus 15% (</w:t>
      </w:r>
      <w:r w:rsidR="00B818D4">
        <w:t>rather</w:t>
      </w:r>
      <w:r w:rsidR="00A05E51">
        <w:t xml:space="preserve"> than 20%) of the underlying index value.</w:t>
      </w:r>
    </w:p>
    <w:p w:rsidR="004E3AFF" w:rsidRDefault="000A410E" w:rsidP="00714198">
      <w:r>
        <w:t xml:space="preserve">SUMMARY </w:t>
      </w:r>
    </w:p>
    <w:p w:rsidR="00946B4B" w:rsidRDefault="000A410E" w:rsidP="00946B4B">
      <w:r>
        <w:lastRenderedPageBreak/>
        <w:t xml:space="preserve">An options exchange is the legal </w:t>
      </w:r>
      <w:r w:rsidR="00EA23F9">
        <w:t>counterparty</w:t>
      </w:r>
      <w:r>
        <w:t xml:space="preserve"> to options contracts entered into under its auspices.  The </w:t>
      </w:r>
      <w:r w:rsidR="00EA23F9">
        <w:t>exchange</w:t>
      </w:r>
      <w:r>
        <w:t xml:space="preserve"> require </w:t>
      </w:r>
      <w:r w:rsidR="00946B4B">
        <w:t xml:space="preserve">margin </w:t>
      </w:r>
      <w:r>
        <w:t>from option writers in order t</w:t>
      </w:r>
      <w:r w:rsidR="00946B4B">
        <w:t xml:space="preserve">o ensure that the </w:t>
      </w:r>
      <w:r w:rsidR="008108BE">
        <w:t>exchange</w:t>
      </w:r>
      <w:r w:rsidR="00946B4B">
        <w:t xml:space="preserve"> (hence, ultimately, the option buyer) will not lose money should the writer default, or fail to perform.  The amount of </w:t>
      </w:r>
      <w:r>
        <w:t xml:space="preserve">initial </w:t>
      </w:r>
      <w:r w:rsidR="008108BE">
        <w:t>margin</w:t>
      </w:r>
      <w:r w:rsidR="00946B4B">
        <w:t xml:space="preserve">, and </w:t>
      </w:r>
      <w:r>
        <w:t xml:space="preserve">then </w:t>
      </w:r>
      <w:r w:rsidR="00946B4B">
        <w:t>its daily marking-to-market</w:t>
      </w:r>
      <w:r>
        <w:t>,</w:t>
      </w:r>
      <w:r w:rsidR="00224A5D">
        <w:t xml:space="preserve"> are calculated </w:t>
      </w:r>
      <w:r>
        <w:t xml:space="preserve">to cover the </w:t>
      </w:r>
      <w:r w:rsidR="00224A5D">
        <w:t xml:space="preserve">situation where the </w:t>
      </w:r>
      <w:r w:rsidR="008108BE">
        <w:t>underlying</w:t>
      </w:r>
      <w:r w:rsidR="00224A5D">
        <w:t xml:space="preserve"> asset</w:t>
      </w:r>
      <w:r>
        <w:t>’s price</w:t>
      </w:r>
      <w:r w:rsidR="00224A5D">
        <w:t xml:space="preserve"> at expiration is </w:t>
      </w:r>
      <w:r>
        <w:t xml:space="preserve">the </w:t>
      </w:r>
      <w:r w:rsidR="00224A5D">
        <w:t>same as today</w:t>
      </w:r>
      <w:r>
        <w:t xml:space="preserve">, plus an </w:t>
      </w:r>
      <w:r w:rsidR="00EA23F9">
        <w:t>additional</w:t>
      </w:r>
      <w:r>
        <w:t xml:space="preserve"> amount for the </w:t>
      </w:r>
      <w:r w:rsidR="008108BE">
        <w:t>possibility</w:t>
      </w:r>
      <w:r w:rsidR="00224A5D">
        <w:t xml:space="preserve"> </w:t>
      </w:r>
      <w:r>
        <w:t xml:space="preserve">that the </w:t>
      </w:r>
      <w:r w:rsidR="008108BE">
        <w:t>price</w:t>
      </w:r>
      <w:r w:rsidR="00224A5D">
        <w:t xml:space="preserve"> may move (in </w:t>
      </w:r>
      <w:r>
        <w:t xml:space="preserve">an </w:t>
      </w:r>
      <w:r w:rsidR="00224A5D">
        <w:t xml:space="preserve">adverse </w:t>
      </w:r>
      <w:r w:rsidR="008108BE">
        <w:t>direction</w:t>
      </w:r>
      <w:r w:rsidR="00224A5D">
        <w:t>).</w:t>
      </w:r>
      <w:r w:rsidR="00133E01">
        <w:t xml:space="preserve">  The exchange’s position as the counterparty also allows for easy exit from an options contract: an opposite trade erases the </w:t>
      </w:r>
      <w:r w:rsidR="00EA23F9">
        <w:t>position</w:t>
      </w:r>
      <w:r w:rsidR="00133E01">
        <w:t>.</w:t>
      </w:r>
    </w:p>
    <w:p w:rsidR="00946B4B" w:rsidRDefault="00194A80" w:rsidP="00641FE7">
      <w:r>
        <w:t xml:space="preserve">Before we leave this section </w:t>
      </w:r>
      <w:r w:rsidR="0093676C">
        <w:t xml:space="preserve">it is worthwhile pointing out </w:t>
      </w:r>
      <w:r w:rsidR="00946B4B">
        <w:t>that collateral/margin/m</w:t>
      </w:r>
      <w:r w:rsidR="0093676C">
        <w:t>arking-to-</w:t>
      </w:r>
      <w:r w:rsidR="00946B4B">
        <w:t>m</w:t>
      </w:r>
      <w:r w:rsidR="0093676C">
        <w:t>arket are n</w:t>
      </w:r>
      <w:r w:rsidR="00946B4B">
        <w:t>ot unique to exchange traded</w:t>
      </w:r>
      <w:r w:rsidR="0093676C">
        <w:t xml:space="preserve"> options</w:t>
      </w:r>
      <w:r w:rsidR="00946B4B">
        <w:t xml:space="preserve">.  </w:t>
      </w:r>
      <w:r w:rsidR="00A7114B">
        <w:t xml:space="preserve">(Options entered into and traded outside off exchanges are referred to as “over-the-counter,” or OTC, options.)  </w:t>
      </w:r>
      <w:r w:rsidR="007953CF">
        <w:t xml:space="preserve">Dealers as well as </w:t>
      </w:r>
      <w:r w:rsidR="00EA23F9">
        <w:t>individual</w:t>
      </w:r>
      <w:r w:rsidR="00946B4B">
        <w:t xml:space="preserve"> c</w:t>
      </w:r>
      <w:r w:rsidR="007953CF">
        <w:t>oun</w:t>
      </w:r>
      <w:r w:rsidR="00946B4B">
        <w:t xml:space="preserve">terparties </w:t>
      </w:r>
      <w:r w:rsidR="007953CF">
        <w:t xml:space="preserve">commonly request </w:t>
      </w:r>
      <w:r w:rsidR="00946B4B">
        <w:t>marg</w:t>
      </w:r>
      <w:r w:rsidR="002708A9">
        <w:t>in</w:t>
      </w:r>
      <w:r w:rsidR="007953CF">
        <w:t>.  The amount of collateral demand</w:t>
      </w:r>
      <w:r w:rsidR="00FC24DF">
        <w:t xml:space="preserve">ed (and </w:t>
      </w:r>
      <w:r w:rsidR="00EA23F9">
        <w:t>whether</w:t>
      </w:r>
      <w:r w:rsidR="00FC24DF">
        <w:t xml:space="preserve"> they do or not) will</w:t>
      </w:r>
      <w:r w:rsidR="007953CF">
        <w:t xml:space="preserve"> </w:t>
      </w:r>
      <w:r w:rsidR="00EA23F9">
        <w:t>depend</w:t>
      </w:r>
      <w:r w:rsidR="007953CF">
        <w:t xml:space="preserve"> on the relationship they have with the counterparty and their </w:t>
      </w:r>
      <w:r w:rsidR="00EA23F9">
        <w:t>assessment</w:t>
      </w:r>
      <w:r w:rsidR="007953CF">
        <w:t xml:space="preserve"> of its credit </w:t>
      </w:r>
      <w:r w:rsidR="00EA23F9">
        <w:t>worthiness</w:t>
      </w:r>
      <w:r w:rsidR="007953CF">
        <w:t xml:space="preserve">, and the </w:t>
      </w:r>
      <w:r w:rsidR="00EA23F9">
        <w:t>volatility</w:t>
      </w:r>
      <w:r w:rsidR="007953CF">
        <w:t xml:space="preserve"> of the particular un </w:t>
      </w:r>
      <w:r w:rsidR="00EA23F9">
        <w:t>underlying</w:t>
      </w:r>
      <w:r w:rsidR="007953CF">
        <w:t xml:space="preserve"> asset.  </w:t>
      </w:r>
      <w:r w:rsidR="00EA23F9">
        <w:t>Furthermore</w:t>
      </w:r>
      <w:r w:rsidR="002708A9">
        <w:t xml:space="preserve">, </w:t>
      </w:r>
      <w:r w:rsidR="007953CF">
        <w:t xml:space="preserve">marking-to-market may be less frequent than daily (if at all) and might only be triggered by a change in </w:t>
      </w:r>
      <w:r w:rsidR="00EA23F9">
        <w:t>price</w:t>
      </w:r>
      <w:r w:rsidR="007953CF">
        <w:t xml:space="preserve"> of the </w:t>
      </w:r>
      <w:r w:rsidR="00EA23F9">
        <w:t>underlying</w:t>
      </w:r>
      <w:r w:rsidR="007953CF">
        <w:t xml:space="preserve"> asset and/or the option premium </w:t>
      </w:r>
      <w:r w:rsidR="00EA23F9">
        <w:t>above</w:t>
      </w:r>
      <w:r w:rsidR="007953CF">
        <w:t xml:space="preserve"> a given size.  The CBOE’s rules, on the other hand, are uniform.</w:t>
      </w:r>
      <w:r w:rsidR="00FC24DF">
        <w:rPr>
          <w:rStyle w:val="FootnoteReference"/>
        </w:rPr>
        <w:footnoteReference w:id="24"/>
      </w:r>
      <w:r w:rsidR="000E3E1D">
        <w:t xml:space="preserve">         </w:t>
      </w:r>
    </w:p>
    <w:p w:rsidR="00804D3E" w:rsidRDefault="001D75A0" w:rsidP="00641FE7">
      <w:r>
        <w:t>A WORD ON LIQUIDTY OF EXCHABGE-TRADED OPTIONS</w:t>
      </w:r>
    </w:p>
    <w:p w:rsidR="00DD636C" w:rsidRDefault="00804D3E" w:rsidP="00BC1BA5">
      <w:pPr>
        <w:spacing w:after="0"/>
      </w:pPr>
      <w:r>
        <w:t xml:space="preserve">The attraction of trading options on organized </w:t>
      </w:r>
      <w:r w:rsidR="00EA23F9">
        <w:t>exchanges</w:t>
      </w:r>
      <w:r>
        <w:t xml:space="preserve"> lies not only in the performance </w:t>
      </w:r>
      <w:r w:rsidR="00EA23F9">
        <w:t>guarantee</w:t>
      </w:r>
      <w:r>
        <w:t xml:space="preserve"> (</w:t>
      </w:r>
      <w:r w:rsidR="00EA23F9">
        <w:t>remember</w:t>
      </w:r>
      <w:r>
        <w:t xml:space="preserve">: option </w:t>
      </w:r>
      <w:r w:rsidR="00EA23F9">
        <w:t>writers</w:t>
      </w:r>
      <w:r>
        <w:t xml:space="preserve"> have no need for a </w:t>
      </w:r>
      <w:r w:rsidR="00EA23F9">
        <w:t>guarantee</w:t>
      </w:r>
      <w:r>
        <w:t xml:space="preserve">) an exchange offers.  </w:t>
      </w:r>
      <w:r w:rsidR="00BC1BA5">
        <w:t xml:space="preserve">A centralized trading venue provides </w:t>
      </w:r>
      <w:r w:rsidR="00EA23F9">
        <w:t>greater</w:t>
      </w:r>
      <w:r w:rsidR="00BC1BA5">
        <w:t xml:space="preserve"> liquidity than searching for best prices among dealers and other </w:t>
      </w:r>
      <w:r w:rsidR="00EA23F9">
        <w:t>counter</w:t>
      </w:r>
      <w:r w:rsidR="00BC1BA5">
        <w:t xml:space="preserve">-parties.  This is manifested in narrower bid-asked spreads and smaller market impact (a sizable transaction pushing out the trading price).  </w:t>
      </w:r>
      <w:r w:rsidR="00FB779C">
        <w:t xml:space="preserve">Of course, the performance </w:t>
      </w:r>
      <w:r w:rsidR="00EA23F9">
        <w:t>guarantee</w:t>
      </w:r>
      <w:r w:rsidR="00FB779C">
        <w:t xml:space="preserve">, along with the uniform collateral </w:t>
      </w:r>
      <w:r w:rsidR="00EA23F9">
        <w:t>requirements</w:t>
      </w:r>
      <w:r w:rsidR="00FB779C">
        <w:t xml:space="preserve">, attract options market participants which brings the liquidity, which makes for a virtuous circle.  </w:t>
      </w:r>
      <w:r w:rsidR="00EA23F9">
        <w:t>Transactions</w:t>
      </w:r>
      <w:r w:rsidR="00BC1BA5">
        <w:t xml:space="preserve"> costs </w:t>
      </w:r>
      <w:r w:rsidR="00EA23F9">
        <w:t>are</w:t>
      </w:r>
      <w:r w:rsidR="00BC1BA5">
        <w:t xml:space="preserve">, therefore, lower.  The downside is the standardization of parameters </w:t>
      </w:r>
      <w:r w:rsidR="00EA23F9">
        <w:t>imposed</w:t>
      </w:r>
      <w:r w:rsidR="00BC1BA5">
        <w:t xml:space="preserve"> by the </w:t>
      </w:r>
      <w:r w:rsidR="00EA23F9">
        <w:t>exchange</w:t>
      </w:r>
      <w:r w:rsidR="00BC1BA5">
        <w:t>:</w:t>
      </w:r>
    </w:p>
    <w:p w:rsidR="00BC1BA5" w:rsidRDefault="00BC1BA5" w:rsidP="00BC1BA5">
      <w:pPr>
        <w:pStyle w:val="ListParagraph"/>
        <w:numPr>
          <w:ilvl w:val="0"/>
          <w:numId w:val="11"/>
        </w:numPr>
      </w:pPr>
      <w:r>
        <w:t>underlying asset</w:t>
      </w:r>
    </w:p>
    <w:p w:rsidR="00BC1BA5" w:rsidRDefault="00BC1BA5" w:rsidP="00BC1BA5">
      <w:pPr>
        <w:pStyle w:val="ListParagraph"/>
        <w:numPr>
          <w:ilvl w:val="0"/>
          <w:numId w:val="11"/>
        </w:numPr>
      </w:pPr>
      <w:r>
        <w:t>strike prices</w:t>
      </w:r>
    </w:p>
    <w:p w:rsidR="00BC1BA5" w:rsidRDefault="00BC1BA5" w:rsidP="00BC1BA5">
      <w:pPr>
        <w:pStyle w:val="ListParagraph"/>
        <w:numPr>
          <w:ilvl w:val="0"/>
          <w:numId w:val="11"/>
        </w:numPr>
      </w:pPr>
      <w:r>
        <w:t>size of contact</w:t>
      </w:r>
    </w:p>
    <w:p w:rsidR="00BC1BA5" w:rsidRDefault="00BC1BA5" w:rsidP="00BC1BA5">
      <w:pPr>
        <w:pStyle w:val="ListParagraph"/>
        <w:numPr>
          <w:ilvl w:val="0"/>
          <w:numId w:val="11"/>
        </w:numPr>
      </w:pPr>
      <w:r>
        <w:t xml:space="preserve">expiration month/day cycle </w:t>
      </w:r>
    </w:p>
    <w:p w:rsidR="00B64719" w:rsidRDefault="00FB779C" w:rsidP="00641FE7">
      <w:r>
        <w:t xml:space="preserve">The choice </w:t>
      </w:r>
      <w:r w:rsidR="00A7114B">
        <w:t xml:space="preserve">between exchange-traded and OTC options, other than the performance risk differences, therefore, </w:t>
      </w:r>
      <w:r>
        <w:t xml:space="preserve">comes down to enhanced liquidity versus reduced flexibility.  </w:t>
      </w:r>
      <w:r w:rsidR="000419BC">
        <w:t>One result of t</w:t>
      </w:r>
      <w:r>
        <w:t xml:space="preserve">he reduction in flexibility </w:t>
      </w:r>
      <w:r w:rsidR="000419BC">
        <w:t xml:space="preserve">is the potentially </w:t>
      </w:r>
      <w:r w:rsidR="00EA23F9">
        <w:t>imperfect</w:t>
      </w:r>
      <w:r w:rsidR="000419BC">
        <w:t xml:space="preserve"> correspondence between the asset and the option employed to hedge it, a situation termed </w:t>
      </w:r>
      <w:r>
        <w:t>“basis risk</w:t>
      </w:r>
      <w:r w:rsidR="000419BC">
        <w:t>.</w:t>
      </w:r>
      <w:r>
        <w:t xml:space="preserve">” </w:t>
      </w:r>
      <w:r w:rsidR="000419BC">
        <w:t xml:space="preserve"> This </w:t>
      </w:r>
      <w:r>
        <w:t>will be addressed in chapter xxx.</w:t>
      </w:r>
    </w:p>
    <w:p w:rsidR="00CD3152" w:rsidRDefault="00CD3152" w:rsidP="00641FE7"/>
    <w:p w:rsidR="000107DE" w:rsidRDefault="000107DE" w:rsidP="000107DE">
      <w:r>
        <w:t>CHAPTER HIGHLIGHTS</w:t>
      </w:r>
    </w:p>
    <w:p w:rsidR="001D75A0" w:rsidRDefault="001D75A0" w:rsidP="00641FE7"/>
    <w:p w:rsidR="001D75A0" w:rsidRDefault="001D75A0" w:rsidP="00641FE7">
      <w:r>
        <w:t>REVIEW QUESTIONS</w:t>
      </w:r>
    </w:p>
    <w:p w:rsidR="00641FE7" w:rsidRDefault="001474B9" w:rsidP="00641FE7">
      <w:r>
        <w:t xml:space="preserve">How do the three </w:t>
      </w:r>
      <w:r w:rsidR="001D75A0">
        <w:t xml:space="preserve">prices – cash, strike and premium – </w:t>
      </w:r>
      <w:proofErr w:type="gramStart"/>
      <w:r w:rsidR="008108BE">
        <w:t>interact</w:t>
      </w:r>
      <w:r w:rsidR="00641FE7">
        <w:t>.</w:t>
      </w:r>
      <w:proofErr w:type="gramEnd"/>
      <w:r w:rsidR="00641FE7">
        <w:t xml:space="preserve">  For example, compare two writers – bank or fund </w:t>
      </w:r>
      <w:r w:rsidR="001D75A0">
        <w:t>with</w:t>
      </w:r>
      <w:r w:rsidR="00641FE7">
        <w:t xml:space="preserve"> </w:t>
      </w:r>
      <w:r w:rsidR="008108BE">
        <w:t>individual</w:t>
      </w:r>
      <w:r w:rsidR="00641FE7">
        <w:t>.</w:t>
      </w:r>
      <w:r w:rsidR="003F6B71">
        <w:t xml:space="preserve"> </w:t>
      </w:r>
    </w:p>
    <w:p w:rsidR="00970E60" w:rsidRDefault="00970E60" w:rsidP="00641FE7">
      <w:r>
        <w:t>Complete an mtm Table for put.</w:t>
      </w:r>
    </w:p>
    <w:p w:rsidR="00FA697C" w:rsidRDefault="00FA697C" w:rsidP="00641FE7">
      <w:r>
        <w:t xml:space="preserve">Prove that put writer’s margin always has enough funds for exercise.  And that </w:t>
      </w:r>
      <w:r w:rsidR="001D75A0">
        <w:t xml:space="preserve">the </w:t>
      </w:r>
      <w:r>
        <w:t>ga</w:t>
      </w:r>
      <w:r w:rsidR="001D75A0">
        <w:t>i</w:t>
      </w:r>
      <w:r>
        <w:t xml:space="preserve">n/loss is the </w:t>
      </w:r>
      <w:r w:rsidR="00EA23F9">
        <w:t>cumulative</w:t>
      </w:r>
      <w:r>
        <w:t xml:space="preserve"> mtm + premium.</w:t>
      </w:r>
    </w:p>
    <w:sectPr w:rsidR="00FA697C" w:rsidSect="007C77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48E" w:rsidRDefault="00BF048E" w:rsidP="00641FE7">
      <w:pPr>
        <w:spacing w:after="0" w:line="240" w:lineRule="auto"/>
      </w:pPr>
      <w:r>
        <w:separator/>
      </w:r>
    </w:p>
  </w:endnote>
  <w:endnote w:type="continuationSeparator" w:id="0">
    <w:p w:rsidR="00BF048E" w:rsidRDefault="00BF048E" w:rsidP="0064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48E" w:rsidRDefault="00BF048E" w:rsidP="00641FE7">
      <w:pPr>
        <w:spacing w:after="0" w:line="240" w:lineRule="auto"/>
      </w:pPr>
      <w:r>
        <w:separator/>
      </w:r>
    </w:p>
  </w:footnote>
  <w:footnote w:type="continuationSeparator" w:id="0">
    <w:p w:rsidR="00BF048E" w:rsidRDefault="00BF048E" w:rsidP="00641FE7">
      <w:pPr>
        <w:spacing w:after="0" w:line="240" w:lineRule="auto"/>
      </w:pPr>
      <w:r>
        <w:continuationSeparator/>
      </w:r>
    </w:p>
  </w:footnote>
  <w:footnote w:id="1">
    <w:p w:rsidR="00FB6DCC" w:rsidRDefault="00FB6DCC">
      <w:pPr>
        <w:pStyle w:val="FootnoteText"/>
      </w:pPr>
      <w:r>
        <w:rPr>
          <w:rStyle w:val="FootnoteReference"/>
        </w:rPr>
        <w:footnoteRef/>
      </w:r>
      <w:r>
        <w:t xml:space="preserve"> An options contract entered into outside of an exchange is known as an “over-the-counter” (OTC), or off-</w:t>
      </w:r>
      <w:r w:rsidR="00EA23F9">
        <w:t>exchange</w:t>
      </w:r>
      <w:r>
        <w:t>, option.</w:t>
      </w:r>
    </w:p>
  </w:footnote>
  <w:footnote w:id="2">
    <w:p w:rsidR="00B0494F" w:rsidRDefault="00B0494F">
      <w:pPr>
        <w:pStyle w:val="FootnoteText"/>
      </w:pPr>
      <w:r>
        <w:rPr>
          <w:rStyle w:val="FootnoteReference"/>
        </w:rPr>
        <w:footnoteRef/>
      </w:r>
      <w:r>
        <w:t xml:space="preserve"> Technically, the Options Clearing Corporation is the guarantor.</w:t>
      </w:r>
    </w:p>
  </w:footnote>
  <w:footnote w:id="3">
    <w:p w:rsidR="00641FE7" w:rsidRDefault="00641FE7" w:rsidP="00641FE7">
      <w:pPr>
        <w:pStyle w:val="FootnoteText"/>
      </w:pPr>
      <w:r>
        <w:rPr>
          <w:rStyle w:val="FootnoteReference"/>
        </w:rPr>
        <w:footnoteRef/>
      </w:r>
      <w:r>
        <w:t xml:space="preserve"> Of course, the option buyer has lost the premium, or $1.5x40</w:t>
      </w:r>
      <w:proofErr w:type="gramStart"/>
      <w:r>
        <w:t>,000</w:t>
      </w:r>
      <w:proofErr w:type="gramEnd"/>
      <w:r>
        <w:t>.  But this is not the result of non-performance on the part of the writer.</w:t>
      </w:r>
    </w:p>
  </w:footnote>
  <w:footnote w:id="4">
    <w:p w:rsidR="00641FE7" w:rsidRDefault="00641FE7" w:rsidP="00641FE7">
      <w:pPr>
        <w:pStyle w:val="FootnoteText"/>
      </w:pPr>
      <w:r>
        <w:rPr>
          <w:rStyle w:val="FootnoteReference"/>
        </w:rPr>
        <w:footnoteRef/>
      </w:r>
      <w:r>
        <w:t xml:space="preserve"> If the option is American style the conclusion still holds, but with a modest extension.  Exercise is possible anytime prior to expiration (although, as explained earlier in the text, it </w:t>
      </w:r>
      <w:r w:rsidR="00EA23F9">
        <w:t>happens</w:t>
      </w:r>
      <w:r>
        <w:t xml:space="preserve"> rarely).  Whenever exercise is optimal, the option buyer is subject to performance risk on the part of the writer.  But the likelihood of loss due to this risk is relatively low for the reasons explained in point 1, and the loss in event of non-performance is limited by the following point 2.</w:t>
      </w:r>
    </w:p>
  </w:footnote>
  <w:footnote w:id="5">
    <w:p w:rsidR="00641FE7" w:rsidRDefault="00641FE7" w:rsidP="00641FE7">
      <w:pPr>
        <w:pStyle w:val="FootnoteText"/>
      </w:pPr>
      <w:r>
        <w:rPr>
          <w:rStyle w:val="FootnoteReference"/>
        </w:rPr>
        <w:footnoteRef/>
      </w:r>
      <w:r>
        <w:t xml:space="preserve"> For a European style put, this can only occur at expiration.  For an </w:t>
      </w:r>
      <w:r w:rsidR="00EA23F9">
        <w:t>American</w:t>
      </w:r>
      <w:r>
        <w:t xml:space="preserve"> style, </w:t>
      </w:r>
      <w:r w:rsidR="00EA23F9">
        <w:t>early</w:t>
      </w:r>
      <w:r>
        <w:t xml:space="preserve"> exercise is possible, and </w:t>
      </w:r>
      <w:r w:rsidR="00EA23F9">
        <w:t>the</w:t>
      </w:r>
      <w:r>
        <w:t xml:space="preserve"> analysis applies then.  Chapter qqq </w:t>
      </w:r>
      <w:r w:rsidR="00EA23F9">
        <w:t>explores</w:t>
      </w:r>
      <w:r>
        <w:t xml:space="preserve"> the economics of early exercise.</w:t>
      </w:r>
    </w:p>
  </w:footnote>
  <w:footnote w:id="6">
    <w:p w:rsidR="00641FE7" w:rsidRDefault="00641FE7" w:rsidP="00641FE7">
      <w:pPr>
        <w:pStyle w:val="FootnoteText"/>
      </w:pPr>
      <w:r>
        <w:rPr>
          <w:rStyle w:val="FootnoteReference"/>
        </w:rPr>
        <w:footnoteRef/>
      </w:r>
      <w:r>
        <w:t xml:space="preserve"> Unlike a call, this amount is capped by strike price, because the asset can at most fall to 0.</w:t>
      </w:r>
    </w:p>
  </w:footnote>
  <w:footnote w:id="7">
    <w:p w:rsidR="005B72BA" w:rsidRDefault="005B72BA">
      <w:pPr>
        <w:pStyle w:val="FootnoteText"/>
      </w:pPr>
      <w:r>
        <w:rPr>
          <w:rStyle w:val="FootnoteReference"/>
        </w:rPr>
        <w:footnoteRef/>
      </w:r>
      <w:r>
        <w:t xml:space="preserve"> Typically, the “size” of 1 contract on an options </w:t>
      </w:r>
      <w:r w:rsidR="00EA23F9">
        <w:t>exchange</w:t>
      </w:r>
      <w:r>
        <w:t xml:space="preserve"> is 100 shares </w:t>
      </w:r>
      <w:r w:rsidR="00EA23F9">
        <w:t>of</w:t>
      </w:r>
      <w:r>
        <w:t xml:space="preserve"> the underlying asset. </w:t>
      </w:r>
    </w:p>
  </w:footnote>
  <w:footnote w:id="8">
    <w:p w:rsidR="0010037E" w:rsidRDefault="0010037E">
      <w:pPr>
        <w:pStyle w:val="FootnoteText"/>
      </w:pPr>
      <w:r>
        <w:rPr>
          <w:rStyle w:val="FootnoteReference"/>
        </w:rPr>
        <w:footnoteRef/>
      </w:r>
      <w:r>
        <w:t xml:space="preserve"> </w:t>
      </w:r>
      <w:r w:rsidR="00EA23F9">
        <w:t>Readers familiar with leverage and short positions in the cash markets (stocks, bonds, foreign exchange, etc.) will readily see the correspondence between margin for options and its marking-to-market (see below) and margin for cash transactions and associated margin calls.</w:t>
      </w:r>
    </w:p>
  </w:footnote>
  <w:footnote w:id="9">
    <w:p w:rsidR="001D1AC6" w:rsidRDefault="001D1AC6">
      <w:pPr>
        <w:pStyle w:val="FootnoteText"/>
      </w:pPr>
      <w:r>
        <w:rPr>
          <w:rStyle w:val="FootnoteReference"/>
        </w:rPr>
        <w:footnoteRef/>
      </w:r>
      <w:r>
        <w:t xml:space="preserve"> Said another way, since the price of Apple shares is below the call’s strike, if nothing changes, the buyer would incur no loss from the writer’s possible failure to perform.  Apple would need to rise by at the least the difference between its current price and the </w:t>
      </w:r>
      <w:r w:rsidR="0025073B">
        <w:t>strike</w:t>
      </w:r>
      <w:r>
        <w:t xml:space="preserve"> by expiration for </w:t>
      </w:r>
      <w:r w:rsidR="0025073B">
        <w:t>performance</w:t>
      </w:r>
      <w:r>
        <w:t xml:space="preserve"> risk to be relevant.  This difference, therefore, is a credit to – or subtracted from – the collateral portion.  </w:t>
      </w:r>
    </w:p>
  </w:footnote>
  <w:footnote w:id="10">
    <w:p w:rsidR="00A25AA7" w:rsidRDefault="00A25AA7">
      <w:pPr>
        <w:pStyle w:val="FootnoteText"/>
      </w:pPr>
      <w:r>
        <w:rPr>
          <w:rStyle w:val="FootnoteReference"/>
        </w:rPr>
        <w:footnoteRef/>
      </w:r>
      <w:r>
        <w:t xml:space="preserve"> This terminology and those which follow are explained and applied at length in the </w:t>
      </w:r>
      <w:r w:rsidR="00EA23F9">
        <w:t>next</w:t>
      </w:r>
      <w:r>
        <w:t xml:space="preserve"> chapter.</w:t>
      </w:r>
    </w:p>
  </w:footnote>
  <w:footnote w:id="11">
    <w:p w:rsidR="00993704" w:rsidRDefault="00993704">
      <w:pPr>
        <w:pStyle w:val="FootnoteText"/>
      </w:pPr>
      <w:r>
        <w:rPr>
          <w:rStyle w:val="FootnoteReference"/>
        </w:rPr>
        <w:footnoteRef/>
      </w:r>
      <w:r>
        <w:t xml:space="preserve"> </w:t>
      </w:r>
      <w:r w:rsidR="00EA23F9">
        <w:t>Alternatively</w:t>
      </w:r>
      <w:r>
        <w:t xml:space="preserve">, the situation in example 4 may be one where there is more time to expiration.  </w:t>
      </w:r>
      <w:r w:rsidR="00B17A9E">
        <w:t>As we will learn in chapter xxx, t</w:t>
      </w:r>
      <w:r w:rsidR="00E01B42">
        <w:t xml:space="preserve">his works same way as </w:t>
      </w:r>
      <w:r w:rsidR="00EA23F9">
        <w:t>volatility</w:t>
      </w:r>
      <w:r w:rsidR="00B17A9E">
        <w:t>, so the reasoning is the same.</w:t>
      </w:r>
    </w:p>
  </w:footnote>
  <w:footnote w:id="12">
    <w:p w:rsidR="007765F4" w:rsidRDefault="007765F4">
      <w:pPr>
        <w:pStyle w:val="FootnoteText"/>
      </w:pPr>
      <w:r>
        <w:rPr>
          <w:rStyle w:val="FootnoteReference"/>
        </w:rPr>
        <w:footnoteRef/>
      </w:r>
      <w:r>
        <w:t xml:space="preserve"> If the call is cash-settled, you simply receive $5/share in cash ($95−$90).  See chapter 1 on “Cash </w:t>
      </w:r>
      <w:r w:rsidR="00EA23F9">
        <w:t>Settlement</w:t>
      </w:r>
      <w:r>
        <w:t>.”</w:t>
      </w:r>
    </w:p>
  </w:footnote>
  <w:footnote w:id="13">
    <w:p w:rsidR="00944DAD" w:rsidRDefault="00944DAD" w:rsidP="00944DAD">
      <w:pPr>
        <w:pStyle w:val="FootnoteText"/>
      </w:pPr>
      <w:r>
        <w:rPr>
          <w:rStyle w:val="FootnoteReference"/>
        </w:rPr>
        <w:footnoteRef/>
      </w:r>
      <w:r>
        <w:t xml:space="preserve"> There will always be enough funds to cover the purchase of the stock.  This can be proved as follows:</w:t>
      </w:r>
    </w:p>
    <w:p w:rsidR="00944DAD" w:rsidRDefault="00944DAD" w:rsidP="00944DAD">
      <w:pPr>
        <w:pStyle w:val="FootnoteText"/>
      </w:pPr>
      <w:r>
        <w:tab/>
        <w:t xml:space="preserve">S = price of share in the </w:t>
      </w:r>
      <w:r w:rsidR="00EA23F9">
        <w:t>cash</w:t>
      </w:r>
      <w:r>
        <w:t xml:space="preserve"> market at expiration</w:t>
      </w:r>
    </w:p>
    <w:p w:rsidR="00944DAD" w:rsidRDefault="00944DAD" w:rsidP="00944DAD">
      <w:pPr>
        <w:pStyle w:val="FootnoteText"/>
      </w:pPr>
      <w:r>
        <w:tab/>
        <w:t>K = strike price of call</w:t>
      </w:r>
    </w:p>
    <w:p w:rsidR="00944DAD" w:rsidRDefault="00944DAD" w:rsidP="00944DAD">
      <w:pPr>
        <w:pStyle w:val="FootnoteText"/>
      </w:pPr>
      <w:r>
        <w:tab/>
        <w:t>Prem = call premium on exercise date</w:t>
      </w:r>
    </w:p>
    <w:p w:rsidR="00944DAD" w:rsidRDefault="00944DAD" w:rsidP="00944DAD">
      <w:pPr>
        <w:pStyle w:val="FootnoteText"/>
      </w:pPr>
      <w:r>
        <w:t>We need to show that the available funds are at least equal to S.</w:t>
      </w:r>
    </w:p>
    <w:p w:rsidR="00944DAD" w:rsidRDefault="00944DAD" w:rsidP="00944DAD">
      <w:pPr>
        <w:pStyle w:val="FootnoteText"/>
      </w:pPr>
      <w:r>
        <w:t xml:space="preserve">By the </w:t>
      </w:r>
      <w:r w:rsidR="00EA23F9">
        <w:t>marking</w:t>
      </w:r>
      <w:r>
        <w:t>-to-</w:t>
      </w:r>
      <w:r w:rsidR="00EA23F9">
        <w:t>market</w:t>
      </w:r>
      <w:r>
        <w:t xml:space="preserve"> rules </w:t>
      </w:r>
      <w:r w:rsidR="00EA23F9">
        <w:t>explained</w:t>
      </w:r>
      <w:r>
        <w:t xml:space="preserve"> in the text, the net margin in the writer’s account are:</w:t>
      </w:r>
    </w:p>
    <w:p w:rsidR="00944DAD" w:rsidRDefault="00944DAD" w:rsidP="00944DAD">
      <w:pPr>
        <w:pStyle w:val="FootnoteText"/>
      </w:pPr>
      <w:r>
        <w:tab/>
        <w:t>Prem  + 0.2xS</w:t>
      </w:r>
    </w:p>
    <w:p w:rsidR="00944DAD" w:rsidRDefault="00944DAD" w:rsidP="00944DAD">
      <w:pPr>
        <w:pStyle w:val="FootnoteText"/>
      </w:pPr>
      <w:r>
        <w:t>Upon exercise, therefore, the exchange has available to it:</w:t>
      </w:r>
    </w:p>
    <w:p w:rsidR="00944DAD" w:rsidRDefault="00944DAD" w:rsidP="00944DAD">
      <w:pPr>
        <w:pStyle w:val="FootnoteText"/>
      </w:pPr>
      <w:r>
        <w:tab/>
        <w:t xml:space="preserve">K + net margin </w:t>
      </w:r>
    </w:p>
    <w:p w:rsidR="00944DAD" w:rsidRDefault="00944DAD" w:rsidP="00944DAD">
      <w:pPr>
        <w:pStyle w:val="FootnoteText"/>
      </w:pPr>
      <w:r>
        <w:t xml:space="preserve">Since the stock’s price </w:t>
      </w:r>
      <w:r w:rsidR="00EA23F9">
        <w:t>exceeds</w:t>
      </w:r>
      <w:r>
        <w:t xml:space="preserve"> the strike, and the option is expiring, the premium on this expiration date is:</w:t>
      </w:r>
    </w:p>
    <w:p w:rsidR="00944DAD" w:rsidRDefault="00944DAD" w:rsidP="00944DAD">
      <w:pPr>
        <w:pStyle w:val="FootnoteText"/>
      </w:pPr>
      <w:r>
        <w:tab/>
        <w:t xml:space="preserve">Prem =  S </w:t>
      </w:r>
      <w:r>
        <w:sym w:font="Symbol" w:char="F02D"/>
      </w:r>
      <w:r>
        <w:t xml:space="preserve"> K</w:t>
      </w:r>
    </w:p>
    <w:p w:rsidR="00944DAD" w:rsidRDefault="00944DAD" w:rsidP="00944DAD">
      <w:pPr>
        <w:pStyle w:val="FootnoteText"/>
      </w:pPr>
      <w:r>
        <w:t xml:space="preserve">Combining, the </w:t>
      </w:r>
      <w:r w:rsidR="00EA23F9">
        <w:t>exchange’s</w:t>
      </w:r>
      <w:r>
        <w:t xml:space="preserve"> </w:t>
      </w:r>
      <w:r w:rsidR="00EA23F9">
        <w:t>available</w:t>
      </w:r>
      <w:r>
        <w:t xml:space="preserve"> funds </w:t>
      </w:r>
      <w:r w:rsidR="00EA23F9">
        <w:t>are</w:t>
      </w:r>
      <w:r>
        <w:t>:</w:t>
      </w:r>
    </w:p>
    <w:p w:rsidR="00944DAD" w:rsidRDefault="00944DAD" w:rsidP="00944DAD">
      <w:pPr>
        <w:pStyle w:val="FootnoteText"/>
        <w:ind w:firstLine="720"/>
      </w:pPr>
      <w:r>
        <w:t xml:space="preserve">K + net margin  =  K + Prem  + 0.2xS  = K + (S </w:t>
      </w:r>
      <w:r>
        <w:sym w:font="Symbol" w:char="F02D"/>
      </w:r>
      <w:r>
        <w:t xml:space="preserve"> K)  + 0.2xS  = 1.2xS &gt; S</w:t>
      </w:r>
    </w:p>
  </w:footnote>
  <w:footnote w:id="14">
    <w:p w:rsidR="004D0BDD" w:rsidRDefault="001B5C19" w:rsidP="004D0BDD">
      <w:pPr>
        <w:pStyle w:val="FootnoteText"/>
      </w:pPr>
      <w:r>
        <w:rPr>
          <w:rStyle w:val="FootnoteReference"/>
        </w:rPr>
        <w:footnoteRef/>
      </w:r>
      <w:r>
        <w:t xml:space="preserve"> </w:t>
      </w:r>
      <w:r w:rsidR="00E86FA0">
        <w:t xml:space="preserve">By the previous footnote, </w:t>
      </w:r>
      <w:r w:rsidR="004D0BDD">
        <w:t xml:space="preserve">after the </w:t>
      </w:r>
      <w:r w:rsidR="00EA23F9">
        <w:t>exchange</w:t>
      </w:r>
      <w:r w:rsidR="004D0BDD">
        <w:t xml:space="preserve"> spends S to acquire the stock, the remaining funds in the margin account are 1.2xS </w:t>
      </w:r>
      <w:r w:rsidR="004D0BDD">
        <w:sym w:font="Symbol" w:char="F02D"/>
      </w:r>
      <w:r w:rsidR="004D0BDD">
        <w:t xml:space="preserve"> </w:t>
      </w:r>
      <w:proofErr w:type="gramStart"/>
      <w:r w:rsidR="004D0BDD">
        <w:t>S  =</w:t>
      </w:r>
      <w:proofErr w:type="gramEnd"/>
      <w:r w:rsidR="004D0BDD">
        <w:t xml:space="preserve"> .2xS.  The marking-to-market required the writer to put into her margin account .2xS + (expiration premium </w:t>
      </w:r>
      <w:r w:rsidR="004D0BDD">
        <w:sym w:font="Symbol" w:char="F02D"/>
      </w:r>
      <w:r w:rsidR="004D0BDD">
        <w:t xml:space="preserve"> original premium).  But expiration premium = S </w:t>
      </w:r>
      <w:r w:rsidR="004D0BDD">
        <w:sym w:font="Symbol" w:char="F02D"/>
      </w:r>
      <w:r w:rsidR="004D0BDD">
        <w:t xml:space="preserve"> K.  Therefore,</w:t>
      </w:r>
    </w:p>
    <w:p w:rsidR="001B5C19" w:rsidRDefault="004D0BDD">
      <w:pPr>
        <w:pStyle w:val="FootnoteText"/>
      </w:pPr>
      <w:r>
        <w:t xml:space="preserve">Net </w:t>
      </w:r>
      <w:proofErr w:type="gramStart"/>
      <w:r>
        <w:t>loss  =</w:t>
      </w:r>
      <w:proofErr w:type="gramEnd"/>
      <w:r>
        <w:t xml:space="preserve"> [.2xS + (expiration premium </w:t>
      </w:r>
      <w:r>
        <w:sym w:font="Symbol" w:char="F02D"/>
      </w:r>
      <w:r>
        <w:t xml:space="preserve"> original premium)] </w:t>
      </w:r>
      <w:r w:rsidR="00BA6917">
        <w:sym w:font="Symbol" w:char="F02D"/>
      </w:r>
      <w:r w:rsidR="00BA6917">
        <w:t xml:space="preserve"> </w:t>
      </w:r>
      <w:r>
        <w:t xml:space="preserve">.2xS  </w:t>
      </w:r>
      <w:r w:rsidR="00BA6917">
        <w:t xml:space="preserve"> =  </w:t>
      </w:r>
      <w:r>
        <w:t>.2xS + (</w:t>
      </w:r>
      <w:r w:rsidR="00BA6917">
        <w:t xml:space="preserve">S </w:t>
      </w:r>
      <w:r w:rsidR="00BA6917">
        <w:sym w:font="Symbol" w:char="F02D"/>
      </w:r>
      <w:r w:rsidR="00BA6917">
        <w:t xml:space="preserve"> K  </w:t>
      </w:r>
      <w:r>
        <w:sym w:font="Symbol" w:char="F02D"/>
      </w:r>
      <w:r>
        <w:t xml:space="preserve"> original premium)]</w:t>
      </w:r>
      <w:r w:rsidR="00BA6917">
        <w:t xml:space="preserve"> </w:t>
      </w:r>
      <w:r w:rsidR="00BA6917">
        <w:sym w:font="Symbol" w:char="F02D"/>
      </w:r>
      <w:r w:rsidR="00BA6917">
        <w:t xml:space="preserve"> .2xS  =  (S </w:t>
      </w:r>
      <w:r w:rsidR="00BA6917">
        <w:sym w:font="Symbol" w:char="F02D"/>
      </w:r>
      <w:r w:rsidR="00BA6917">
        <w:t xml:space="preserve"> K  </w:t>
      </w:r>
      <w:r w:rsidR="00BA6917">
        <w:sym w:font="Symbol" w:char="F02D"/>
      </w:r>
      <w:r w:rsidR="00BA6917">
        <w:t xml:space="preserve"> original premium)].</w:t>
      </w:r>
      <w:r w:rsidR="00A727F0">
        <w:t xml:space="preserve"> </w:t>
      </w:r>
    </w:p>
  </w:footnote>
  <w:footnote w:id="15">
    <w:p w:rsidR="00A727F0" w:rsidRDefault="00A727F0">
      <w:pPr>
        <w:pStyle w:val="FootnoteText"/>
      </w:pPr>
      <w:r>
        <w:rPr>
          <w:rStyle w:val="FootnoteReference"/>
        </w:rPr>
        <w:footnoteRef/>
      </w:r>
      <w:r>
        <w:t xml:space="preserve"> This is a necessary, but not</w:t>
      </w:r>
      <w:r w:rsidR="007F5A34">
        <w:t xml:space="preserve"> sufficient, </w:t>
      </w:r>
      <w:r w:rsidR="00EA23F9">
        <w:t>condition</w:t>
      </w:r>
      <w:r w:rsidR="007F5A34">
        <w:t xml:space="preserve"> for earl</w:t>
      </w:r>
      <w:r>
        <w:t>y exercise.  See the following footnote.</w:t>
      </w:r>
    </w:p>
  </w:footnote>
  <w:footnote w:id="16">
    <w:p w:rsidR="001D770F" w:rsidRDefault="001D770F">
      <w:pPr>
        <w:pStyle w:val="FootnoteText"/>
      </w:pPr>
      <w:r>
        <w:rPr>
          <w:rStyle w:val="FootnoteReference"/>
        </w:rPr>
        <w:footnoteRef/>
      </w:r>
      <w:r>
        <w:t xml:space="preserve"> The choice depends on the upcoming divided to holders of the stock, and the holder’</w:t>
      </w:r>
      <w:r w:rsidR="007F5A34">
        <w:t xml:space="preserve">s </w:t>
      </w:r>
      <w:r w:rsidR="00EA23F9">
        <w:t>expectations</w:t>
      </w:r>
      <w:r>
        <w:t xml:space="preserve"> regarding the volatility of the stock price.</w:t>
      </w:r>
      <w:r w:rsidR="007F5A34">
        <w:t xml:space="preserve">  We explore this further in chapter zzz.</w:t>
      </w:r>
    </w:p>
  </w:footnote>
  <w:footnote w:id="17">
    <w:p w:rsidR="00AB069F" w:rsidRDefault="00AB069F">
      <w:pPr>
        <w:pStyle w:val="FootnoteText"/>
      </w:pPr>
      <w:r>
        <w:rPr>
          <w:rStyle w:val="FootnoteReference"/>
        </w:rPr>
        <w:footnoteRef/>
      </w:r>
      <w:r>
        <w:t xml:space="preserve"> </w:t>
      </w:r>
      <w:r w:rsidR="007D58E2">
        <w:t>Owning the shares and writing a call is a “buy-write” combination (or “covered call” strategy), which you will recognize as such in the following chapter.</w:t>
      </w:r>
    </w:p>
  </w:footnote>
  <w:footnote w:id="18">
    <w:p w:rsidR="005524AB" w:rsidRDefault="005524AB">
      <w:pPr>
        <w:pStyle w:val="FootnoteText"/>
      </w:pPr>
      <w:r>
        <w:rPr>
          <w:rStyle w:val="FootnoteReference"/>
        </w:rPr>
        <w:footnoteRef/>
      </w:r>
      <w:r>
        <w:t xml:space="preserve"> At a price of 90 or below, the buyer will not exercise, hence faces no risk of non-</w:t>
      </w:r>
      <w:r w:rsidR="00EA23F9">
        <w:t>performance</w:t>
      </w:r>
      <w:r>
        <w:t>.</w:t>
      </w:r>
    </w:p>
  </w:footnote>
  <w:footnote w:id="19">
    <w:p w:rsidR="00084B12" w:rsidRDefault="00084B12">
      <w:pPr>
        <w:pStyle w:val="FootnoteText"/>
      </w:pPr>
      <w:r>
        <w:rPr>
          <w:rStyle w:val="FootnoteReference"/>
        </w:rPr>
        <w:footnoteRef/>
      </w:r>
      <w:r>
        <w:t xml:space="preserve"> A pair of end-of-chapter problems proves that the margin account will always have enough funds to ensure the buyer’s exercise, and that the writer’s loss from the cumulative markings-to-market equals the ITM value less initial premium.</w:t>
      </w:r>
    </w:p>
  </w:footnote>
  <w:footnote w:id="20">
    <w:p w:rsidR="004B7A66" w:rsidRDefault="004B7A66">
      <w:pPr>
        <w:pStyle w:val="FootnoteText"/>
      </w:pPr>
      <w:r>
        <w:rPr>
          <w:rStyle w:val="FootnoteReference"/>
        </w:rPr>
        <w:footnoteRef/>
      </w:r>
      <w:r>
        <w:t xml:space="preserve"> This will depend upon the level of short term </w:t>
      </w:r>
      <w:r w:rsidR="00EA23F9">
        <w:t>interest</w:t>
      </w:r>
      <w:r>
        <w:t xml:space="preserve"> rates and the put owner’s expectations of the underlying stock’s volatility until the next dividend date.  We will analyze this decision in chapter qqq.</w:t>
      </w:r>
    </w:p>
  </w:footnote>
  <w:footnote w:id="21">
    <w:p w:rsidR="003750A9" w:rsidRDefault="003750A9">
      <w:pPr>
        <w:pStyle w:val="FootnoteText"/>
      </w:pPr>
      <w:r>
        <w:rPr>
          <w:rStyle w:val="FootnoteReference"/>
        </w:rPr>
        <w:footnoteRef/>
      </w:r>
      <w:r>
        <w:t xml:space="preserve"> Selling short involves borrowing the shares and selling (then delivering) them in the cash market.</w:t>
      </w:r>
      <w:r w:rsidR="002B6DFB">
        <w:t xml:space="preserve">  The proceeds from the sale typically serve as the collateral provided to the lender of shares.  The borrower/short seller adds </w:t>
      </w:r>
      <w:r w:rsidR="00EA23F9">
        <w:t>additional</w:t>
      </w:r>
      <w:r w:rsidR="002B6DFB">
        <w:t xml:space="preserve"> funds.  This is the “margin.”</w:t>
      </w:r>
    </w:p>
  </w:footnote>
  <w:footnote w:id="22">
    <w:p w:rsidR="003B278B" w:rsidRDefault="003B278B">
      <w:pPr>
        <w:pStyle w:val="FootnoteText"/>
      </w:pPr>
      <w:r>
        <w:rPr>
          <w:rStyle w:val="FootnoteReference"/>
        </w:rPr>
        <w:footnoteRef/>
      </w:r>
      <w:r>
        <w:t xml:space="preserve"> Indices are not restricted to equities.  </w:t>
      </w:r>
      <w:r w:rsidR="00E5514E">
        <w:t xml:space="preserve">For example, the Goldman Sachs/S&amp;P </w:t>
      </w:r>
      <w:r w:rsidR="00EA23F9">
        <w:t>Commodity</w:t>
      </w:r>
      <w:r w:rsidR="00E5514E">
        <w:t xml:space="preserve"> Index is a (production weighted) average of commodity futures contracts.</w:t>
      </w:r>
    </w:p>
  </w:footnote>
  <w:footnote w:id="23">
    <w:p w:rsidR="00AA752C" w:rsidRDefault="00AA752C">
      <w:pPr>
        <w:pStyle w:val="FootnoteText"/>
      </w:pPr>
      <w:r>
        <w:rPr>
          <w:rStyle w:val="FootnoteReference"/>
        </w:rPr>
        <w:footnoteRef/>
      </w:r>
      <w:r>
        <w:t xml:space="preserve"> See the previous chapter’s explanation of cash settlement, and how its economics is similar to that of physical delivery </w:t>
      </w:r>
      <w:r w:rsidR="00EA23F9">
        <w:t>contracts</w:t>
      </w:r>
      <w:r>
        <w:t xml:space="preserve">.  </w:t>
      </w:r>
    </w:p>
  </w:footnote>
  <w:footnote w:id="24">
    <w:p w:rsidR="00FC24DF" w:rsidRDefault="00FC24DF">
      <w:pPr>
        <w:pStyle w:val="FootnoteText"/>
      </w:pPr>
      <w:r>
        <w:rPr>
          <w:rStyle w:val="FootnoteReference"/>
        </w:rPr>
        <w:footnoteRef/>
      </w:r>
      <w:r>
        <w:t xml:space="preserve"> The rules do change based on the strategy: uncovered call or put, buy-write, spread trade, etc.  But they do not depend on the </w:t>
      </w:r>
      <w:r w:rsidR="00EA23F9">
        <w:t>underlying</w:t>
      </w:r>
      <w:r>
        <w:t xml:space="preserve"> asset (except in the case of index options, as e3xplkaioned earlier in the </w:t>
      </w:r>
      <w:proofErr w:type="gramStart"/>
      <w:r>
        <w:t>text(</w:t>
      </w:r>
      <w:proofErr w:type="gramEnd"/>
      <w:r>
        <w:t xml:space="preserve">, nor on the </w:t>
      </w:r>
      <w:r w:rsidR="00EA23F9">
        <w:t>particular</w:t>
      </w:r>
      <w:r>
        <w:t xml:space="preserve"> </w:t>
      </w:r>
      <w:r w:rsidR="00EA23F9">
        <w:t>counterparty</w:t>
      </w:r>
      <w:r>
        <w:t>.</w:t>
      </w:r>
    </w:p>
    <w:p w:rsidR="00FC24DF" w:rsidRDefault="00FC24DF">
      <w:pPr>
        <w:pStyle w:val="FootnoteText"/>
      </w:pPr>
      <w:r>
        <w:t xml:space="preserve">The North </w:t>
      </w:r>
      <w:r w:rsidR="00EA23F9">
        <w:t>American</w:t>
      </w:r>
      <w:r>
        <w:t xml:space="preserve"> </w:t>
      </w:r>
      <w:r w:rsidR="00EA23F9">
        <w:t>Derivatives</w:t>
      </w:r>
      <w:r>
        <w:t xml:space="preserve"> </w:t>
      </w:r>
      <w:r w:rsidR="00EA23F9">
        <w:t>Exchange</w:t>
      </w:r>
      <w:r>
        <w:t xml:space="preserve"> (NADEX) sponsors trading in binary options.  Because the potential losses from lack of performance are much different from </w:t>
      </w:r>
      <w:r w:rsidR="00EA23F9">
        <w:t>ordinary</w:t>
      </w:r>
      <w:r>
        <w:t xml:space="preserve"> options, margin rules are different as well (see the next chapter).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14DD6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127370"/>
    <w:multiLevelType w:val="hybridMultilevel"/>
    <w:tmpl w:val="46B285AC"/>
    <w:lvl w:ilvl="0" w:tplc="874E64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B3167"/>
    <w:multiLevelType w:val="hybridMultilevel"/>
    <w:tmpl w:val="E24C03EE"/>
    <w:lvl w:ilvl="0" w:tplc="0DEEDA0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955C8"/>
    <w:multiLevelType w:val="hybridMultilevel"/>
    <w:tmpl w:val="C782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E79EA"/>
    <w:multiLevelType w:val="hybridMultilevel"/>
    <w:tmpl w:val="24C2A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936E3"/>
    <w:multiLevelType w:val="hybridMultilevel"/>
    <w:tmpl w:val="6DF604D2"/>
    <w:lvl w:ilvl="0" w:tplc="A1D031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5C64AA"/>
    <w:multiLevelType w:val="hybridMultilevel"/>
    <w:tmpl w:val="57C0B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4E799C"/>
    <w:multiLevelType w:val="hybridMultilevel"/>
    <w:tmpl w:val="0714D3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BF63F1"/>
    <w:multiLevelType w:val="hybridMultilevel"/>
    <w:tmpl w:val="BA108B06"/>
    <w:lvl w:ilvl="0" w:tplc="F3FEFD0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B529D3"/>
    <w:multiLevelType w:val="hybridMultilevel"/>
    <w:tmpl w:val="58369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C924B4"/>
    <w:multiLevelType w:val="hybridMultilevel"/>
    <w:tmpl w:val="EEC45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4"/>
  </w:num>
  <w:num w:numId="6">
    <w:abstractNumId w:val="2"/>
  </w:num>
  <w:num w:numId="7">
    <w:abstractNumId w:val="1"/>
  </w:num>
  <w:num w:numId="8">
    <w:abstractNumId w:val="6"/>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FE7"/>
    <w:rsid w:val="000107DE"/>
    <w:rsid w:val="00017CDF"/>
    <w:rsid w:val="00031CB0"/>
    <w:rsid w:val="000419BC"/>
    <w:rsid w:val="00070747"/>
    <w:rsid w:val="00076EBA"/>
    <w:rsid w:val="00084B12"/>
    <w:rsid w:val="00085E17"/>
    <w:rsid w:val="00086171"/>
    <w:rsid w:val="000A20F1"/>
    <w:rsid w:val="000A2EE2"/>
    <w:rsid w:val="000A410E"/>
    <w:rsid w:val="000B57FC"/>
    <w:rsid w:val="000C3C9D"/>
    <w:rsid w:val="000E3E1D"/>
    <w:rsid w:val="000E5317"/>
    <w:rsid w:val="000E7154"/>
    <w:rsid w:val="000F4CDC"/>
    <w:rsid w:val="0010037E"/>
    <w:rsid w:val="00114115"/>
    <w:rsid w:val="0011445B"/>
    <w:rsid w:val="001172FF"/>
    <w:rsid w:val="001305F7"/>
    <w:rsid w:val="00133E01"/>
    <w:rsid w:val="001474B9"/>
    <w:rsid w:val="00151961"/>
    <w:rsid w:val="001627AB"/>
    <w:rsid w:val="00194A80"/>
    <w:rsid w:val="001A4499"/>
    <w:rsid w:val="001A4E36"/>
    <w:rsid w:val="001A6124"/>
    <w:rsid w:val="001A7D50"/>
    <w:rsid w:val="001B34B9"/>
    <w:rsid w:val="001B5C19"/>
    <w:rsid w:val="001B6930"/>
    <w:rsid w:val="001C36D6"/>
    <w:rsid w:val="001D1AC6"/>
    <w:rsid w:val="001D3293"/>
    <w:rsid w:val="001D672C"/>
    <w:rsid w:val="001D75A0"/>
    <w:rsid w:val="001D770F"/>
    <w:rsid w:val="001E31F9"/>
    <w:rsid w:val="00212A0E"/>
    <w:rsid w:val="0022175F"/>
    <w:rsid w:val="00224A5D"/>
    <w:rsid w:val="00227A3C"/>
    <w:rsid w:val="00235DDD"/>
    <w:rsid w:val="00247BDE"/>
    <w:rsid w:val="0025073B"/>
    <w:rsid w:val="00256953"/>
    <w:rsid w:val="00261930"/>
    <w:rsid w:val="002639C6"/>
    <w:rsid w:val="00267C3B"/>
    <w:rsid w:val="002708A9"/>
    <w:rsid w:val="002812F4"/>
    <w:rsid w:val="00295AFF"/>
    <w:rsid w:val="002A21F5"/>
    <w:rsid w:val="002A2572"/>
    <w:rsid w:val="002A3B65"/>
    <w:rsid w:val="002B56F6"/>
    <w:rsid w:val="002B6DFB"/>
    <w:rsid w:val="002B7657"/>
    <w:rsid w:val="002C2EA6"/>
    <w:rsid w:val="002C76FF"/>
    <w:rsid w:val="002C7ED5"/>
    <w:rsid w:val="002D09AD"/>
    <w:rsid w:val="002E0E60"/>
    <w:rsid w:val="00303056"/>
    <w:rsid w:val="00307F06"/>
    <w:rsid w:val="00324291"/>
    <w:rsid w:val="00337F9B"/>
    <w:rsid w:val="003402E2"/>
    <w:rsid w:val="0034203C"/>
    <w:rsid w:val="00352688"/>
    <w:rsid w:val="00360EAB"/>
    <w:rsid w:val="00364301"/>
    <w:rsid w:val="003750A9"/>
    <w:rsid w:val="00376E8B"/>
    <w:rsid w:val="003821BC"/>
    <w:rsid w:val="00393269"/>
    <w:rsid w:val="00394470"/>
    <w:rsid w:val="003A1D3F"/>
    <w:rsid w:val="003B1415"/>
    <w:rsid w:val="003B278B"/>
    <w:rsid w:val="003C410F"/>
    <w:rsid w:val="003D3BF7"/>
    <w:rsid w:val="003D68F6"/>
    <w:rsid w:val="003D76D2"/>
    <w:rsid w:val="003E28EE"/>
    <w:rsid w:val="003E5347"/>
    <w:rsid w:val="003F6B71"/>
    <w:rsid w:val="00401446"/>
    <w:rsid w:val="00402E8B"/>
    <w:rsid w:val="00404BBC"/>
    <w:rsid w:val="004166C6"/>
    <w:rsid w:val="00435765"/>
    <w:rsid w:val="00440E79"/>
    <w:rsid w:val="00454D0B"/>
    <w:rsid w:val="004648B4"/>
    <w:rsid w:val="00465D92"/>
    <w:rsid w:val="00475B79"/>
    <w:rsid w:val="004771BD"/>
    <w:rsid w:val="00484436"/>
    <w:rsid w:val="0048479B"/>
    <w:rsid w:val="004B7A66"/>
    <w:rsid w:val="004C13CF"/>
    <w:rsid w:val="004C13D5"/>
    <w:rsid w:val="004C264A"/>
    <w:rsid w:val="004C4923"/>
    <w:rsid w:val="004D0BDD"/>
    <w:rsid w:val="004D38DB"/>
    <w:rsid w:val="004E3AFF"/>
    <w:rsid w:val="004E5017"/>
    <w:rsid w:val="004E7215"/>
    <w:rsid w:val="004F2EEB"/>
    <w:rsid w:val="004F71BE"/>
    <w:rsid w:val="004F762C"/>
    <w:rsid w:val="00502536"/>
    <w:rsid w:val="0052086F"/>
    <w:rsid w:val="00527712"/>
    <w:rsid w:val="00527EBC"/>
    <w:rsid w:val="00530793"/>
    <w:rsid w:val="005524AB"/>
    <w:rsid w:val="005724E3"/>
    <w:rsid w:val="00576530"/>
    <w:rsid w:val="005821A7"/>
    <w:rsid w:val="00584BB7"/>
    <w:rsid w:val="005A3679"/>
    <w:rsid w:val="005A3F01"/>
    <w:rsid w:val="005A45B7"/>
    <w:rsid w:val="005B64CB"/>
    <w:rsid w:val="005B72BA"/>
    <w:rsid w:val="005C12B7"/>
    <w:rsid w:val="005C1F81"/>
    <w:rsid w:val="005D720B"/>
    <w:rsid w:val="005E1D33"/>
    <w:rsid w:val="005F1E23"/>
    <w:rsid w:val="005F609F"/>
    <w:rsid w:val="00612DE7"/>
    <w:rsid w:val="006246DE"/>
    <w:rsid w:val="00627E30"/>
    <w:rsid w:val="00641FE7"/>
    <w:rsid w:val="00654038"/>
    <w:rsid w:val="00663434"/>
    <w:rsid w:val="0066682D"/>
    <w:rsid w:val="0067171F"/>
    <w:rsid w:val="006A605A"/>
    <w:rsid w:val="006B43D1"/>
    <w:rsid w:val="006C3B7C"/>
    <w:rsid w:val="006D05AD"/>
    <w:rsid w:val="006D1B00"/>
    <w:rsid w:val="007022DC"/>
    <w:rsid w:val="00703B37"/>
    <w:rsid w:val="00714198"/>
    <w:rsid w:val="00720962"/>
    <w:rsid w:val="00723AC0"/>
    <w:rsid w:val="007331FB"/>
    <w:rsid w:val="00741812"/>
    <w:rsid w:val="00746E0A"/>
    <w:rsid w:val="00753884"/>
    <w:rsid w:val="00754DB8"/>
    <w:rsid w:val="00761A4F"/>
    <w:rsid w:val="007765F4"/>
    <w:rsid w:val="0078188F"/>
    <w:rsid w:val="007873BC"/>
    <w:rsid w:val="0078796E"/>
    <w:rsid w:val="0079534B"/>
    <w:rsid w:val="007953CF"/>
    <w:rsid w:val="00796429"/>
    <w:rsid w:val="007C7743"/>
    <w:rsid w:val="007D58E2"/>
    <w:rsid w:val="007D61EA"/>
    <w:rsid w:val="007D7444"/>
    <w:rsid w:val="007E214F"/>
    <w:rsid w:val="007E7355"/>
    <w:rsid w:val="007F5A34"/>
    <w:rsid w:val="00800258"/>
    <w:rsid w:val="00804D3E"/>
    <w:rsid w:val="008108BE"/>
    <w:rsid w:val="00813CFB"/>
    <w:rsid w:val="00833472"/>
    <w:rsid w:val="00836FE1"/>
    <w:rsid w:val="0086036A"/>
    <w:rsid w:val="00863D7D"/>
    <w:rsid w:val="008816B1"/>
    <w:rsid w:val="0088351C"/>
    <w:rsid w:val="0088391F"/>
    <w:rsid w:val="00892139"/>
    <w:rsid w:val="00894513"/>
    <w:rsid w:val="008B164E"/>
    <w:rsid w:val="008B42C5"/>
    <w:rsid w:val="008C56CE"/>
    <w:rsid w:val="008C6444"/>
    <w:rsid w:val="008E5DF8"/>
    <w:rsid w:val="008F16B8"/>
    <w:rsid w:val="008F5FA2"/>
    <w:rsid w:val="008F6F93"/>
    <w:rsid w:val="008F794B"/>
    <w:rsid w:val="009078FE"/>
    <w:rsid w:val="00916EEF"/>
    <w:rsid w:val="00923FFE"/>
    <w:rsid w:val="00924C50"/>
    <w:rsid w:val="00933C95"/>
    <w:rsid w:val="0093475E"/>
    <w:rsid w:val="0093676C"/>
    <w:rsid w:val="00944DAD"/>
    <w:rsid w:val="009459DE"/>
    <w:rsid w:val="00946496"/>
    <w:rsid w:val="00946B4B"/>
    <w:rsid w:val="0095207E"/>
    <w:rsid w:val="00952D0B"/>
    <w:rsid w:val="00970E60"/>
    <w:rsid w:val="00973671"/>
    <w:rsid w:val="00984F8A"/>
    <w:rsid w:val="00987B72"/>
    <w:rsid w:val="00993704"/>
    <w:rsid w:val="00994160"/>
    <w:rsid w:val="009A0D18"/>
    <w:rsid w:val="009A0F95"/>
    <w:rsid w:val="009A64A6"/>
    <w:rsid w:val="009B48EB"/>
    <w:rsid w:val="009B67BE"/>
    <w:rsid w:val="009B7971"/>
    <w:rsid w:val="009D2F87"/>
    <w:rsid w:val="009E5F8B"/>
    <w:rsid w:val="00A0573E"/>
    <w:rsid w:val="00A05E51"/>
    <w:rsid w:val="00A10125"/>
    <w:rsid w:val="00A113B1"/>
    <w:rsid w:val="00A1221F"/>
    <w:rsid w:val="00A25AA7"/>
    <w:rsid w:val="00A315E7"/>
    <w:rsid w:val="00A35D80"/>
    <w:rsid w:val="00A42D54"/>
    <w:rsid w:val="00A7114B"/>
    <w:rsid w:val="00A727F0"/>
    <w:rsid w:val="00A87264"/>
    <w:rsid w:val="00A87F3C"/>
    <w:rsid w:val="00A9566A"/>
    <w:rsid w:val="00AA0F23"/>
    <w:rsid w:val="00AA752C"/>
    <w:rsid w:val="00AA7CF0"/>
    <w:rsid w:val="00AB069F"/>
    <w:rsid w:val="00AB7D4D"/>
    <w:rsid w:val="00AF02F7"/>
    <w:rsid w:val="00AF3FA1"/>
    <w:rsid w:val="00AF627D"/>
    <w:rsid w:val="00AF6B5A"/>
    <w:rsid w:val="00B0494F"/>
    <w:rsid w:val="00B06C3E"/>
    <w:rsid w:val="00B13870"/>
    <w:rsid w:val="00B17A9E"/>
    <w:rsid w:val="00B2077A"/>
    <w:rsid w:val="00B342C1"/>
    <w:rsid w:val="00B3513B"/>
    <w:rsid w:val="00B373FB"/>
    <w:rsid w:val="00B53F5F"/>
    <w:rsid w:val="00B55C2C"/>
    <w:rsid w:val="00B64719"/>
    <w:rsid w:val="00B66C32"/>
    <w:rsid w:val="00B818D4"/>
    <w:rsid w:val="00B84C09"/>
    <w:rsid w:val="00BA6917"/>
    <w:rsid w:val="00BB40BA"/>
    <w:rsid w:val="00BC1BA5"/>
    <w:rsid w:val="00BC27A4"/>
    <w:rsid w:val="00BC30E5"/>
    <w:rsid w:val="00BD2043"/>
    <w:rsid w:val="00BE2CEA"/>
    <w:rsid w:val="00BF048E"/>
    <w:rsid w:val="00BF2940"/>
    <w:rsid w:val="00BF388D"/>
    <w:rsid w:val="00C02ED4"/>
    <w:rsid w:val="00C25702"/>
    <w:rsid w:val="00C41F28"/>
    <w:rsid w:val="00C6417C"/>
    <w:rsid w:val="00C642B6"/>
    <w:rsid w:val="00C7077C"/>
    <w:rsid w:val="00C762BF"/>
    <w:rsid w:val="00C80F43"/>
    <w:rsid w:val="00C81C0B"/>
    <w:rsid w:val="00CB498C"/>
    <w:rsid w:val="00CB4E4E"/>
    <w:rsid w:val="00CD3152"/>
    <w:rsid w:val="00CD7FDA"/>
    <w:rsid w:val="00CF2692"/>
    <w:rsid w:val="00D20C37"/>
    <w:rsid w:val="00D21B81"/>
    <w:rsid w:val="00D417BC"/>
    <w:rsid w:val="00D5206C"/>
    <w:rsid w:val="00D56780"/>
    <w:rsid w:val="00D9157A"/>
    <w:rsid w:val="00DA2509"/>
    <w:rsid w:val="00DB1181"/>
    <w:rsid w:val="00DD636C"/>
    <w:rsid w:val="00DE79D5"/>
    <w:rsid w:val="00DF03CE"/>
    <w:rsid w:val="00E01B42"/>
    <w:rsid w:val="00E02618"/>
    <w:rsid w:val="00E27919"/>
    <w:rsid w:val="00E336B9"/>
    <w:rsid w:val="00E54B9B"/>
    <w:rsid w:val="00E5514E"/>
    <w:rsid w:val="00E742DF"/>
    <w:rsid w:val="00E81D01"/>
    <w:rsid w:val="00E83831"/>
    <w:rsid w:val="00E85858"/>
    <w:rsid w:val="00E86FA0"/>
    <w:rsid w:val="00E9604B"/>
    <w:rsid w:val="00E9767D"/>
    <w:rsid w:val="00EA20D8"/>
    <w:rsid w:val="00EA23F9"/>
    <w:rsid w:val="00EC2110"/>
    <w:rsid w:val="00EC7F89"/>
    <w:rsid w:val="00ED632D"/>
    <w:rsid w:val="00ED7DF6"/>
    <w:rsid w:val="00EF4BAA"/>
    <w:rsid w:val="00EF662C"/>
    <w:rsid w:val="00F320FD"/>
    <w:rsid w:val="00F35B3E"/>
    <w:rsid w:val="00F4424B"/>
    <w:rsid w:val="00F66893"/>
    <w:rsid w:val="00F708CA"/>
    <w:rsid w:val="00F743B4"/>
    <w:rsid w:val="00F86217"/>
    <w:rsid w:val="00F87C3B"/>
    <w:rsid w:val="00F9062A"/>
    <w:rsid w:val="00F95A7B"/>
    <w:rsid w:val="00FA0CD4"/>
    <w:rsid w:val="00FA697C"/>
    <w:rsid w:val="00FB340A"/>
    <w:rsid w:val="00FB6DCC"/>
    <w:rsid w:val="00FB779C"/>
    <w:rsid w:val="00FC24DF"/>
    <w:rsid w:val="00FD2182"/>
    <w:rsid w:val="00FE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E7"/>
    <w:pPr>
      <w:ind w:left="720"/>
      <w:contextualSpacing/>
    </w:pPr>
  </w:style>
  <w:style w:type="paragraph" w:styleId="FootnoteText">
    <w:name w:val="footnote text"/>
    <w:basedOn w:val="Normal"/>
    <w:link w:val="FootnoteTextChar"/>
    <w:uiPriority w:val="99"/>
    <w:semiHidden/>
    <w:unhideWhenUsed/>
    <w:rsid w:val="00641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1FE7"/>
    <w:rPr>
      <w:sz w:val="20"/>
      <w:szCs w:val="20"/>
    </w:rPr>
  </w:style>
  <w:style w:type="character" w:styleId="FootnoteReference">
    <w:name w:val="footnote reference"/>
    <w:basedOn w:val="DefaultParagraphFont"/>
    <w:uiPriority w:val="99"/>
    <w:semiHidden/>
    <w:unhideWhenUsed/>
    <w:rsid w:val="00641FE7"/>
    <w:rPr>
      <w:vertAlign w:val="superscript"/>
    </w:rPr>
  </w:style>
  <w:style w:type="paragraph" w:styleId="ListBullet">
    <w:name w:val="List Bullet"/>
    <w:basedOn w:val="Normal"/>
    <w:uiPriority w:val="99"/>
    <w:unhideWhenUsed/>
    <w:rsid w:val="006246DE"/>
    <w:pPr>
      <w:numPr>
        <w:numId w:val="3"/>
      </w:numPr>
      <w:contextualSpacing/>
    </w:pPr>
  </w:style>
  <w:style w:type="character" w:styleId="PlaceholderText">
    <w:name w:val="Placeholder Text"/>
    <w:basedOn w:val="DefaultParagraphFont"/>
    <w:uiPriority w:val="99"/>
    <w:semiHidden/>
    <w:rsid w:val="005A3679"/>
    <w:rPr>
      <w:color w:val="808080"/>
    </w:rPr>
  </w:style>
  <w:style w:type="paragraph" w:styleId="BalloonText">
    <w:name w:val="Balloon Text"/>
    <w:basedOn w:val="Normal"/>
    <w:link w:val="BalloonTextChar"/>
    <w:uiPriority w:val="99"/>
    <w:semiHidden/>
    <w:unhideWhenUsed/>
    <w:rsid w:val="005A3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6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E7"/>
    <w:pPr>
      <w:ind w:left="720"/>
      <w:contextualSpacing/>
    </w:pPr>
  </w:style>
  <w:style w:type="paragraph" w:styleId="FootnoteText">
    <w:name w:val="footnote text"/>
    <w:basedOn w:val="Normal"/>
    <w:link w:val="FootnoteTextChar"/>
    <w:uiPriority w:val="99"/>
    <w:semiHidden/>
    <w:unhideWhenUsed/>
    <w:rsid w:val="00641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1FE7"/>
    <w:rPr>
      <w:sz w:val="20"/>
      <w:szCs w:val="20"/>
    </w:rPr>
  </w:style>
  <w:style w:type="character" w:styleId="FootnoteReference">
    <w:name w:val="footnote reference"/>
    <w:basedOn w:val="DefaultParagraphFont"/>
    <w:uiPriority w:val="99"/>
    <w:semiHidden/>
    <w:unhideWhenUsed/>
    <w:rsid w:val="00641FE7"/>
    <w:rPr>
      <w:vertAlign w:val="superscript"/>
    </w:rPr>
  </w:style>
  <w:style w:type="paragraph" w:styleId="ListBullet">
    <w:name w:val="List Bullet"/>
    <w:basedOn w:val="Normal"/>
    <w:uiPriority w:val="99"/>
    <w:unhideWhenUsed/>
    <w:rsid w:val="006246DE"/>
    <w:pPr>
      <w:numPr>
        <w:numId w:val="3"/>
      </w:numPr>
      <w:contextualSpacing/>
    </w:pPr>
  </w:style>
  <w:style w:type="character" w:styleId="PlaceholderText">
    <w:name w:val="Placeholder Text"/>
    <w:basedOn w:val="DefaultParagraphFont"/>
    <w:uiPriority w:val="99"/>
    <w:semiHidden/>
    <w:rsid w:val="005A3679"/>
    <w:rPr>
      <w:color w:val="808080"/>
    </w:rPr>
  </w:style>
  <w:style w:type="paragraph" w:styleId="BalloonText">
    <w:name w:val="Balloon Text"/>
    <w:basedOn w:val="Normal"/>
    <w:link w:val="BalloonTextChar"/>
    <w:uiPriority w:val="99"/>
    <w:semiHidden/>
    <w:unhideWhenUsed/>
    <w:rsid w:val="005A3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6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53E0DD-C0BA-48C0-A649-66507AC10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6787</Words>
  <Characters>29728</Characters>
  <Application>Microsoft Office Word</Application>
  <DocSecurity>0</DocSecurity>
  <Lines>1061</Lines>
  <Paragraphs>588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cp:revision>
  <dcterms:created xsi:type="dcterms:W3CDTF">2015-11-29T22:10:00Z</dcterms:created>
  <dcterms:modified xsi:type="dcterms:W3CDTF">2015-11-29T22:10:00Z</dcterms:modified>
</cp:coreProperties>
</file>