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C39F0" w14:textId="77777777" w:rsidR="00D71210" w:rsidRDefault="00000000">
      <w:pPr>
        <w:spacing w:before="240" w:after="80"/>
      </w:pPr>
      <w:r>
        <w:rPr>
          <w:b/>
          <w:bCs/>
          <w:caps/>
          <w:color w:val="C8922A"/>
          <w:spacing w:val="160"/>
          <w:sz w:val="18"/>
          <w:szCs w:val="18"/>
        </w:rPr>
        <w:t>THOUGHT LEADERSHIP</w:t>
      </w:r>
    </w:p>
    <w:p w14:paraId="54D7638F" w14:textId="77777777" w:rsidR="00D71210" w:rsidRDefault="00000000">
      <w:pPr>
        <w:spacing w:after="160"/>
      </w:pPr>
      <w:r>
        <w:rPr>
          <w:b/>
          <w:bCs/>
          <w:color w:val="1B3A6B"/>
          <w:sz w:val="44"/>
          <w:szCs w:val="44"/>
        </w:rPr>
        <w:t>Why We Believe Healthcare Revenue Cycle Management Is One of the Most Attractive Healthcare Services Markets Today</w:t>
      </w:r>
    </w:p>
    <w:p w14:paraId="661347B4" w14:textId="7EB37EB9" w:rsidR="00D71210" w:rsidRDefault="00000000">
      <w:pPr>
        <w:pBdr>
          <w:bottom w:val="single" w:sz="6" w:space="8" w:color="1B3A6B"/>
        </w:pBdr>
        <w:spacing w:after="80"/>
      </w:pPr>
      <w:r>
        <w:rPr>
          <w:b/>
          <w:bCs/>
          <w:color w:val="C8922A"/>
          <w:sz w:val="20"/>
          <w:szCs w:val="20"/>
        </w:rPr>
        <w:t xml:space="preserve">G&amp;C Capital </w:t>
      </w:r>
      <w:proofErr w:type="gramStart"/>
      <w:r>
        <w:rPr>
          <w:b/>
          <w:bCs/>
          <w:color w:val="C8922A"/>
          <w:sz w:val="20"/>
          <w:szCs w:val="20"/>
        </w:rPr>
        <w:t>Holdings  ·</w:t>
      </w:r>
      <w:proofErr w:type="gramEnd"/>
      <w:r>
        <w:rPr>
          <w:b/>
          <w:bCs/>
          <w:color w:val="C8922A"/>
          <w:sz w:val="20"/>
          <w:szCs w:val="20"/>
        </w:rPr>
        <w:t xml:space="preserve">  </w:t>
      </w:r>
      <w:r>
        <w:rPr>
          <w:i/>
          <w:iCs/>
          <w:color w:val="777777"/>
          <w:sz w:val="18"/>
          <w:szCs w:val="18"/>
        </w:rPr>
        <w:t>202</w:t>
      </w:r>
      <w:r w:rsidR="009F1794">
        <w:rPr>
          <w:i/>
          <w:iCs/>
          <w:color w:val="777777"/>
          <w:sz w:val="18"/>
          <w:szCs w:val="18"/>
        </w:rPr>
        <w:t>6</w:t>
      </w:r>
    </w:p>
    <w:p w14:paraId="0CB2ADAB" w14:textId="77777777" w:rsidR="00D71210" w:rsidRDefault="00D71210">
      <w:pPr>
        <w:spacing w:before="60" w:after="60"/>
      </w:pPr>
    </w:p>
    <w:p w14:paraId="3DBD3477" w14:textId="77777777" w:rsidR="00D71210" w:rsidRDefault="00000000">
      <w:pPr>
        <w:spacing w:before="100" w:after="140"/>
        <w:jc w:val="both"/>
      </w:pPr>
      <w:r>
        <w:t>At G&amp;C Capital Holdings, we don't invest in trends. We invest in durable businesses that provide services people can't afford to stop buying. Healthcare revenue cycle management fits that description better than almost any market we've evaluated — and the more deeply we've studied it, the more conviction we've developed.</w:t>
      </w:r>
    </w:p>
    <w:p w14:paraId="1E928DAD" w14:textId="77777777" w:rsidR="00D71210" w:rsidRDefault="00000000">
      <w:pPr>
        <w:spacing w:before="100" w:after="140"/>
        <w:jc w:val="both"/>
      </w:pPr>
      <w:r>
        <w:t>RCM is not a fashionable category. It doesn't generate headlines the way digital health or genomics does. But it sits at the intersection of two of the most powerful forces in American healthcare: an increasingly complex payer environment and a provider community under relentless financial pressure. The result is a market that is large, growing, structurally recurring, and still remarkably fragmented.</w:t>
      </w:r>
    </w:p>
    <w:p w14:paraId="7751F485" w14:textId="77777777" w:rsidR="00D71210" w:rsidRDefault="00000000">
      <w:pPr>
        <w:spacing w:before="100" w:after="140"/>
        <w:jc w:val="both"/>
      </w:pPr>
      <w:r>
        <w:t>This paper lays out our investment thesis — why we're focused on healthcare RCM, why we believe this moment is particularly well-timed, and what we're building at G&amp;C Capital Holdings.</w:t>
      </w:r>
    </w:p>
    <w:p w14:paraId="1E1E87E2" w14:textId="77777777" w:rsidR="00D71210" w:rsidRDefault="00D71210">
      <w:pPr>
        <w:spacing w:before="60" w:after="60"/>
      </w:pPr>
    </w:p>
    <w:p w14:paraId="144F9C6E" w14:textId="77777777" w:rsidR="00D71210" w:rsidRDefault="00000000">
      <w:pPr>
        <w:pStyle w:val="Heading1"/>
        <w:pBdr>
          <w:bottom w:val="single" w:sz="4" w:space="6" w:color="C8922A"/>
        </w:pBdr>
      </w:pPr>
      <w:r>
        <w:t>The Problem RCM Solves Isn't Going Away</w:t>
      </w:r>
    </w:p>
    <w:p w14:paraId="4D30EBB2" w14:textId="77777777" w:rsidR="00D71210" w:rsidRDefault="00000000">
      <w:pPr>
        <w:spacing w:before="100" w:after="140"/>
        <w:jc w:val="both"/>
      </w:pPr>
      <w:r>
        <w:t>Healthcare billing in the United States is structurally complex — and getting more so. Payer rules change constantly. Prior authorization requirements expand every year. Denial rates at major health systems now average 10–15%, and for smaller practices they can be materially higher. Every physician group, specialty practice, and behavioral health provider faces the same reality: collecting what they've earned is a full-time job that has nothing to do with patient care.</w:t>
      </w:r>
    </w:p>
    <w:p w14:paraId="68CEED4B" w14:textId="77777777" w:rsidR="00D71210" w:rsidRDefault="00000000">
      <w:pPr>
        <w:spacing w:before="100" w:after="140"/>
        <w:jc w:val="both"/>
      </w:pPr>
      <w:r>
        <w:t>The complexity is not accidental. It is baked into the architecture of American healthcare finance. Commercial payers, Medicare Advantage plans, Medicaid managed care organizations, and fee-for-service programs each operate under distinct rules, fee schedules, timelines, and documentation requirements. A single specialty practice may bill across a dozen or more payer contracts simultaneously. Keeping current with coding updates, coverage determinations, and plan-specific policies requires dedicated expertise that most practices cannot afford to develop internally — and cannot afford to get wrong.</w:t>
      </w:r>
    </w:p>
    <w:p w14:paraId="65724A15" w14:textId="77777777" w:rsidR="00D71210" w:rsidRDefault="00000000">
      <w:pPr>
        <w:spacing w:before="100" w:after="140"/>
        <w:jc w:val="both"/>
      </w:pPr>
      <w:r>
        <w:t>The downstream consequences of poor revenue cycle management are severe. Denials that go unworked become write-offs. Underpayments that go undetected become permanent revenue leakage. Claims submitted with coding errors trigger audits and recoupment demands. For smaller practices, even modest RCM underperformance can threaten the viability of the business.</w:t>
      </w:r>
    </w:p>
    <w:p w14:paraId="6C9100C9" w14:textId="77777777" w:rsidR="00D71210" w:rsidRDefault="00000000">
      <w:pPr>
        <w:spacing w:before="100" w:after="140"/>
        <w:jc w:val="both"/>
      </w:pPr>
      <w:r>
        <w:t xml:space="preserve">Outsourced RCM exists because providers need specialists who live in this complexity — not generalists who manage it on the side. That need is structural, not cyclical. It does not diminish in a downturn. It does not get solved by hiring a better office manager. It grows alongside the </w:t>
      </w:r>
      <w:r>
        <w:lastRenderedPageBreak/>
        <w:t>complexity of the payer environment — which, by every available indicator, will continue to intensify.</w:t>
      </w:r>
    </w:p>
    <w:p w14:paraId="11D81436" w14:textId="77777777" w:rsidR="00D71210"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The need for specialized RCM expertise is structural, not cyclical. It grows alongside the very complexity it exists to manage.</w:t>
      </w:r>
    </w:p>
    <w:p w14:paraId="298C1264" w14:textId="77777777" w:rsidR="00D71210" w:rsidRDefault="00000000">
      <w:pPr>
        <w:spacing w:before="100" w:after="140"/>
        <w:jc w:val="both"/>
      </w:pPr>
      <w:r>
        <w:t>This is the foundation of our thesis: the problem that RCM solves is permanent, and the demand for high-quality, specialized RCM services will expand for the foreseeable future.</w:t>
      </w:r>
    </w:p>
    <w:p w14:paraId="7DAA57B2" w14:textId="77777777" w:rsidR="00D71210" w:rsidRDefault="00D71210">
      <w:pPr>
        <w:spacing w:before="60" w:after="60"/>
      </w:pPr>
    </w:p>
    <w:p w14:paraId="0AF351E9" w14:textId="77777777" w:rsidR="00D71210" w:rsidRDefault="00000000">
      <w:pPr>
        <w:pStyle w:val="Heading1"/>
        <w:pBdr>
          <w:bottom w:val="single" w:sz="4" w:space="6" w:color="C8922A"/>
        </w:pBdr>
      </w:pPr>
      <w:r>
        <w:t>The Market Is Fragmented — Which Is Exactly Where We Want to Be</w:t>
      </w:r>
    </w:p>
    <w:p w14:paraId="339A1011" w14:textId="77777777" w:rsidR="00D71210" w:rsidRDefault="00000000">
      <w:pPr>
        <w:spacing w:before="100" w:after="140"/>
        <w:jc w:val="both"/>
      </w:pPr>
      <w:r>
        <w:t xml:space="preserve">The RCM industry is dominated at the top by a handful of large platforms — Optum, R1 RCM, </w:t>
      </w:r>
      <w:proofErr w:type="spellStart"/>
      <w:r>
        <w:t>Nthrive</w:t>
      </w:r>
      <w:proofErr w:type="spellEnd"/>
      <w:r>
        <w:t>, and a small number of others — that serve major health systems and large hospital networks. But the middle and lower market is a different landscape entirely: thousands of independent billing companies and specialty RCM firms with $1M–$15M in annual revenue, many of them founder-owned, few of them institutionally capitalized, and almost none of them operating with the technology infrastructure or management depth they need to grow.</w:t>
      </w:r>
    </w:p>
    <w:p w14:paraId="38672D66" w14:textId="77777777" w:rsidR="00D71210" w:rsidRDefault="00000000">
      <w:pPr>
        <w:spacing w:before="100" w:after="140"/>
        <w:jc w:val="both"/>
      </w:pPr>
      <w:r>
        <w:t>This is precisely the market structure we look for. Fragmented markets with recurring revenue and high client switching costs are ideal environments for a disciplined buy-and-build strategy. The barriers to switching RCM vendors are substantial — practices become deeply integrated with their billing partners' systems and workflows, and the risk of revenue disruption during a transition deters all but the most motivated clients from making a change. Once earned, client relationships in RCM tend to be sticky and long-lived.</w:t>
      </w:r>
    </w:p>
    <w:p w14:paraId="694577FF" w14:textId="77777777" w:rsidR="00D71210" w:rsidRDefault="00000000">
      <w:pPr>
        <w:spacing w:before="100" w:after="140"/>
        <w:jc w:val="both"/>
      </w:pPr>
      <w:r>
        <w:t>The independent firms that populate this market have typically been built on two things: deep operational expertise and strong personal relationships. These are genuine competitive assets. What they often lack is everything that comes with scale — robust technology infrastructure, data analytics capabilities, institutional compliance frameworks, and the management talent to grow beyond the founder's personal bandwidth.</w:t>
      </w:r>
    </w:p>
    <w:p w14:paraId="29195897" w14:textId="77777777" w:rsidR="00D71210"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Fragmented markets with recurring revenue and high switching costs are ideal for a disciplined buy-and-build strategy.</w:t>
      </w:r>
    </w:p>
    <w:p w14:paraId="4C68625C" w14:textId="77777777" w:rsidR="00D71210" w:rsidRDefault="00000000">
      <w:pPr>
        <w:spacing w:before="100" w:after="140"/>
        <w:jc w:val="both"/>
      </w:pPr>
      <w:r>
        <w:t>Our strategy is to acquire operationally strong businesses, integrate them onto a shared technology and operational platform, invest in the capabilities they haven't been able to build independently, and create an organization capable of serving clients that individual firms could never have reached on their own. The arithmetic is compelling: firms that trade as small, founder-owned businesses can generate substantially higher value as part of a scaled, technology-enabled platform.</w:t>
      </w:r>
    </w:p>
    <w:p w14:paraId="5B924487" w14:textId="77777777" w:rsidR="00D71210" w:rsidRDefault="00000000">
      <w:pPr>
        <w:spacing w:before="100" w:after="140"/>
        <w:jc w:val="both"/>
      </w:pPr>
      <w:r>
        <w:t>We are not simply aggregating revenue. We are building the infrastructure for what these businesses can become — and creating outcomes for founders, employees, and clients that the status quo cannot deliver.</w:t>
      </w:r>
    </w:p>
    <w:p w14:paraId="155BD878" w14:textId="77777777" w:rsidR="00D71210" w:rsidRDefault="00D71210">
      <w:pPr>
        <w:spacing w:before="60" w:after="60"/>
      </w:pPr>
    </w:p>
    <w:p w14:paraId="7F8C3CDF" w14:textId="77777777" w:rsidR="00D71210" w:rsidRDefault="00000000">
      <w:pPr>
        <w:pStyle w:val="Heading1"/>
        <w:pBdr>
          <w:bottom w:val="single" w:sz="4" w:space="6" w:color="C8922A"/>
        </w:pBdr>
      </w:pPr>
      <w:r>
        <w:lastRenderedPageBreak/>
        <w:t xml:space="preserve">AI Is a Tailwind, </w:t>
      </w:r>
      <w:proofErr w:type="gramStart"/>
      <w:r>
        <w:t>Not</w:t>
      </w:r>
      <w:proofErr w:type="gramEnd"/>
      <w:r>
        <w:t xml:space="preserve"> a Threat</w:t>
      </w:r>
    </w:p>
    <w:p w14:paraId="42082994" w14:textId="77777777" w:rsidR="00D71210" w:rsidRDefault="00000000">
      <w:pPr>
        <w:spacing w:before="100" w:after="140"/>
        <w:jc w:val="both"/>
      </w:pPr>
      <w:r>
        <w:t>Few topics generate more uncertainty in the RCM industry than artificial intelligence. Providers and billing firms alike are asking the same question: will AI eliminate the need for the work we do? Our view is unambiguous — it will not. But it will fundamentally change who does it well.</w:t>
      </w:r>
    </w:p>
    <w:p w14:paraId="4E2FE244" w14:textId="77777777" w:rsidR="00D71210" w:rsidRDefault="00000000">
      <w:pPr>
        <w:spacing w:before="100" w:after="140"/>
        <w:jc w:val="both"/>
      </w:pPr>
      <w:r>
        <w:t>The emergence of AI in healthcare administration is changing the unit economics of RCM in meaningful ways. Automated prior authorization tools can dramatically compress the time and cost associated with one of the most labor-intensive workflows in medical billing. Predictive denial management models can identify high-risk claims before submission, reducing first-pass denial rates and the downstream cost of appeals. Intelligent coding assistance can catch errors and suggest appropriate codes in real time, improving accuracy and compliance. AI-powered payment posting can process remittances that once required hours of manual work.</w:t>
      </w:r>
    </w:p>
    <w:p w14:paraId="1E0819D4" w14:textId="77777777" w:rsidR="00D71210" w:rsidRDefault="00000000">
      <w:pPr>
        <w:spacing w:before="100" w:after="140"/>
        <w:jc w:val="both"/>
      </w:pPr>
      <w:r>
        <w:t>But every one of these applications still requires human oversight, payer relationship management, exception handling, and compliance knowledge. AI surfaces patterns and accelerates workflows — it does not replace the judgment required to navigate payer-specific quirks, escalate complex denials, manage client relationships, or ensure regulatory compliance. The firms that treat AI as a replacement for expertise will produce worse outcomes than those that treat it as an amplifier.</w:t>
      </w:r>
    </w:p>
    <w:p w14:paraId="37D3ACAA" w14:textId="77777777" w:rsidR="00D71210" w:rsidRDefault="00000000">
      <w:pPr>
        <w:spacing w:before="100" w:after="140"/>
        <w:jc w:val="both"/>
      </w:pPr>
      <w:r>
        <w:t>The strategic implication is clear: operators who adopt AI tools early and integrate them thoughtfully into their workflows will expand margins, improve outcomes for clients, and take share from those who don't. The competitive moat in RCM is shifting — from raw headcount to the combination of deep expertise and intelligent automation. We intend to be on the right side of that shift, and we are building the platform infrastructure to ensure our portfolio companies are as well.</w:t>
      </w:r>
    </w:p>
    <w:p w14:paraId="4E93B6A5" w14:textId="77777777" w:rsidR="00D71210"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AI won't replace RCM expertise — it will amplify it. The firms that integrate AI intelligently will deliver outcomes that labor-only models simply cannot match.</w:t>
      </w:r>
    </w:p>
    <w:p w14:paraId="13D2BD53" w14:textId="77777777" w:rsidR="00D71210" w:rsidRDefault="00D71210">
      <w:pPr>
        <w:spacing w:before="60" w:after="60"/>
      </w:pPr>
    </w:p>
    <w:p w14:paraId="16B5C36A" w14:textId="77777777" w:rsidR="00D71210" w:rsidRDefault="00000000">
      <w:pPr>
        <w:pStyle w:val="Heading1"/>
        <w:pBdr>
          <w:bottom w:val="single" w:sz="4" w:space="6" w:color="C8922A"/>
        </w:pBdr>
      </w:pPr>
      <w:r>
        <w:t>The Ownership Transition Window Is Open</w:t>
      </w:r>
    </w:p>
    <w:p w14:paraId="56167E11" w14:textId="77777777" w:rsidR="00D71210" w:rsidRDefault="00000000">
      <w:pPr>
        <w:spacing w:before="100" w:after="140"/>
        <w:jc w:val="both"/>
      </w:pPr>
      <w:r>
        <w:t>A significant portion of independent RCM businesses were founded in the late 1990s and 2000s, built by entrepreneurs who recognized early that the complexity of healthcare billing was creating a durable market opportunity. Many of those founders are now 10 to 20 years into running their businesses. They've built something real. They've survived industry transitions, technology shifts, and the turbulence of the pandemic. And many of them are approaching a natural inflection point.</w:t>
      </w:r>
    </w:p>
    <w:p w14:paraId="37EF33BC" w14:textId="77777777" w:rsidR="00D71210" w:rsidRDefault="00000000">
      <w:pPr>
        <w:spacing w:before="100" w:after="140"/>
        <w:jc w:val="both"/>
      </w:pPr>
      <w:r>
        <w:t xml:space="preserve">Some want to scale further but recognize they need a partner with capital, technology, and management infrastructure they can't build alone. Some are beginning to think about what transition looks like — how to protect their clients, take care of their teams, and realize the value of what they've built. Some are simply curious about what their business is worth in the current environment. In </w:t>
      </w:r>
      <w:proofErr w:type="gramStart"/>
      <w:r>
        <w:t>all of</w:t>
      </w:r>
      <w:proofErr w:type="gramEnd"/>
      <w:r>
        <w:t xml:space="preserve"> these cases, the question is the same: what comes next?</w:t>
      </w:r>
    </w:p>
    <w:p w14:paraId="6EA079CD" w14:textId="77777777" w:rsidR="00D71210" w:rsidRDefault="00000000">
      <w:pPr>
        <w:spacing w:before="100" w:after="140"/>
        <w:jc w:val="both"/>
      </w:pPr>
      <w:r>
        <w:t xml:space="preserve">That window is open today. Private equity has been slow to develop conviction in the RCM space — the businesses are operationally complex, the diligence is demanding, and the value creation thesis requires genuine understanding of the industry. That is changing. As larger platforms are </w:t>
      </w:r>
      <w:r>
        <w:lastRenderedPageBreak/>
        <w:t>assembled and valuations compress for independent operators, the economics of holding become less attractive and the strategic case for partnering with the right acquirer becomes more compelling.</w:t>
      </w:r>
    </w:p>
    <w:p w14:paraId="1D6DAAC1" w14:textId="77777777" w:rsidR="00D71210" w:rsidRDefault="00000000">
      <w:pPr>
        <w:spacing w:before="100" w:after="140"/>
        <w:jc w:val="both"/>
      </w:pPr>
      <w:r>
        <w:t>We are not a financial buyer seeking a multiple arbitrage. We are an operator-oriented firm that takes seriously the legacy of the businesses we acquire — the client relationships that have been built over years, the employees who have built careers in this industry, and the trust that founders have earned. That orientation shapes how we approach every conversation and how we structure every transaction.</w:t>
      </w:r>
    </w:p>
    <w:p w14:paraId="133C7C91" w14:textId="77777777" w:rsidR="00D71210" w:rsidRDefault="00000000">
      <w:pPr>
        <w:pBdr>
          <w:top w:val="single" w:sz="4" w:space="8" w:color="C8922A"/>
          <w:left w:val="single" w:sz="16" w:space="12" w:color="1B3A6B"/>
          <w:bottom w:val="single" w:sz="4" w:space="8" w:color="C8922A"/>
        </w:pBdr>
        <w:spacing w:before="220" w:after="220"/>
        <w:ind w:left="720"/>
      </w:pPr>
      <w:r>
        <w:rPr>
          <w:b/>
          <w:bCs/>
          <w:i/>
          <w:iCs/>
          <w:color w:val="1B3A6B"/>
          <w:sz w:val="24"/>
          <w:szCs w:val="24"/>
        </w:rPr>
        <w:t>The transition window won't stay open indefinitely. Founders who engage now have more options — and more leverage — than those who wait.</w:t>
      </w:r>
    </w:p>
    <w:p w14:paraId="128380F9" w14:textId="77777777" w:rsidR="00D71210" w:rsidRDefault="00D71210">
      <w:pPr>
        <w:spacing w:before="60" w:after="60"/>
      </w:pPr>
    </w:p>
    <w:p w14:paraId="59F79012" w14:textId="77777777" w:rsidR="00D71210" w:rsidRDefault="00000000">
      <w:pPr>
        <w:pStyle w:val="Heading1"/>
        <w:pBdr>
          <w:bottom w:val="single" w:sz="4" w:space="6" w:color="C8922A"/>
        </w:pBdr>
      </w:pPr>
      <w:r>
        <w:t>What We Are Building</w:t>
      </w:r>
    </w:p>
    <w:p w14:paraId="095EE48D" w14:textId="77777777" w:rsidR="00D71210" w:rsidRDefault="00000000">
      <w:pPr>
        <w:spacing w:before="100" w:after="140"/>
        <w:jc w:val="both"/>
      </w:pPr>
      <w:r>
        <w:t>G&amp;C Capital Holdings is building a healthcare RCM platform designed to thrive in the environment we've described — one defined by complexity, consolidation, and the intelligent application of technology. We are acquiring operationally excellent businesses, investing in the infrastructure they need to grow, and creating an organization capable of delivering outcomes that individual firms cannot achieve on their own.</w:t>
      </w:r>
    </w:p>
    <w:p w14:paraId="187298D1" w14:textId="77777777" w:rsidR="00D71210" w:rsidRDefault="00000000">
      <w:pPr>
        <w:spacing w:before="100" w:after="140"/>
        <w:jc w:val="both"/>
      </w:pPr>
      <w:r>
        <w:t>Our investment criteria are straightforward. We look for businesses with strong client retention, capable operational leadership, a defensible service niche, and founders who care about what happens after they exit. We are not looking for turnarounds. We are looking for businesses that are already doing the right things — and that can do more of them with the right partner behind them.</w:t>
      </w:r>
    </w:p>
    <w:p w14:paraId="7F5D481D" w14:textId="77777777" w:rsidR="00D71210" w:rsidRDefault="00000000">
      <w:pPr>
        <w:spacing w:before="100" w:after="140"/>
        <w:jc w:val="both"/>
      </w:pPr>
      <w:r>
        <w:t>The market opportunity in healthcare RCM is substantial, durable, and underserved at the level we are targeting. The timing is right. The ownership transition wave is underway. The technology inflection is creating new competitive dynamics that favor operators who move with conviction.</w:t>
      </w:r>
    </w:p>
    <w:p w14:paraId="38A47799" w14:textId="77777777" w:rsidR="00D71210" w:rsidRDefault="00000000">
      <w:pPr>
        <w:pBdr>
          <w:top w:val="single" w:sz="4" w:space="8" w:color="C8922A"/>
          <w:left w:val="single" w:sz="16" w:space="12" w:color="1B3A6B"/>
          <w:bottom w:val="single" w:sz="4" w:space="8" w:color="C8922A"/>
        </w:pBdr>
        <w:spacing w:before="300" w:after="200"/>
        <w:ind w:left="720"/>
        <w:jc w:val="both"/>
      </w:pPr>
      <w:r>
        <w:rPr>
          <w:b/>
          <w:bCs/>
          <w:i/>
          <w:iCs/>
          <w:color w:val="1B3A6B"/>
          <w:sz w:val="24"/>
          <w:szCs w:val="24"/>
        </w:rPr>
        <w:t>We are building G&amp;C Capital Holdings to be the right home for these businesses — operators who want their legacy to continue, their teams to be treated well, and their clients to be served better than before. If you own an RCM business and want to understand what that could look like, we'd welcome the conversation.</w:t>
      </w:r>
    </w:p>
    <w:sectPr w:rsidR="00D7121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D4BB" w14:textId="77777777" w:rsidR="001A5641" w:rsidRDefault="001A5641">
      <w:r>
        <w:separator/>
      </w:r>
    </w:p>
  </w:endnote>
  <w:endnote w:type="continuationSeparator" w:id="0">
    <w:p w14:paraId="62E7C4D7" w14:textId="77777777" w:rsidR="001A5641" w:rsidRDefault="001A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5C5A" w14:textId="3C5F61D1" w:rsidR="00D71210" w:rsidRDefault="00000000">
    <w:pPr>
      <w:pBdr>
        <w:top w:val="single" w:sz="4" w:space="4" w:color="C8922A"/>
      </w:pBdr>
    </w:pPr>
    <w:r>
      <w:rPr>
        <w:color w:val="777777"/>
        <w:sz w:val="16"/>
        <w:szCs w:val="16"/>
      </w:rPr>
      <w:t>© 202</w:t>
    </w:r>
    <w:r w:rsidR="00311A24">
      <w:rPr>
        <w:color w:val="777777"/>
        <w:sz w:val="16"/>
        <w:szCs w:val="16"/>
      </w:rPr>
      <w:t>6</w:t>
    </w:r>
    <w:r>
      <w:rPr>
        <w:color w:val="777777"/>
        <w:sz w:val="16"/>
        <w:szCs w:val="16"/>
      </w:rPr>
      <w:t xml:space="preserve"> G&amp;C Capital Holdings. All rights reserved.  </w:t>
    </w:r>
    <w:proofErr w:type="gramStart"/>
    <w:r>
      <w:rPr>
        <w:color w:val="777777"/>
        <w:sz w:val="16"/>
        <w:szCs w:val="16"/>
      </w:rPr>
      <w:t>|  Page</w:t>
    </w:r>
    <w:proofErr w:type="gramEnd"/>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9F1794">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D6D5" w14:textId="77777777" w:rsidR="001A5641" w:rsidRDefault="001A5641">
      <w:r>
        <w:separator/>
      </w:r>
    </w:p>
  </w:footnote>
  <w:footnote w:type="continuationSeparator" w:id="0">
    <w:p w14:paraId="7D4972E3" w14:textId="77777777" w:rsidR="001A5641" w:rsidRDefault="001A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A13D" w14:textId="77777777" w:rsidR="00D71210" w:rsidRDefault="00000000">
    <w:pPr>
      <w:pBdr>
        <w:bottom w:val="single" w:sz="4" w:space="4" w:color="C8922A"/>
      </w:pBdr>
      <w:jc w:val="right"/>
    </w:pPr>
    <w:r>
      <w:rPr>
        <w:color w:val="777777"/>
        <w:sz w:val="18"/>
        <w:szCs w:val="18"/>
      </w:rPr>
      <w:t xml:space="preserve">G&amp;C Capital </w:t>
    </w:r>
    <w:proofErr w:type="gramStart"/>
    <w:r>
      <w:rPr>
        <w:color w:val="777777"/>
        <w:sz w:val="18"/>
        <w:szCs w:val="18"/>
      </w:rPr>
      <w:t>Holdings  |</w:t>
    </w:r>
    <w:proofErr w:type="gramEnd"/>
    <w:r>
      <w:rPr>
        <w:color w:val="777777"/>
        <w:sz w:val="18"/>
        <w:szCs w:val="18"/>
      </w:rPr>
      <w:t xml:space="preserve">  Thought Leadership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D353E"/>
    <w:multiLevelType w:val="hybridMultilevel"/>
    <w:tmpl w:val="7F0EBC64"/>
    <w:lvl w:ilvl="0" w:tplc="D7740824">
      <w:start w:val="1"/>
      <w:numFmt w:val="bullet"/>
      <w:lvlText w:val="●"/>
      <w:lvlJc w:val="left"/>
      <w:pPr>
        <w:ind w:left="720" w:hanging="360"/>
      </w:pPr>
    </w:lvl>
    <w:lvl w:ilvl="1" w:tplc="B21425B6">
      <w:start w:val="1"/>
      <w:numFmt w:val="bullet"/>
      <w:lvlText w:val="○"/>
      <w:lvlJc w:val="left"/>
      <w:pPr>
        <w:ind w:left="1440" w:hanging="360"/>
      </w:pPr>
    </w:lvl>
    <w:lvl w:ilvl="2" w:tplc="43F204CE">
      <w:start w:val="1"/>
      <w:numFmt w:val="bullet"/>
      <w:lvlText w:val="■"/>
      <w:lvlJc w:val="left"/>
      <w:pPr>
        <w:ind w:left="2160" w:hanging="360"/>
      </w:pPr>
    </w:lvl>
    <w:lvl w:ilvl="3" w:tplc="964449B0">
      <w:start w:val="1"/>
      <w:numFmt w:val="bullet"/>
      <w:lvlText w:val="●"/>
      <w:lvlJc w:val="left"/>
      <w:pPr>
        <w:ind w:left="2880" w:hanging="360"/>
      </w:pPr>
    </w:lvl>
    <w:lvl w:ilvl="4" w:tplc="44E2E3BA">
      <w:start w:val="1"/>
      <w:numFmt w:val="bullet"/>
      <w:lvlText w:val="○"/>
      <w:lvlJc w:val="left"/>
      <w:pPr>
        <w:ind w:left="3600" w:hanging="360"/>
      </w:pPr>
    </w:lvl>
    <w:lvl w:ilvl="5" w:tplc="0E261286">
      <w:start w:val="1"/>
      <w:numFmt w:val="bullet"/>
      <w:lvlText w:val="■"/>
      <w:lvlJc w:val="left"/>
      <w:pPr>
        <w:ind w:left="4320" w:hanging="360"/>
      </w:pPr>
    </w:lvl>
    <w:lvl w:ilvl="6" w:tplc="DCBA773A">
      <w:start w:val="1"/>
      <w:numFmt w:val="bullet"/>
      <w:lvlText w:val="●"/>
      <w:lvlJc w:val="left"/>
      <w:pPr>
        <w:ind w:left="5040" w:hanging="360"/>
      </w:pPr>
    </w:lvl>
    <w:lvl w:ilvl="7" w:tplc="82882944">
      <w:start w:val="1"/>
      <w:numFmt w:val="bullet"/>
      <w:lvlText w:val="●"/>
      <w:lvlJc w:val="left"/>
      <w:pPr>
        <w:ind w:left="5760" w:hanging="360"/>
      </w:pPr>
    </w:lvl>
    <w:lvl w:ilvl="8" w:tplc="6F488016">
      <w:start w:val="1"/>
      <w:numFmt w:val="bullet"/>
      <w:lvlText w:val="●"/>
      <w:lvlJc w:val="left"/>
      <w:pPr>
        <w:ind w:left="6480" w:hanging="360"/>
      </w:pPr>
    </w:lvl>
  </w:abstractNum>
  <w:num w:numId="1" w16cid:durableId="1691374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210"/>
    <w:rsid w:val="001A5641"/>
    <w:rsid w:val="00311A24"/>
    <w:rsid w:val="009F1794"/>
    <w:rsid w:val="00CD3BC4"/>
    <w:rsid w:val="00D71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8AE61A"/>
  <w15:docId w15:val="{56EE3204-6BE1-0049-B3F2-B1CEA6BC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A24"/>
    <w:pPr>
      <w:tabs>
        <w:tab w:val="center" w:pos="4680"/>
        <w:tab w:val="right" w:pos="9360"/>
      </w:tabs>
    </w:pPr>
  </w:style>
  <w:style w:type="character" w:customStyle="1" w:styleId="HeaderChar">
    <w:name w:val="Header Char"/>
    <w:basedOn w:val="DefaultParagraphFont"/>
    <w:link w:val="Header"/>
    <w:uiPriority w:val="99"/>
    <w:rsid w:val="00311A24"/>
  </w:style>
  <w:style w:type="paragraph" w:styleId="Footer">
    <w:name w:val="footer"/>
    <w:basedOn w:val="Normal"/>
    <w:link w:val="FooterChar"/>
    <w:uiPriority w:val="99"/>
    <w:unhideWhenUsed/>
    <w:rsid w:val="00311A24"/>
    <w:pPr>
      <w:tabs>
        <w:tab w:val="center" w:pos="4680"/>
        <w:tab w:val="right" w:pos="9360"/>
      </w:tabs>
    </w:pPr>
  </w:style>
  <w:style w:type="character" w:customStyle="1" w:styleId="FooterChar">
    <w:name w:val="Footer Char"/>
    <w:basedOn w:val="DefaultParagraphFont"/>
    <w:link w:val="Footer"/>
    <w:uiPriority w:val="99"/>
    <w:rsid w:val="00311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1673</Words>
  <Characters>9473</Characters>
  <Application>Microsoft Office Word</Application>
  <DocSecurity>0</DocSecurity>
  <Lines>145</Lines>
  <Paragraphs>43</Paragraphs>
  <ScaleCrop>false</ScaleCrop>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Gautam Srivastava</cp:lastModifiedBy>
  <cp:revision>3</cp:revision>
  <dcterms:created xsi:type="dcterms:W3CDTF">2026-05-30T03:32:00Z</dcterms:created>
  <dcterms:modified xsi:type="dcterms:W3CDTF">2026-05-30T04:07:00Z</dcterms:modified>
</cp:coreProperties>
</file>