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35A54" w14:textId="77777777" w:rsidR="00C55E31" w:rsidRDefault="00000000">
      <w:pPr>
        <w:spacing w:before="240" w:after="80"/>
      </w:pPr>
      <w:r>
        <w:rPr>
          <w:b/>
          <w:bCs/>
          <w:caps/>
          <w:color w:val="C8922A"/>
          <w:spacing w:val="160"/>
          <w:sz w:val="18"/>
          <w:szCs w:val="18"/>
        </w:rPr>
        <w:t>THOUGHT LEADERSHIP</w:t>
      </w:r>
    </w:p>
    <w:p w14:paraId="0AAD1EC3" w14:textId="77777777" w:rsidR="00C55E31" w:rsidRDefault="00000000">
      <w:pPr>
        <w:spacing w:after="200"/>
      </w:pPr>
      <w:r>
        <w:rPr>
          <w:b/>
          <w:bCs/>
          <w:color w:val="1B3A6B"/>
          <w:sz w:val="44"/>
          <w:szCs w:val="44"/>
        </w:rPr>
        <w:t>The Future of Dental Revenue Cycle Management:</w:t>
      </w:r>
    </w:p>
    <w:p w14:paraId="2E81D4F1" w14:textId="77777777" w:rsidR="00C55E31" w:rsidRDefault="00000000">
      <w:pPr>
        <w:spacing w:after="80"/>
      </w:pPr>
      <w:r>
        <w:rPr>
          <w:b/>
          <w:bCs/>
          <w:color w:val="C8922A"/>
          <w:sz w:val="32"/>
          <w:szCs w:val="32"/>
        </w:rPr>
        <w:t>Why the Next Decade Will Belong to Technology-Enabled Specialists</w:t>
      </w:r>
    </w:p>
    <w:p w14:paraId="45D2DA92" w14:textId="0191A64C" w:rsidR="00C55E31" w:rsidRDefault="00000000">
      <w:pPr>
        <w:pBdr>
          <w:bottom w:val="single" w:sz="6" w:space="8" w:color="1B3A6B"/>
        </w:pBdr>
        <w:spacing w:before="60" w:after="360"/>
      </w:pPr>
      <w:r>
        <w:rPr>
          <w:color w:val="777777"/>
          <w:sz w:val="18"/>
          <w:szCs w:val="18"/>
        </w:rPr>
        <w:t xml:space="preserve">G&amp;C Capital </w:t>
      </w:r>
      <w:proofErr w:type="gramStart"/>
      <w:r>
        <w:rPr>
          <w:color w:val="777777"/>
          <w:sz w:val="18"/>
          <w:szCs w:val="18"/>
        </w:rPr>
        <w:t>Holdings  •</w:t>
      </w:r>
      <w:proofErr w:type="gramEnd"/>
      <w:r>
        <w:rPr>
          <w:color w:val="777777"/>
          <w:sz w:val="18"/>
          <w:szCs w:val="18"/>
        </w:rPr>
        <w:t xml:space="preserve">  202</w:t>
      </w:r>
      <w:r w:rsidR="00E939AF">
        <w:rPr>
          <w:color w:val="777777"/>
          <w:sz w:val="18"/>
          <w:szCs w:val="18"/>
        </w:rPr>
        <w:t>6</w:t>
      </w:r>
    </w:p>
    <w:p w14:paraId="4517F5A5" w14:textId="77777777" w:rsidR="00C55E31" w:rsidRDefault="00000000">
      <w:pPr>
        <w:pStyle w:val="Heading1"/>
        <w:pBdr>
          <w:bottom w:val="single" w:sz="4" w:space="6" w:color="C8922A"/>
        </w:pBdr>
      </w:pPr>
      <w:r>
        <w:t>Introduction</w:t>
      </w:r>
    </w:p>
    <w:p w14:paraId="43379647" w14:textId="77777777" w:rsidR="00C55E31" w:rsidRDefault="00000000">
      <w:pPr>
        <w:spacing w:before="100" w:after="140"/>
        <w:jc w:val="both"/>
      </w:pPr>
      <w:r>
        <w:t>The dental industry stands at an inflection point. Forces that once moved slowly — rising labor costs, increasing insurance complexity, growing patient financial responsibility, accelerating DSO consolidation, and the emergence of AI-driven automation — are now converging simultaneously, reshaping every corner of the revenue cycle.</w:t>
      </w:r>
    </w:p>
    <w:p w14:paraId="468D0BBE" w14:textId="77777777" w:rsidR="00C55E31" w:rsidRDefault="00000000">
      <w:pPr>
        <w:spacing w:before="100" w:after="140"/>
        <w:jc w:val="both"/>
      </w:pPr>
      <w:r>
        <w:t>For dental revenue cycle management firms, this convergence creates both an urgent challenge and a defining opportunity. The practices and organizations that thrive over the next decade will not simply add more people to solve harder problems. They will combine deep, specialized dental expertise with technology-enabled operations — building platforms capable of handling complexity at scale while delivering measurable, data-driven results.</w:t>
      </w:r>
    </w:p>
    <w:p w14:paraId="2C084BB8" w14:textId="77777777" w:rsidR="00C55E31" w:rsidRDefault="00000000">
      <w:pPr>
        <w:spacing w:before="100" w:after="140"/>
        <w:jc w:val="both"/>
      </w:pPr>
      <w:r>
        <w:t>Below, we outline five defining trends shaping the future of dental RCM — and why we believe the next generation of market leaders will be technology-enabled specialists.</w:t>
      </w:r>
    </w:p>
    <w:p w14:paraId="554DA790" w14:textId="77777777" w:rsidR="00C55E31" w:rsidRDefault="00C55E31">
      <w:pPr>
        <w:spacing w:before="60" w:after="60"/>
      </w:pPr>
    </w:p>
    <w:p w14:paraId="1F22115C" w14:textId="77777777" w:rsidR="00C55E31" w:rsidRDefault="00000000">
      <w:pPr>
        <w:spacing w:before="360" w:after="120"/>
      </w:pPr>
      <w:r>
        <w:rPr>
          <w:b/>
          <w:bCs/>
          <w:color w:val="C8922A"/>
          <w:sz w:val="20"/>
          <w:szCs w:val="20"/>
        </w:rPr>
        <w:t>TREND 1</w:t>
      </w:r>
      <w:r>
        <w:rPr>
          <w:b/>
          <w:bCs/>
          <w:color w:val="1B3A6B"/>
          <w:sz w:val="26"/>
          <w:szCs w:val="26"/>
        </w:rPr>
        <w:t xml:space="preserve">   The Growing Complexity of Dental Billing</w:t>
      </w:r>
    </w:p>
    <w:p w14:paraId="7900CC49" w14:textId="77777777" w:rsidR="00C55E31" w:rsidRDefault="00000000">
      <w:pPr>
        <w:spacing w:before="100" w:after="140"/>
        <w:jc w:val="both"/>
      </w:pPr>
      <w:r>
        <w:t>Dental billing has never been simple. But the degree of complexity facing RCM teams today — and in the years ahead — is categorically different from what practices managed even a decade ago.</w:t>
      </w:r>
    </w:p>
    <w:p w14:paraId="2EAA12DE" w14:textId="77777777" w:rsidR="00C55E31" w:rsidRDefault="00000000">
      <w:pPr>
        <w:spacing w:before="100" w:after="140"/>
      </w:pPr>
      <w:r>
        <w:rPr>
          <w:b/>
          <w:bCs/>
        </w:rPr>
        <w:t>The drivers are well understood:</w:t>
      </w:r>
    </w:p>
    <w:p w14:paraId="4DA29C59" w14:textId="77777777" w:rsidR="00C55E31" w:rsidRDefault="00000000">
      <w:pPr>
        <w:pStyle w:val="ListParagraph"/>
        <w:numPr>
          <w:ilvl w:val="0"/>
          <w:numId w:val="2"/>
        </w:numPr>
        <w:spacing w:before="60" w:after="60"/>
      </w:pPr>
      <w:r>
        <w:rPr>
          <w:color w:val="555555"/>
        </w:rPr>
        <w:t>PPO network proliferation has created an environment where a single practice may participate in dozens of distinct fee schedules, each with unique write-off rules, billing protocols, and reimbursement timelines.</w:t>
      </w:r>
    </w:p>
    <w:p w14:paraId="7254EA08" w14:textId="77777777" w:rsidR="00C55E31" w:rsidRDefault="00000000">
      <w:pPr>
        <w:pStyle w:val="ListParagraph"/>
        <w:numPr>
          <w:ilvl w:val="0"/>
          <w:numId w:val="2"/>
        </w:numPr>
        <w:spacing w:before="60" w:after="60"/>
      </w:pPr>
      <w:r>
        <w:rPr>
          <w:color w:val="555555"/>
        </w:rPr>
        <w:t>CDT code updates introduce ongoing education requirements; incorrect coding remains one of the leading causes of claim denials and underpayments.</w:t>
      </w:r>
    </w:p>
    <w:p w14:paraId="3EA31DBB" w14:textId="77777777" w:rsidR="00C55E31" w:rsidRDefault="00000000">
      <w:pPr>
        <w:pStyle w:val="ListParagraph"/>
        <w:numPr>
          <w:ilvl w:val="0"/>
          <w:numId w:val="2"/>
        </w:numPr>
        <w:spacing w:before="60" w:after="60"/>
      </w:pPr>
      <w:r>
        <w:rPr>
          <w:color w:val="555555"/>
        </w:rPr>
        <w:t>Multi-location DSO structures add coordination complexity — requiring standardized workflows across providers, locations, and systems that were often built independently.</w:t>
      </w:r>
    </w:p>
    <w:p w14:paraId="12B86D45" w14:textId="77777777" w:rsidR="00C55E31" w:rsidRDefault="00000000">
      <w:pPr>
        <w:pStyle w:val="ListParagraph"/>
        <w:numPr>
          <w:ilvl w:val="0"/>
          <w:numId w:val="2"/>
        </w:numPr>
        <w:spacing w:before="60" w:after="60"/>
      </w:pPr>
      <w:r>
        <w:rPr>
          <w:color w:val="555555"/>
        </w:rPr>
        <w:t>Credentialing demands have grown alongside DSO expansion, creating bottlenecks that directly delay revenue realization.</w:t>
      </w:r>
    </w:p>
    <w:p w14:paraId="4844BDD7" w14:textId="77777777" w:rsidR="00C55E31" w:rsidRDefault="00000000">
      <w:pPr>
        <w:pStyle w:val="ListParagraph"/>
        <w:numPr>
          <w:ilvl w:val="0"/>
          <w:numId w:val="2"/>
        </w:numPr>
        <w:spacing w:before="60" w:after="60"/>
      </w:pPr>
      <w:r>
        <w:rPr>
          <w:color w:val="555555"/>
        </w:rPr>
        <w:t>Patient financing options — from in-house payment plans to third-party lending — add a layer of complexity to the patient collections process that many practices are ill-equipped to manage efficiently.</w:t>
      </w:r>
    </w:p>
    <w:p w14:paraId="1033CFC7" w14:textId="77777777" w:rsidR="00C55E31" w:rsidRDefault="00C55E31">
      <w:pPr>
        <w:spacing w:before="60" w:after="60"/>
      </w:pPr>
    </w:p>
    <w:p w14:paraId="2EB6C3A2" w14:textId="77777777" w:rsidR="00C55E31" w:rsidRDefault="00000000">
      <w:pPr>
        <w:spacing w:before="100" w:after="140"/>
        <w:jc w:val="both"/>
      </w:pPr>
      <w:r>
        <w:t xml:space="preserve">The </w:t>
      </w:r>
      <w:proofErr w:type="gramStart"/>
      <w:r>
        <w:t>natural instinct</w:t>
      </w:r>
      <w:proofErr w:type="gramEnd"/>
      <w:r>
        <w:t xml:space="preserve"> is to respond by adding headcount. But complexity compounds faster than staffing can scale. Organizations that build systems and processes designed for complexity — rather than exceptions to be handled manually — will hold a durable competitive advantage.</w:t>
      </w:r>
    </w:p>
    <w:p w14:paraId="347BFC7D" w14:textId="77777777" w:rsidR="00C55E31" w:rsidRDefault="00000000">
      <w:pPr>
        <w:pBdr>
          <w:left w:val="single" w:sz="12" w:space="12" w:color="C8922A"/>
        </w:pBdr>
        <w:spacing w:before="160" w:after="160"/>
        <w:ind w:left="720"/>
      </w:pPr>
      <w:r>
        <w:rPr>
          <w:b/>
          <w:bCs/>
          <w:color w:val="1B3A6B"/>
        </w:rPr>
        <w:t xml:space="preserve">Key Takeaway: </w:t>
      </w:r>
      <w:r>
        <w:rPr>
          <w:i/>
          <w:iCs/>
          <w:color w:val="555555"/>
        </w:rPr>
        <w:t>Complexity in dental billing is increasing, not decreasing. The organizations that build scalable systems today will be the ones clients turn to tomorrow.</w:t>
      </w:r>
    </w:p>
    <w:p w14:paraId="13920AB3" w14:textId="77777777" w:rsidR="00C55E31" w:rsidRDefault="00C55E31">
      <w:pPr>
        <w:spacing w:before="60" w:after="60"/>
      </w:pPr>
    </w:p>
    <w:p w14:paraId="64B12CD9" w14:textId="77777777" w:rsidR="00C55E31" w:rsidRDefault="00000000">
      <w:pPr>
        <w:spacing w:before="360" w:after="120"/>
      </w:pPr>
      <w:r>
        <w:rPr>
          <w:b/>
          <w:bCs/>
          <w:color w:val="C8922A"/>
          <w:sz w:val="20"/>
          <w:szCs w:val="20"/>
        </w:rPr>
        <w:t>TREND 2</w:t>
      </w:r>
      <w:r>
        <w:rPr>
          <w:b/>
          <w:bCs/>
          <w:color w:val="1B3A6B"/>
          <w:sz w:val="26"/>
          <w:szCs w:val="26"/>
        </w:rPr>
        <w:t xml:space="preserve">   Labor Challenges Are Driving Automation</w:t>
      </w:r>
    </w:p>
    <w:p w14:paraId="7C126708" w14:textId="77777777" w:rsidR="00C55E31" w:rsidRDefault="00000000">
      <w:pPr>
        <w:spacing w:before="100" w:after="140"/>
        <w:jc w:val="both"/>
      </w:pPr>
      <w:r>
        <w:t>The dental RCM labor market reflects the broader pressures reshaping healthcare administration. Qualified billing specialists are increasingly difficult to recruit and retain. Wage expectations have risen. Turnover is costly — not just in direct replacement expense, but in the productivity loss, institutional knowledge gaps, and claim quality degradation that follow every departure.</w:t>
      </w:r>
    </w:p>
    <w:p w14:paraId="690794D1" w14:textId="77777777" w:rsidR="00C55E31" w:rsidRDefault="00000000">
      <w:pPr>
        <w:spacing w:before="100" w:after="140"/>
      </w:pPr>
      <w:r>
        <w:rPr>
          <w:b/>
          <w:bCs/>
        </w:rPr>
        <w:t>The structural dynamics are clear:</w:t>
      </w:r>
    </w:p>
    <w:p w14:paraId="62E4F9F4" w14:textId="77777777" w:rsidR="00C55E31" w:rsidRDefault="00000000">
      <w:pPr>
        <w:pStyle w:val="ListParagraph"/>
        <w:numPr>
          <w:ilvl w:val="0"/>
          <w:numId w:val="2"/>
        </w:numPr>
        <w:spacing w:before="60" w:after="60"/>
      </w:pPr>
      <w:r>
        <w:rPr>
          <w:color w:val="555555"/>
        </w:rPr>
        <w:t>Staffing shortages show no signs of abating. The pipeline of trained dental billing professionals has not kept pace with the growth of DSOs and multi-location group practices.</w:t>
      </w:r>
    </w:p>
    <w:p w14:paraId="0555F24A" w14:textId="77777777" w:rsidR="00C55E31" w:rsidRDefault="00000000">
      <w:pPr>
        <w:pStyle w:val="ListParagraph"/>
        <w:numPr>
          <w:ilvl w:val="0"/>
          <w:numId w:val="2"/>
        </w:numPr>
        <w:spacing w:before="60" w:after="60"/>
      </w:pPr>
      <w:r>
        <w:rPr>
          <w:color w:val="555555"/>
        </w:rPr>
        <w:t>Offshore teams have emerged as a partial solution, offering cost advantages for certain functions. But offshore models introduce their own coordination overhead, quality control challenges, and compliance considerations.</w:t>
      </w:r>
    </w:p>
    <w:p w14:paraId="4D3CC2E5" w14:textId="77777777" w:rsidR="00C55E31" w:rsidRDefault="00000000">
      <w:pPr>
        <w:pStyle w:val="ListParagraph"/>
        <w:numPr>
          <w:ilvl w:val="0"/>
          <w:numId w:val="2"/>
        </w:numPr>
        <w:spacing w:before="60" w:after="60"/>
      </w:pPr>
      <w:r>
        <w:rPr>
          <w:color w:val="555555"/>
        </w:rPr>
        <w:t>Productivity pressure is intensifying. As client expectations rise and margins compress, RCM firms are being asked to do more with the same — or fewer — resources.</w:t>
      </w:r>
    </w:p>
    <w:p w14:paraId="2F0DA601" w14:textId="77777777" w:rsidR="00C55E31" w:rsidRDefault="00000000">
      <w:pPr>
        <w:pStyle w:val="ListParagraph"/>
        <w:numPr>
          <w:ilvl w:val="0"/>
          <w:numId w:val="2"/>
        </w:numPr>
        <w:spacing w:before="60" w:after="60"/>
      </w:pPr>
      <w:r>
        <w:rPr>
          <w:color w:val="555555"/>
        </w:rPr>
        <w:t>Margin compression is real. Firms that rely exclusively on a labor-intensive service model face structural headwinds that will only grow more severe.</w:t>
      </w:r>
    </w:p>
    <w:p w14:paraId="39A653E6" w14:textId="77777777" w:rsidR="00C55E31" w:rsidRDefault="00C55E31">
      <w:pPr>
        <w:spacing w:before="60" w:after="60"/>
      </w:pPr>
    </w:p>
    <w:p w14:paraId="3CED68BC" w14:textId="77777777" w:rsidR="00C55E31" w:rsidRDefault="00000000">
      <w:pPr>
        <w:spacing w:before="100" w:after="140"/>
        <w:jc w:val="both"/>
      </w:pPr>
      <w:r>
        <w:t>The response to these pressures is not to abandon the human element of RCM — it is to deploy technology thoughtfully, automating the repetitive and rules-based work so that skilled professionals can focus on the exceptions, the relationships, and the complex judgment calls that genuinely require human expertise.</w:t>
      </w:r>
    </w:p>
    <w:p w14:paraId="7AD7C764" w14:textId="77777777" w:rsidR="00C55E31" w:rsidRDefault="00000000">
      <w:pPr>
        <w:pBdr>
          <w:left w:val="single" w:sz="12" w:space="12" w:color="C8922A"/>
        </w:pBdr>
        <w:spacing w:before="160" w:after="160"/>
        <w:ind w:left="720"/>
      </w:pPr>
      <w:r>
        <w:rPr>
          <w:b/>
          <w:bCs/>
          <w:color w:val="1B3A6B"/>
        </w:rPr>
        <w:t xml:space="preserve">Key Takeaway: </w:t>
      </w:r>
      <w:r>
        <w:rPr>
          <w:i/>
          <w:iCs/>
          <w:color w:val="555555"/>
        </w:rPr>
        <w:t>Labor constraints make automation a strategic necessity, not merely an efficiency gain. Firms that automate intelligently will outperform those that simply hire more people.</w:t>
      </w:r>
    </w:p>
    <w:p w14:paraId="43093207" w14:textId="77777777" w:rsidR="00C55E31" w:rsidRDefault="00C55E31">
      <w:pPr>
        <w:spacing w:before="60" w:after="60"/>
      </w:pPr>
    </w:p>
    <w:p w14:paraId="52D10332" w14:textId="77777777" w:rsidR="00C55E31" w:rsidRDefault="00000000">
      <w:pPr>
        <w:spacing w:before="360" w:after="120"/>
      </w:pPr>
      <w:r>
        <w:rPr>
          <w:b/>
          <w:bCs/>
          <w:color w:val="C8922A"/>
          <w:sz w:val="20"/>
          <w:szCs w:val="20"/>
        </w:rPr>
        <w:t>TREND 3</w:t>
      </w:r>
      <w:r>
        <w:rPr>
          <w:b/>
          <w:bCs/>
          <w:color w:val="1B3A6B"/>
          <w:sz w:val="26"/>
          <w:szCs w:val="26"/>
        </w:rPr>
        <w:t xml:space="preserve">   AI Will Transform Core Dental RCM Functions</w:t>
      </w:r>
    </w:p>
    <w:p w14:paraId="37746809" w14:textId="77777777" w:rsidR="00C55E31" w:rsidRDefault="00000000">
      <w:pPr>
        <w:spacing w:before="100" w:after="140"/>
        <w:jc w:val="both"/>
      </w:pPr>
      <w:r>
        <w:t>Artificial intelligence is no longer a future-state concept for healthcare revenue cycle management. Practical AI applications are already being deployed across core RCM functions — and dental is following closely behind the broader healthcare curve.</w:t>
      </w:r>
    </w:p>
    <w:p w14:paraId="07C7F711" w14:textId="77777777" w:rsidR="00C55E31" w:rsidRDefault="00000000">
      <w:pPr>
        <w:spacing w:before="100" w:after="140"/>
      </w:pPr>
      <w:r>
        <w:rPr>
          <w:b/>
          <w:bCs/>
        </w:rPr>
        <w:t>The functions most immediately impacted include:</w:t>
      </w:r>
    </w:p>
    <w:p w14:paraId="1D5DF9D4" w14:textId="77777777" w:rsidR="00C55E31" w:rsidRDefault="00000000">
      <w:pPr>
        <w:pStyle w:val="ListParagraph"/>
        <w:numPr>
          <w:ilvl w:val="0"/>
          <w:numId w:val="2"/>
        </w:numPr>
        <w:spacing w:before="60" w:after="60"/>
      </w:pPr>
      <w:r>
        <w:rPr>
          <w:color w:val="555555"/>
        </w:rPr>
        <w:t>Eligibility verification: AI-powered tools can verify patient benefits in real time, reducing manual lookup time and front-end errors that generate downstream denials.</w:t>
      </w:r>
    </w:p>
    <w:p w14:paraId="39460BC3" w14:textId="77777777" w:rsidR="00C55E31" w:rsidRDefault="00000000">
      <w:pPr>
        <w:pStyle w:val="ListParagraph"/>
        <w:numPr>
          <w:ilvl w:val="0"/>
          <w:numId w:val="2"/>
        </w:numPr>
        <w:spacing w:before="60" w:after="60"/>
      </w:pPr>
      <w:r>
        <w:rPr>
          <w:color w:val="555555"/>
        </w:rPr>
        <w:lastRenderedPageBreak/>
        <w:t>Claims scrubbing: Machine learning models trained on payer-specific denial patterns can identify and flag problematic claims before submission — dramatically improving first-pass acceptance rates.</w:t>
      </w:r>
    </w:p>
    <w:p w14:paraId="4F3E1832" w14:textId="77777777" w:rsidR="00C55E31" w:rsidRDefault="00000000">
      <w:pPr>
        <w:pStyle w:val="ListParagraph"/>
        <w:numPr>
          <w:ilvl w:val="0"/>
          <w:numId w:val="2"/>
        </w:numPr>
        <w:spacing w:before="60" w:after="60"/>
      </w:pPr>
      <w:r>
        <w:rPr>
          <w:color w:val="555555"/>
        </w:rPr>
        <w:t>Denial prediction: Predictive analytics can identify which claims are at highest risk of denial, allowing teams to prioritize pre-submission review where it matters most.</w:t>
      </w:r>
    </w:p>
    <w:p w14:paraId="1C3326A2" w14:textId="77777777" w:rsidR="00C55E31" w:rsidRDefault="00000000">
      <w:pPr>
        <w:pStyle w:val="ListParagraph"/>
        <w:numPr>
          <w:ilvl w:val="0"/>
          <w:numId w:val="2"/>
        </w:numPr>
        <w:spacing w:before="60" w:after="60"/>
      </w:pPr>
      <w:r>
        <w:rPr>
          <w:color w:val="555555"/>
        </w:rPr>
        <w:t>Payment posting: Automated ERA/EOB processing eliminates one of the most time-consuming and error-prone manual tasks in the RCM workflow.</w:t>
      </w:r>
    </w:p>
    <w:p w14:paraId="715DE0FA" w14:textId="77777777" w:rsidR="00C55E31" w:rsidRDefault="00000000">
      <w:pPr>
        <w:pStyle w:val="ListParagraph"/>
        <w:numPr>
          <w:ilvl w:val="0"/>
          <w:numId w:val="2"/>
        </w:numPr>
        <w:spacing w:before="60" w:after="60"/>
      </w:pPr>
      <w:r>
        <w:rPr>
          <w:color w:val="555555"/>
        </w:rPr>
        <w:t>Analytics and reporting: AI-driven dashboards surface actionable insights — from provider-level performance to payer trend analysis — that would take analysts days to produce manually.</w:t>
      </w:r>
    </w:p>
    <w:p w14:paraId="398CC5A4" w14:textId="77777777" w:rsidR="00C55E31" w:rsidRDefault="00C55E31">
      <w:pPr>
        <w:spacing w:before="60" w:after="60"/>
      </w:pPr>
    </w:p>
    <w:p w14:paraId="6886F0EE" w14:textId="77777777" w:rsidR="00C55E31" w:rsidRDefault="00000000">
      <w:pPr>
        <w:spacing w:before="100" w:after="140"/>
        <w:jc w:val="both"/>
      </w:pPr>
      <w:r>
        <w:t>The critical insight here is one of amplification, not replacement. AI does not eliminate the need for dental billing expertise. It eliminates the need for experts to spend their time on work that machines can do faster, more consistently, and at scale. The dental RCM professionals of the next decade will be those who know how to leverage AI tools to deliver results that were previously impossible.</w:t>
      </w:r>
    </w:p>
    <w:p w14:paraId="1BD5B7D3" w14:textId="77777777" w:rsidR="00C55E31" w:rsidRDefault="00000000">
      <w:pPr>
        <w:pBdr>
          <w:left w:val="single" w:sz="12" w:space="12" w:color="C8922A"/>
        </w:pBdr>
        <w:spacing w:before="160" w:after="160"/>
        <w:ind w:left="720"/>
      </w:pPr>
      <w:r>
        <w:rPr>
          <w:b/>
          <w:bCs/>
          <w:color w:val="1B3A6B"/>
        </w:rPr>
        <w:t xml:space="preserve">Key Takeaway: </w:t>
      </w:r>
      <w:r>
        <w:rPr>
          <w:i/>
          <w:iCs/>
          <w:color w:val="555555"/>
        </w:rPr>
        <w:t>AI won’t replace dental RCM experts — it will amplify them. The firms that integrate AI into their workflows will deliver outcomes that labor-only models simply cannot match.</w:t>
      </w:r>
    </w:p>
    <w:p w14:paraId="70F9D990" w14:textId="77777777" w:rsidR="00C55E31" w:rsidRDefault="00C55E31">
      <w:pPr>
        <w:spacing w:before="60" w:after="60"/>
      </w:pPr>
    </w:p>
    <w:p w14:paraId="3C1C6731" w14:textId="77777777" w:rsidR="00C55E31" w:rsidRDefault="00000000">
      <w:pPr>
        <w:spacing w:before="360" w:after="120"/>
      </w:pPr>
      <w:r>
        <w:rPr>
          <w:b/>
          <w:bCs/>
          <w:color w:val="C8922A"/>
          <w:sz w:val="20"/>
          <w:szCs w:val="20"/>
        </w:rPr>
        <w:t>TREND 4</w:t>
      </w:r>
      <w:r>
        <w:rPr>
          <w:b/>
          <w:bCs/>
          <w:color w:val="1B3A6B"/>
          <w:sz w:val="26"/>
          <w:szCs w:val="26"/>
        </w:rPr>
        <w:t xml:space="preserve">   Data Will Become a Competitive Advantage</w:t>
      </w:r>
    </w:p>
    <w:p w14:paraId="28AFA2A3" w14:textId="77777777" w:rsidR="00C55E31" w:rsidRDefault="00000000">
      <w:pPr>
        <w:spacing w:before="100" w:after="140"/>
        <w:jc w:val="both"/>
      </w:pPr>
      <w:r>
        <w:t>In the dental RCM industry, data has historically been underutilized. Many firms can tell clients what happened last month — few can tell them why, predict what will happen next, or deliver the kind of granular, real-time intelligence that sophisticated DSO operators now expect.</w:t>
      </w:r>
    </w:p>
    <w:p w14:paraId="74FF06E7" w14:textId="77777777" w:rsidR="00C55E31" w:rsidRDefault="00000000">
      <w:pPr>
        <w:spacing w:before="100" w:after="140"/>
      </w:pPr>
      <w:r>
        <w:rPr>
          <w:b/>
          <w:bCs/>
        </w:rPr>
        <w:t>That is changing rapidly. The data capabilities that will define competitive differentiation include:</w:t>
      </w:r>
    </w:p>
    <w:p w14:paraId="76B8B4E4" w14:textId="77777777" w:rsidR="00C55E31" w:rsidRDefault="00000000">
      <w:pPr>
        <w:pStyle w:val="ListParagraph"/>
        <w:numPr>
          <w:ilvl w:val="0"/>
          <w:numId w:val="2"/>
        </w:numPr>
        <w:spacing w:before="60" w:after="60"/>
      </w:pPr>
      <w:r>
        <w:rPr>
          <w:color w:val="555555"/>
        </w:rPr>
        <w:t>DSO-level dashboards that provide group leaders with a consolidated view of revenue cycle performance across all locations — normalized, comparable, and actionable.</w:t>
      </w:r>
    </w:p>
    <w:p w14:paraId="27007B1A" w14:textId="77777777" w:rsidR="00C55E31" w:rsidRDefault="00000000">
      <w:pPr>
        <w:pStyle w:val="ListParagraph"/>
        <w:numPr>
          <w:ilvl w:val="0"/>
          <w:numId w:val="2"/>
        </w:numPr>
        <w:spacing w:before="60" w:after="60"/>
      </w:pPr>
      <w:r>
        <w:rPr>
          <w:color w:val="555555"/>
        </w:rPr>
        <w:t xml:space="preserve">Real-time KPI monitoring that moves clients from monthly reporting cycles to continuous visibility into the metrics that </w:t>
      </w:r>
      <w:proofErr w:type="gramStart"/>
      <w:r>
        <w:rPr>
          <w:color w:val="555555"/>
        </w:rPr>
        <w:t>matter:</w:t>
      </w:r>
      <w:proofErr w:type="gramEnd"/>
      <w:r>
        <w:rPr>
          <w:color w:val="555555"/>
        </w:rPr>
        <w:t xml:space="preserve"> clean claim rates, days in AR, denial rates by payer and procedure, collection percentages by provider.</w:t>
      </w:r>
    </w:p>
    <w:p w14:paraId="587F5A0D" w14:textId="77777777" w:rsidR="00C55E31" w:rsidRDefault="00000000">
      <w:pPr>
        <w:pStyle w:val="ListParagraph"/>
        <w:numPr>
          <w:ilvl w:val="0"/>
          <w:numId w:val="2"/>
        </w:numPr>
        <w:spacing w:before="60" w:after="60"/>
      </w:pPr>
      <w:r>
        <w:rPr>
          <w:color w:val="555555"/>
        </w:rPr>
        <w:t>Provider-level reporting that enables practice owners and DSO operators to identify performance outliers, benchmark against peers, and make staffing and coding decisions based on data rather than intuition.</w:t>
      </w:r>
    </w:p>
    <w:p w14:paraId="28AE9B1C" w14:textId="77777777" w:rsidR="00C55E31" w:rsidRDefault="00000000">
      <w:pPr>
        <w:pStyle w:val="ListParagraph"/>
        <w:numPr>
          <w:ilvl w:val="0"/>
          <w:numId w:val="2"/>
        </w:numPr>
        <w:spacing w:before="60" w:after="60"/>
      </w:pPr>
      <w:r>
        <w:rPr>
          <w:color w:val="555555"/>
        </w:rPr>
        <w:t>Collection forecasting that gives clients reliable forward visibility into expected cash flow — a capability with direct implications for operational planning and capital allocation.</w:t>
      </w:r>
    </w:p>
    <w:p w14:paraId="4D815AB6" w14:textId="77777777" w:rsidR="00C55E31" w:rsidRDefault="00C55E31">
      <w:pPr>
        <w:spacing w:before="60" w:after="60"/>
      </w:pPr>
    </w:p>
    <w:p w14:paraId="7681D447" w14:textId="77777777" w:rsidR="00C55E31" w:rsidRDefault="00000000">
      <w:pPr>
        <w:spacing w:before="100" w:after="140"/>
        <w:jc w:val="both"/>
      </w:pPr>
      <w:r>
        <w:t>The RCM firms that invest in robust data infrastructure today — and build the analytical capabilities to extract insight from that data — will become indispensable partners to their clients. Those that continue to deliver static, backward-looking reports will increasingly find themselves competing on price alone.</w:t>
      </w:r>
    </w:p>
    <w:p w14:paraId="6DB991AA" w14:textId="77777777" w:rsidR="00C55E31" w:rsidRDefault="00000000">
      <w:pPr>
        <w:pBdr>
          <w:left w:val="single" w:sz="12" w:space="12" w:color="C8922A"/>
        </w:pBdr>
        <w:spacing w:before="160" w:after="160"/>
        <w:ind w:left="720"/>
      </w:pPr>
      <w:r>
        <w:rPr>
          <w:b/>
          <w:bCs/>
          <w:color w:val="1B3A6B"/>
        </w:rPr>
        <w:lastRenderedPageBreak/>
        <w:t xml:space="preserve">Key Takeaway: </w:t>
      </w:r>
      <w:r>
        <w:rPr>
          <w:i/>
          <w:iCs/>
          <w:color w:val="555555"/>
        </w:rPr>
        <w:t xml:space="preserve">The future of dental RCM is </w:t>
      </w:r>
      <w:proofErr w:type="gramStart"/>
      <w:r>
        <w:rPr>
          <w:i/>
          <w:iCs/>
          <w:color w:val="555555"/>
        </w:rPr>
        <w:t>data-driven</w:t>
      </w:r>
      <w:proofErr w:type="gramEnd"/>
      <w:r>
        <w:rPr>
          <w:i/>
          <w:iCs/>
          <w:color w:val="555555"/>
        </w:rPr>
        <w:t>. Firms that give clients real-time intelligence and predictive analytics will command premium relationships and superior retention.</w:t>
      </w:r>
    </w:p>
    <w:p w14:paraId="031619ED" w14:textId="77777777" w:rsidR="00C55E31" w:rsidRDefault="00C55E31">
      <w:pPr>
        <w:spacing w:before="60" w:after="60"/>
      </w:pPr>
    </w:p>
    <w:p w14:paraId="01ED539F" w14:textId="77777777" w:rsidR="00C55E31" w:rsidRDefault="00000000">
      <w:pPr>
        <w:spacing w:before="360" w:after="120"/>
      </w:pPr>
      <w:r>
        <w:rPr>
          <w:b/>
          <w:bCs/>
          <w:color w:val="C8922A"/>
          <w:sz w:val="20"/>
          <w:szCs w:val="20"/>
        </w:rPr>
        <w:t>TREND 5</w:t>
      </w:r>
      <w:r>
        <w:rPr>
          <w:b/>
          <w:bCs/>
          <w:color w:val="1B3A6B"/>
          <w:sz w:val="26"/>
          <w:szCs w:val="26"/>
        </w:rPr>
        <w:t xml:space="preserve">   Industry Consolidation Will Accelerate</w:t>
      </w:r>
    </w:p>
    <w:p w14:paraId="08ADA8EC" w14:textId="77777777" w:rsidR="00C55E31" w:rsidRDefault="00000000">
      <w:pPr>
        <w:spacing w:before="100" w:after="140"/>
        <w:jc w:val="both"/>
      </w:pPr>
      <w:r>
        <w:t xml:space="preserve">The dental RCM market remains highly fragmented. </w:t>
      </w:r>
      <w:proofErr w:type="gramStart"/>
      <w:r>
        <w:t>The vast majority of</w:t>
      </w:r>
      <w:proofErr w:type="gramEnd"/>
      <w:r>
        <w:t xml:space="preserve"> firms operating today are founder-owned businesses — built on relationships, deep domain expertise, and years of hard-won operational knowledge. Many of these firms serve their clients exceptionally well.</w:t>
      </w:r>
    </w:p>
    <w:p w14:paraId="09362C04" w14:textId="77777777" w:rsidR="00C55E31" w:rsidRDefault="00000000">
      <w:pPr>
        <w:spacing w:before="100" w:after="140"/>
        <w:jc w:val="both"/>
      </w:pPr>
      <w:r>
        <w:t>But the economics of the next decade will favor scale. The investments required to build and maintain competitive technology infrastructure, AI capabilities, data platforms, and enterprise-grade compliance programs are substantial — and increasingly difficult to justify at the individual firm level.</w:t>
      </w:r>
    </w:p>
    <w:p w14:paraId="7E434FD6" w14:textId="77777777" w:rsidR="00C55E31" w:rsidRDefault="00000000">
      <w:pPr>
        <w:spacing w:before="100" w:after="140"/>
      </w:pPr>
      <w:r>
        <w:rPr>
          <w:b/>
          <w:bCs/>
        </w:rPr>
        <w:t>The consolidation dynamics unfolding in the broader dental industry — where DSOs have captured a growing share of the market by aggregating practices, centralizing operations, and investing in shared infrastructure — are coming for the RCM space as well. The forces driving this are straightforward:</w:t>
      </w:r>
    </w:p>
    <w:p w14:paraId="775AD033" w14:textId="77777777" w:rsidR="00C55E31" w:rsidRDefault="00000000">
      <w:pPr>
        <w:pStyle w:val="ListParagraph"/>
        <w:numPr>
          <w:ilvl w:val="0"/>
          <w:numId w:val="2"/>
        </w:numPr>
        <w:spacing w:before="60" w:after="60"/>
      </w:pPr>
      <w:r>
        <w:rPr>
          <w:color w:val="555555"/>
        </w:rPr>
        <w:t>DSO clients increasingly prefer vendors capable of supporting multi-location, multi-state operations with standardized workflows and enterprise reporting.</w:t>
      </w:r>
    </w:p>
    <w:p w14:paraId="71F22E22" w14:textId="77777777" w:rsidR="00C55E31" w:rsidRDefault="00000000">
      <w:pPr>
        <w:pStyle w:val="ListParagraph"/>
        <w:numPr>
          <w:ilvl w:val="0"/>
          <w:numId w:val="2"/>
        </w:numPr>
        <w:spacing w:before="60" w:after="60"/>
      </w:pPr>
      <w:r>
        <w:rPr>
          <w:color w:val="555555"/>
        </w:rPr>
        <w:t>Technology investment requirements create meaningful barriers to entry for smaller firms and ongoing cost pressure for those operating below scale.</w:t>
      </w:r>
    </w:p>
    <w:p w14:paraId="72E0C70F" w14:textId="77777777" w:rsidR="00C55E31" w:rsidRDefault="00000000">
      <w:pPr>
        <w:pStyle w:val="ListParagraph"/>
        <w:numPr>
          <w:ilvl w:val="0"/>
          <w:numId w:val="2"/>
        </w:numPr>
        <w:spacing w:before="60" w:after="60"/>
      </w:pPr>
      <w:r>
        <w:rPr>
          <w:color w:val="555555"/>
        </w:rPr>
        <w:t>The talent market rewards organizations that can offer specialists career development, leadership paths, and the tools to do their best work — advantages that accrue to scale.</w:t>
      </w:r>
    </w:p>
    <w:p w14:paraId="34417C44" w14:textId="77777777" w:rsidR="00C55E31" w:rsidRDefault="00000000">
      <w:pPr>
        <w:pStyle w:val="ListParagraph"/>
        <w:numPr>
          <w:ilvl w:val="0"/>
          <w:numId w:val="2"/>
        </w:numPr>
        <w:spacing w:before="60" w:after="60"/>
      </w:pPr>
      <w:r>
        <w:rPr>
          <w:color w:val="555555"/>
        </w:rPr>
        <w:t>Founder-owned firms approaching transition face a market in which strategic buyers with a genuine integration thesis — rather than financial buyers seeking a simple roll-up — can offer superior outcomes for clients, employees, and owners alike.</w:t>
      </w:r>
    </w:p>
    <w:p w14:paraId="4F49133F" w14:textId="77777777" w:rsidR="00C55E31" w:rsidRDefault="00C55E31">
      <w:pPr>
        <w:spacing w:before="60" w:after="60"/>
      </w:pPr>
    </w:p>
    <w:p w14:paraId="417429DC" w14:textId="77777777" w:rsidR="00C55E31" w:rsidRDefault="00000000">
      <w:pPr>
        <w:spacing w:before="100" w:after="140"/>
        <w:jc w:val="both"/>
      </w:pPr>
      <w:r>
        <w:t>The consolidation of dental RCM is not a distant possibility. It is already underway. The question for every firm in the market is not whether consolidation will affect them — it is whether they will shape that consolidation or be shaped by it.</w:t>
      </w:r>
    </w:p>
    <w:p w14:paraId="2076ABD3" w14:textId="77777777" w:rsidR="00C55E31" w:rsidRDefault="00000000">
      <w:pPr>
        <w:pBdr>
          <w:left w:val="single" w:sz="12" w:space="12" w:color="C8922A"/>
        </w:pBdr>
        <w:spacing w:before="160" w:after="160"/>
        <w:ind w:left="720"/>
      </w:pPr>
      <w:r>
        <w:rPr>
          <w:b/>
          <w:bCs/>
          <w:color w:val="1B3A6B"/>
        </w:rPr>
        <w:t xml:space="preserve">Key Takeaway: </w:t>
      </w:r>
      <w:r>
        <w:rPr>
          <w:i/>
          <w:iCs/>
          <w:color w:val="555555"/>
        </w:rPr>
        <w:t>Scale, technology investment, and enterprise capability will increasingly determine which firms win DSO relationships. Consolidation will accelerate — and the terms of that consolidation will favor those who move with clarity and conviction.</w:t>
      </w:r>
    </w:p>
    <w:p w14:paraId="03AA7B66" w14:textId="77777777" w:rsidR="00C55E31" w:rsidRDefault="00C55E31">
      <w:pPr>
        <w:spacing w:before="60" w:after="60"/>
      </w:pPr>
    </w:p>
    <w:p w14:paraId="3E4C9EF1" w14:textId="77777777" w:rsidR="00C55E31" w:rsidRDefault="00000000">
      <w:pPr>
        <w:pStyle w:val="Heading1"/>
        <w:pBdr>
          <w:bottom w:val="single" w:sz="4" w:space="6" w:color="C8922A"/>
        </w:pBdr>
      </w:pPr>
      <w:r>
        <w:t>The Decade Ahead</w:t>
      </w:r>
    </w:p>
    <w:p w14:paraId="1C7A67CF" w14:textId="77777777" w:rsidR="00C55E31" w:rsidRDefault="00000000">
      <w:pPr>
        <w:spacing w:before="100" w:after="140"/>
        <w:jc w:val="both"/>
      </w:pPr>
      <w:r>
        <w:t>The forces reshaping dental revenue cycle management are structural, not cyclical. They will not reverse. The labor market will not suddenly produce a surplus of trained billing specialists. Insurance complexity will not diminish. DSOs will not stop growing. AI will not stop advancing.</w:t>
      </w:r>
    </w:p>
    <w:p w14:paraId="1EED2507" w14:textId="77777777" w:rsidR="00C55E31" w:rsidRDefault="00000000">
      <w:pPr>
        <w:spacing w:before="100" w:after="140"/>
        <w:jc w:val="both"/>
      </w:pPr>
      <w:r>
        <w:t>What will change is the competitive landscape — and it will change quickly. The firms that recognize this moment for what it is, and invest accordingly, will define the next generation of dental RCM.</w:t>
      </w:r>
    </w:p>
    <w:p w14:paraId="0AB23332" w14:textId="77777777" w:rsidR="00C55E31" w:rsidRDefault="00C55E31">
      <w:pPr>
        <w:spacing w:before="60" w:after="60"/>
      </w:pPr>
    </w:p>
    <w:p w14:paraId="7162BABC" w14:textId="77777777" w:rsidR="00C55E31" w:rsidRDefault="00000000">
      <w:pPr>
        <w:pBdr>
          <w:top w:val="single" w:sz="4" w:space="8" w:color="C8922A"/>
          <w:left w:val="single" w:sz="16" w:space="12" w:color="1B3A6B"/>
          <w:bottom w:val="single" w:sz="4" w:space="8" w:color="C8922A"/>
        </w:pBdr>
        <w:spacing w:before="200" w:after="200"/>
        <w:ind w:left="360"/>
      </w:pPr>
      <w:r>
        <w:rPr>
          <w:b/>
          <w:bCs/>
          <w:i/>
          <w:iCs/>
          <w:color w:val="1B3A6B"/>
          <w:sz w:val="24"/>
          <w:szCs w:val="24"/>
        </w:rPr>
        <w:t>We believe the future leaders in dental revenue cycle management will be organizations that combine deep dental expertise, exceptional client service, intelligent automation, operational excellence, and data-driven decision making. The next decade belongs to technology-enabled specialists.</w:t>
      </w:r>
    </w:p>
    <w:p w14:paraId="73A2B9A0" w14:textId="77777777" w:rsidR="00C55E31" w:rsidRDefault="00C55E31">
      <w:pPr>
        <w:spacing w:before="60" w:after="60"/>
      </w:pPr>
    </w:p>
    <w:p w14:paraId="44B82E94" w14:textId="77777777" w:rsidR="00C55E31" w:rsidRDefault="00000000">
      <w:pPr>
        <w:spacing w:before="100" w:after="140"/>
        <w:jc w:val="both"/>
      </w:pPr>
      <w:r>
        <w:t>At G&amp;C Capital Holdings, this conviction shapes how we evaluate opportunities, how we approach partnership conversations, and how we think about building an enduring platform in dental RCM. We are not simply aggregating revenue — we are building the infrastructure for what this industry becomes next.</w:t>
      </w:r>
    </w:p>
    <w:p w14:paraId="68DFBC8E" w14:textId="77777777" w:rsidR="00C55E31" w:rsidRDefault="00C55E31">
      <w:pPr>
        <w:spacing w:before="60" w:after="60"/>
      </w:pPr>
    </w:p>
    <w:p w14:paraId="6A5176CA" w14:textId="77777777" w:rsidR="00C55E31" w:rsidRDefault="00000000">
      <w:pPr>
        <w:pBdr>
          <w:top w:val="single" w:sz="4" w:space="8" w:color="C8922A"/>
        </w:pBdr>
        <w:spacing w:before="360" w:after="80"/>
      </w:pPr>
      <w:r>
        <w:rPr>
          <w:b/>
          <w:bCs/>
          <w:color w:val="1B3A6B"/>
        </w:rPr>
        <w:t>About G&amp;C Capital Holdings</w:t>
      </w:r>
    </w:p>
    <w:p w14:paraId="5247101A" w14:textId="77777777" w:rsidR="00C55E31" w:rsidRDefault="00000000">
      <w:pPr>
        <w:spacing w:before="60" w:after="60"/>
      </w:pPr>
      <w:r>
        <w:rPr>
          <w:color w:val="777777"/>
          <w:sz w:val="18"/>
          <w:szCs w:val="18"/>
        </w:rPr>
        <w:t>G&amp;C Capital Holdings is a private investment firm focused on building leading platforms in specialized healthcare services. Our dental RCM strategy combines disciplined acquisition, operational integration, and technology investment to create organizations capable of serving the most sophisticated clients in the market.</w:t>
      </w:r>
    </w:p>
    <w:sectPr w:rsidR="00C55E3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A4810" w14:textId="77777777" w:rsidR="00661F41" w:rsidRDefault="00661F41">
      <w:r>
        <w:separator/>
      </w:r>
    </w:p>
  </w:endnote>
  <w:endnote w:type="continuationSeparator" w:id="0">
    <w:p w14:paraId="2E0FBE93" w14:textId="77777777" w:rsidR="00661F41" w:rsidRDefault="00661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B789" w14:textId="77777777" w:rsidR="00F1685A" w:rsidRDefault="00F16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4DF5" w14:textId="61BDEB34" w:rsidR="00C55E31" w:rsidRDefault="00000000">
    <w:pPr>
      <w:pBdr>
        <w:top w:val="single" w:sz="4" w:space="4" w:color="C8922A"/>
      </w:pBdr>
    </w:pPr>
    <w:r>
      <w:rPr>
        <w:color w:val="777777"/>
        <w:sz w:val="16"/>
        <w:szCs w:val="16"/>
      </w:rPr>
      <w:t xml:space="preserve">© </w:t>
    </w:r>
    <w:r>
      <w:rPr>
        <w:color w:val="777777"/>
        <w:sz w:val="16"/>
        <w:szCs w:val="16"/>
      </w:rPr>
      <w:t>202</w:t>
    </w:r>
    <w:r w:rsidR="00F1685A">
      <w:rPr>
        <w:color w:val="777777"/>
        <w:sz w:val="16"/>
        <w:szCs w:val="16"/>
      </w:rPr>
      <w:t>6</w:t>
    </w:r>
    <w:r>
      <w:rPr>
        <w:color w:val="777777"/>
        <w:sz w:val="16"/>
        <w:szCs w:val="16"/>
      </w:rPr>
      <w:t xml:space="preserve"> G&amp;C Capital Holdings. All rights reserved.  </w:t>
    </w:r>
    <w:proofErr w:type="gramStart"/>
    <w:r>
      <w:rPr>
        <w:color w:val="777777"/>
        <w:sz w:val="16"/>
        <w:szCs w:val="16"/>
      </w:rPr>
      <w:t>|  Page</w:t>
    </w:r>
    <w:proofErr w:type="gramEnd"/>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E939AF">
      <w:rPr>
        <w:noProof/>
        <w:color w:val="777777"/>
        <w:sz w:val="16"/>
        <w:szCs w:val="16"/>
      </w:rPr>
      <w:t>1</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08F4" w14:textId="77777777" w:rsidR="00F1685A" w:rsidRDefault="00F16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4558C" w14:textId="77777777" w:rsidR="00661F41" w:rsidRDefault="00661F41">
      <w:r>
        <w:separator/>
      </w:r>
    </w:p>
  </w:footnote>
  <w:footnote w:type="continuationSeparator" w:id="0">
    <w:p w14:paraId="36F14ABE" w14:textId="77777777" w:rsidR="00661F41" w:rsidRDefault="00661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273C" w14:textId="77777777" w:rsidR="00F1685A" w:rsidRDefault="00F168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DFC4" w14:textId="77777777" w:rsidR="00C55E31" w:rsidRDefault="00000000">
    <w:pPr>
      <w:pBdr>
        <w:bottom w:val="single" w:sz="4" w:space="4" w:color="C8922A"/>
      </w:pBdr>
      <w:jc w:val="right"/>
    </w:pPr>
    <w:r>
      <w:rPr>
        <w:color w:val="777777"/>
        <w:sz w:val="18"/>
        <w:szCs w:val="18"/>
      </w:rPr>
      <w:t xml:space="preserve">G&amp;C Capital </w:t>
    </w:r>
    <w:proofErr w:type="gramStart"/>
    <w:r>
      <w:rPr>
        <w:color w:val="777777"/>
        <w:sz w:val="18"/>
        <w:szCs w:val="18"/>
      </w:rPr>
      <w:t>Holdings  |</w:t>
    </w:r>
    <w:proofErr w:type="gramEnd"/>
    <w:r>
      <w:rPr>
        <w:color w:val="777777"/>
        <w:sz w:val="18"/>
        <w:szCs w:val="18"/>
      </w:rPr>
      <w:t xml:space="preserve">  Thought Leadership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60BB" w14:textId="77777777" w:rsidR="00F1685A" w:rsidRDefault="00F16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E3024"/>
    <w:multiLevelType w:val="hybridMultilevel"/>
    <w:tmpl w:val="1ED8BFF8"/>
    <w:lvl w:ilvl="0" w:tplc="2FCC1BB8">
      <w:start w:val="1"/>
      <w:numFmt w:val="bullet"/>
      <w:lvlText w:val="•"/>
      <w:lvlJc w:val="left"/>
      <w:pPr>
        <w:ind w:left="540" w:hanging="260"/>
      </w:pPr>
      <w:rPr>
        <w:rFonts w:ascii="Arial" w:eastAsia="Arial" w:hAnsi="Arial" w:cs="Arial"/>
        <w:color w:val="C8922A"/>
        <w:sz w:val="22"/>
        <w:szCs w:val="22"/>
      </w:rPr>
    </w:lvl>
    <w:lvl w:ilvl="1" w:tplc="CAD60D8C">
      <w:numFmt w:val="decimal"/>
      <w:lvlText w:val=""/>
      <w:lvlJc w:val="left"/>
    </w:lvl>
    <w:lvl w:ilvl="2" w:tplc="2276571A">
      <w:numFmt w:val="decimal"/>
      <w:lvlText w:val=""/>
      <w:lvlJc w:val="left"/>
    </w:lvl>
    <w:lvl w:ilvl="3" w:tplc="FD42669E">
      <w:numFmt w:val="decimal"/>
      <w:lvlText w:val=""/>
      <w:lvlJc w:val="left"/>
    </w:lvl>
    <w:lvl w:ilvl="4" w:tplc="5C220202">
      <w:numFmt w:val="decimal"/>
      <w:lvlText w:val=""/>
      <w:lvlJc w:val="left"/>
    </w:lvl>
    <w:lvl w:ilvl="5" w:tplc="6E2A9CB4">
      <w:numFmt w:val="decimal"/>
      <w:lvlText w:val=""/>
      <w:lvlJc w:val="left"/>
    </w:lvl>
    <w:lvl w:ilvl="6" w:tplc="572EEEC6">
      <w:numFmt w:val="decimal"/>
      <w:lvlText w:val=""/>
      <w:lvlJc w:val="left"/>
    </w:lvl>
    <w:lvl w:ilvl="7" w:tplc="CAFEF886">
      <w:numFmt w:val="decimal"/>
      <w:lvlText w:val=""/>
      <w:lvlJc w:val="left"/>
    </w:lvl>
    <w:lvl w:ilvl="8" w:tplc="E2686C94">
      <w:numFmt w:val="decimal"/>
      <w:lvlText w:val=""/>
      <w:lvlJc w:val="left"/>
    </w:lvl>
  </w:abstractNum>
  <w:abstractNum w:abstractNumId="1" w15:restartNumberingAfterBreak="0">
    <w:nsid w:val="74CD24BC"/>
    <w:multiLevelType w:val="hybridMultilevel"/>
    <w:tmpl w:val="E2765216"/>
    <w:lvl w:ilvl="0" w:tplc="964C60EE">
      <w:start w:val="1"/>
      <w:numFmt w:val="bullet"/>
      <w:lvlText w:val="●"/>
      <w:lvlJc w:val="left"/>
      <w:pPr>
        <w:ind w:left="720" w:hanging="360"/>
      </w:pPr>
    </w:lvl>
    <w:lvl w:ilvl="1" w:tplc="E4040FE4">
      <w:start w:val="1"/>
      <w:numFmt w:val="bullet"/>
      <w:lvlText w:val="○"/>
      <w:lvlJc w:val="left"/>
      <w:pPr>
        <w:ind w:left="1440" w:hanging="360"/>
      </w:pPr>
    </w:lvl>
    <w:lvl w:ilvl="2" w:tplc="EF7850BC">
      <w:start w:val="1"/>
      <w:numFmt w:val="bullet"/>
      <w:lvlText w:val="■"/>
      <w:lvlJc w:val="left"/>
      <w:pPr>
        <w:ind w:left="2160" w:hanging="360"/>
      </w:pPr>
    </w:lvl>
    <w:lvl w:ilvl="3" w:tplc="D3BA2AD4">
      <w:start w:val="1"/>
      <w:numFmt w:val="bullet"/>
      <w:lvlText w:val="●"/>
      <w:lvlJc w:val="left"/>
      <w:pPr>
        <w:ind w:left="2880" w:hanging="360"/>
      </w:pPr>
    </w:lvl>
    <w:lvl w:ilvl="4" w:tplc="84DA3C1A">
      <w:start w:val="1"/>
      <w:numFmt w:val="bullet"/>
      <w:lvlText w:val="○"/>
      <w:lvlJc w:val="left"/>
      <w:pPr>
        <w:ind w:left="3600" w:hanging="360"/>
      </w:pPr>
    </w:lvl>
    <w:lvl w:ilvl="5" w:tplc="4476D470">
      <w:start w:val="1"/>
      <w:numFmt w:val="bullet"/>
      <w:lvlText w:val="■"/>
      <w:lvlJc w:val="left"/>
      <w:pPr>
        <w:ind w:left="4320" w:hanging="360"/>
      </w:pPr>
    </w:lvl>
    <w:lvl w:ilvl="6" w:tplc="8A0424EA">
      <w:start w:val="1"/>
      <w:numFmt w:val="bullet"/>
      <w:lvlText w:val="●"/>
      <w:lvlJc w:val="left"/>
      <w:pPr>
        <w:ind w:left="5040" w:hanging="360"/>
      </w:pPr>
    </w:lvl>
    <w:lvl w:ilvl="7" w:tplc="91282136">
      <w:start w:val="1"/>
      <w:numFmt w:val="bullet"/>
      <w:lvlText w:val="●"/>
      <w:lvlJc w:val="left"/>
      <w:pPr>
        <w:ind w:left="5760" w:hanging="360"/>
      </w:pPr>
    </w:lvl>
    <w:lvl w:ilvl="8" w:tplc="97340B5C">
      <w:start w:val="1"/>
      <w:numFmt w:val="bullet"/>
      <w:lvlText w:val="●"/>
      <w:lvlJc w:val="left"/>
      <w:pPr>
        <w:ind w:left="6480" w:hanging="360"/>
      </w:pPr>
    </w:lvl>
  </w:abstractNum>
  <w:num w:numId="1" w16cid:durableId="1391032849">
    <w:abstractNumId w:val="1"/>
    <w:lvlOverride w:ilvl="0">
      <w:startOverride w:val="1"/>
    </w:lvlOverride>
  </w:num>
  <w:num w:numId="2" w16cid:durableId="1347052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31"/>
    <w:rsid w:val="00661F41"/>
    <w:rsid w:val="00C55E31"/>
    <w:rsid w:val="00CD3BC4"/>
    <w:rsid w:val="00E939AF"/>
    <w:rsid w:val="00F1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1028C8"/>
  <w15:docId w15:val="{56EE3204-6BE1-0049-B3F2-B1CEA6BC2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6B"/>
      <w:sz w:val="28"/>
      <w:szCs w:val="28"/>
    </w:rPr>
  </w:style>
  <w:style w:type="paragraph" w:styleId="Heading2">
    <w:name w:val="heading 2"/>
    <w:uiPriority w:val="9"/>
    <w:semiHidden/>
    <w:unhideWhenUsed/>
    <w:qFormat/>
    <w:pPr>
      <w:spacing w:before="300" w:after="120"/>
      <w:outlineLvl w:val="1"/>
    </w:pPr>
    <w:rPr>
      <w:b/>
      <w:bCs/>
      <w:color w:val="C892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685A"/>
    <w:pPr>
      <w:tabs>
        <w:tab w:val="center" w:pos="4680"/>
        <w:tab w:val="right" w:pos="9360"/>
      </w:tabs>
    </w:pPr>
  </w:style>
  <w:style w:type="character" w:customStyle="1" w:styleId="HeaderChar">
    <w:name w:val="Header Char"/>
    <w:basedOn w:val="DefaultParagraphFont"/>
    <w:link w:val="Header"/>
    <w:uiPriority w:val="99"/>
    <w:rsid w:val="00F1685A"/>
  </w:style>
  <w:style w:type="paragraph" w:styleId="Footer">
    <w:name w:val="footer"/>
    <w:basedOn w:val="Normal"/>
    <w:link w:val="FooterChar"/>
    <w:uiPriority w:val="99"/>
    <w:unhideWhenUsed/>
    <w:rsid w:val="00F1685A"/>
    <w:pPr>
      <w:tabs>
        <w:tab w:val="center" w:pos="4680"/>
        <w:tab w:val="right" w:pos="9360"/>
      </w:tabs>
    </w:pPr>
  </w:style>
  <w:style w:type="character" w:customStyle="1" w:styleId="FooterChar">
    <w:name w:val="Footer Char"/>
    <w:basedOn w:val="DefaultParagraphFont"/>
    <w:link w:val="Footer"/>
    <w:uiPriority w:val="99"/>
    <w:rsid w:val="00F16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1615</Words>
  <Characters>9900</Characters>
  <Application>Microsoft Office Word</Application>
  <DocSecurity>0</DocSecurity>
  <Lines>173</Lines>
  <Paragraphs>73</Paragraphs>
  <ScaleCrop>false</ScaleCrop>
  <Company/>
  <LinksUpToDate>false</LinksUpToDate>
  <CharactersWithSpaces>11442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Gautam Srivastava</cp:lastModifiedBy>
  <cp:revision>3</cp:revision>
  <dcterms:created xsi:type="dcterms:W3CDTF">2026-05-30T02:55:00Z</dcterms:created>
  <dcterms:modified xsi:type="dcterms:W3CDTF">2026-05-30T04:06:00Z</dcterms:modified>
</cp:coreProperties>
</file>