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14:textId="3305106A">
      <w:pPr>
        <w:pStyle w:val="719"/>
        <w:numPr>
          <w:ilvl w:val="0"/>
          <w:numId w:val="0"/>
        </w:numPr>
        <w:pBdr/>
        <w:spacing/>
        <w:ind/>
        <w:rPr/>
      </w:pPr>
      <w:r/>
      <w:bookmarkStart w:id="0" w:name="_heading=h.gjdgxs"/>
      <w:r/>
      <w:bookmarkEnd w:id="0"/>
      <w:r>
        <w:t xml:space="preserve">STATEMENT OF TEACHING PHILOSOPHY</w:t>
      </w:r>
      <w:r/>
    </w:p>
    <w:p w14:paraId="00000002" w14:textId="77777777">
      <w:pPr>
        <w:pStyle w:val="719"/>
        <w:numPr>
          <w:ilvl w:val="0"/>
          <w:numId w:val="0"/>
        </w:numPr>
        <w:pBdr/>
        <w:spacing/>
        <w:ind/>
        <w:rPr/>
      </w:pPr>
      <w:r/>
      <w:bookmarkStart w:id="1" w:name="_heading=h.625e8bqtup01"/>
      <w:r/>
      <w:bookmarkEnd w:id="1"/>
      <w:r>
        <w:t xml:space="preserve">and SELF EVALUATION</w:t>
      </w:r>
      <w:r/>
    </w:p>
    <w:p w14:paraId="00000003" w14:textId="77777777">
      <w:pPr>
        <w:pBdr/>
        <w:spacing/>
        <w:ind/>
        <w:rPr/>
      </w:pPr>
      <w:r/>
      <w:r/>
    </w:p>
    <w:p w14:paraId="00000004" w14:textId="77777777">
      <w:pPr>
        <w:pBdr/>
        <w:spacing/>
        <w:ind/>
        <w:rPr/>
      </w:pPr>
      <w:r/>
      <w:r/>
    </w:p>
    <w:p w14:paraId="00000007" w14:textId="77777777">
      <w:pPr>
        <w:pBdr/>
        <w:spacing/>
        <w:ind/>
        <w:rPr>
          <w:highlight w:val="none"/>
        </w:rPr>
      </w:pPr>
      <w:r>
        <w:t xml:space="preserve">Relevant excerpt from the statement of career goals:</w:t>
      </w:r>
      <w:r/>
    </w:p>
    <w:p w14:paraId="3665D8F9">
      <w:pPr>
        <w:pBdr/>
        <w:spacing/>
        <w:ind/>
        <w:rPr/>
      </w:pPr>
      <w:r/>
      <w:r/>
      <w:r/>
    </w:p>
    <w:p w14:paraId="153696E9">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Liberation Sans" w:hAnsi="Liberation Sans" w:eastAsia="Liberation Sans" w:cs="Liberation Sans"/>
          <w:color w:val="374151"/>
          <w:sz w:val="20"/>
          <w:u w:val="none"/>
        </w:rPr>
        <w:t xml:space="preserve">My goal in teaching is to prepare students for the messy reality of building </w:t>
      </w:r>
      <w:r>
        <w:rPr>
          <w:rFonts w:ascii="Liberation Sans" w:hAnsi="Liberation Sans" w:eastAsia="Liberation Sans" w:cs="Liberation Sans"/>
          <w:i/>
          <w:color w:val="374151"/>
          <w:sz w:val="20"/>
          <w:u w:val="none"/>
        </w:rPr>
        <w:t xml:space="preserve">software that matters</w:t>
      </w:r>
      <w:r>
        <w:rPr>
          <w:rFonts w:ascii="Liberation Sans" w:hAnsi="Liberation Sans" w:eastAsia="Liberation Sans" w:cs="Liberation Sans"/>
          <w:color w:val="374151"/>
          <w:sz w:val="20"/>
          <w:u w:val="none"/>
        </w:rPr>
        <w:t xml:space="preserve"> in the complexity of the real world, whether that is systems too large for any one person to understand, requirements that shift, incentives that pull toward engineering shortcuts, or decisions whose consequences extend well beyond the codebase, such as f</w:t>
      </w:r>
      <w:r>
        <w:rPr>
          <w:rFonts w:ascii="Liberation Sans" w:hAnsi="Liberation Sans" w:eastAsia="Liberation Sans" w:cs="Liberation Sans"/>
          <w:color w:val="374151"/>
          <w:sz w:val="20"/>
          <w:u w:val="none"/>
        </w:rPr>
        <w:t xml:space="preserve">rustrating and undermining the dignity of users exposed to rushed and poorly designed software. I want to graduate students who will build software responsibly for a better society, which requires anticipating harms, managing risk, and producing work they </w:t>
      </w:r>
      <w:r>
        <w:rPr>
          <w:rFonts w:ascii="Liberation Sans" w:hAnsi="Liberation Sans" w:eastAsia="Liberation Sans" w:cs="Liberation Sans"/>
          <w:color w:val="374151"/>
          <w:sz w:val="20"/>
          <w:u w:val="none"/>
        </w:rPr>
        <w:t xml:space="preserve">can stand behind. Much of CS and ML education leaves students unprepared for this, retreating into clean abstractions or chasing benchmarks. I like teaching and I treat teaching itself as a design problem grounded in evidence. I follow where the need is, w</w:t>
      </w:r>
      <w:r>
        <w:rPr>
          <w:rFonts w:ascii="Liberation Sans" w:hAnsi="Liberation Sans" w:eastAsia="Liberation Sans" w:cs="Liberation Sans"/>
          <w:color w:val="374151"/>
          <w:sz w:val="20"/>
          <w:u w:val="none"/>
        </w:rPr>
        <w:t xml:space="preserve">hether that means revising introductory courses or building a new offering as the world changes.</w:t>
      </w:r>
      <w:r/>
    </w:p>
    <w:p w14:paraId="3C40610A">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Liberation Sans" w:hAnsi="Liberation Sans" w:eastAsia="Liberation Sans" w:cs="Liberation Sans"/>
          <w:color w:val="374151"/>
          <w:sz w:val="20"/>
          <w:u w:val="none"/>
        </w:rPr>
        <w:t xml:space="preserve">I believe I have had my largest impact through co-creating and teaching the course </w:t>
      </w:r>
      <w:r>
        <w:rPr>
          <w:rFonts w:ascii="Liberation Sans" w:hAnsi="Liberation Sans" w:eastAsia="Liberation Sans" w:cs="Liberation Sans"/>
          <w:i/>
          <w:color w:val="374151"/>
          <w:sz w:val="20"/>
          <w:u w:val="none"/>
        </w:rPr>
        <w:t xml:space="preserve">Machine Learning in Production/AI Engineering</w:t>
      </w:r>
      <w:r>
        <w:rPr>
          <w:rFonts w:ascii="Liberation Sans" w:hAnsi="Liberation Sans" w:eastAsia="Liberation Sans" w:cs="Liberation Sans"/>
          <w:color w:val="374151"/>
          <w:sz w:val="20"/>
          <w:u w:val="none"/>
        </w:rPr>
        <w:t xml:space="preserve"> (17-645, taught or co-taught 11 times since Fall 2019, usually with enrollments of 80-150 students), and through the shared lecture materials and textbook that grew out of it </w:t>
      </w:r>
      <w:hyperlink r:id="rId11" w:tooltip="https://paperpile.com/c/Ayl5wc/Kas0" w:history="1">
        <w:r>
          <w:rPr>
            <w:rStyle w:val="187"/>
            <w:rFonts w:ascii="Liberation Sans" w:hAnsi="Liberation Sans" w:eastAsia="Liberation Sans" w:cs="Liberation Sans"/>
            <w:color w:val="000000"/>
            <w:sz w:val="20"/>
            <w:u w:val="none"/>
          </w:rPr>
          <w:t xml:space="preserve">(Kästner 2025)</w:t>
        </w:r>
      </w:hyperlink>
      <w:r>
        <w:rPr>
          <w:rFonts w:ascii="Liberation Sans" w:hAnsi="Liberation Sans" w:eastAsia="Liberation Sans" w:cs="Liberation Sans"/>
          <w:color w:val="374151"/>
          <w:sz w:val="20"/>
          <w:u w:val="none"/>
        </w:rPr>
        <w:t xml:space="preserve">. I often describe the course informally as teaching software engineering principles to data scientists and product managers. It covers traditional software engineering topics like requirements, quality assurance, process, and DevOps, through the lens of h</w:t>
      </w:r>
      <w:r>
        <w:rPr>
          <w:rFonts w:ascii="Liberation Sans" w:hAnsi="Liberation Sans" w:eastAsia="Liberation Sans" w:cs="Liberation Sans"/>
          <w:color w:val="374151"/>
          <w:sz w:val="20"/>
          <w:u w:val="none"/>
        </w:rPr>
        <w:t xml:space="preserve">ow ML components change the way we build software. Because ML models are so clearly unreliable components, students more readily appreciate the need to plan for mistakes (safety engineering), to think carefully about process, to test the software system be</w:t>
      </w:r>
      <w:r>
        <w:rPr>
          <w:rFonts w:ascii="Liberation Sans" w:hAnsi="Liberation Sans" w:eastAsia="Liberation Sans" w:cs="Liberation Sans"/>
          <w:color w:val="374151"/>
          <w:sz w:val="20"/>
          <w:u w:val="none"/>
        </w:rPr>
        <w:t xml:space="preserve">yond the individual model, and to monitor the system in production. The remainder of this section illustrates how I approach teaching through several principled design choices in this course.</w:t>
      </w:r>
      <w:r/>
    </w:p>
    <w:p w14:paraId="08375B42">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Liberation Sans" w:hAnsi="Liberation Sans" w:eastAsia="Liberation Sans" w:cs="Liberation Sans"/>
          <w:b/>
          <w:color w:val="374151"/>
          <w:sz w:val="20"/>
          <w:u w:val="none"/>
        </w:rPr>
        <w:t xml:space="preserve">Interdisciplinary teamwork as a key learning goal.</w:t>
      </w:r>
      <w:r>
        <w:rPr>
          <w:rFonts w:ascii="Liberation Sans" w:hAnsi="Liberation Sans" w:eastAsia="Liberation Sans" w:cs="Liberation Sans"/>
          <w:color w:val="374151"/>
          <w:sz w:val="20"/>
          <w:u w:val="none"/>
        </w:rPr>
        <w:t xml:space="preserve"> Building production ML systems requires interdisciplinary collaboration, but placing students in groups does not by itself teach them how to communicate and collaborate effectively, navigate disagreement, or hold each other accountable; like any complex s</w:t>
      </w:r>
      <w:r>
        <w:rPr>
          <w:rFonts w:ascii="Liberation Sans" w:hAnsi="Liberation Sans" w:eastAsia="Liberation Sans" w:cs="Liberation Sans"/>
          <w:color w:val="374151"/>
          <w:sz w:val="20"/>
          <w:u w:val="none"/>
        </w:rPr>
        <w:t xml:space="preserve">kill, collaboration must be deliberately scaffolded, practiced, and supported with feedback </w:t>
      </w:r>
      <w:hyperlink r:id="rId12" w:tooltip="https://paperpile.com/c/Ayl5wc/Sg10" w:history="1">
        <w:r>
          <w:rPr>
            <w:rStyle w:val="187"/>
            <w:rFonts w:ascii="Liberation Sans" w:hAnsi="Liberation Sans" w:eastAsia="Liberation Sans" w:cs="Liberation Sans"/>
            <w:color w:val="000000"/>
            <w:sz w:val="20"/>
            <w:u w:val="none"/>
          </w:rPr>
          <w:t xml:space="preserve">(Lovett et al. 2023)</w:t>
        </w:r>
      </w:hyperlink>
      <w:r>
        <w:rPr>
          <w:rFonts w:ascii="Liberation Sans" w:hAnsi="Liberation Sans" w:eastAsia="Liberation Sans" w:cs="Liberation Sans"/>
          <w:color w:val="374151"/>
          <w:sz w:val="20"/>
          <w:u w:val="none"/>
        </w:rPr>
        <w:t xml:space="preserve">. I follow established evidence-backed pedagogical practices </w:t>
      </w:r>
      <w:hyperlink r:id="rId13" w:tooltip="https://paperpile.com/c/Ayl5wc/lyDO+yvWz" w:history="1">
        <w:r>
          <w:rPr>
            <w:rStyle w:val="187"/>
            <w:rFonts w:ascii="Liberation Sans" w:hAnsi="Liberation Sans" w:eastAsia="Liberation Sans" w:cs="Liberation Sans"/>
            <w:color w:val="000000"/>
            <w:sz w:val="20"/>
            <w:u w:val="none"/>
          </w:rPr>
          <w:t xml:space="preserve">(Oakley et al. 2004; Stein and Hurd 2000)</w:t>
        </w:r>
      </w:hyperlink>
      <w:r>
        <w:rPr>
          <w:rFonts w:ascii="Liberation Sans" w:hAnsi="Liberation Sans" w:eastAsia="Liberation Sans" w:cs="Liberation Sans"/>
          <w:color w:val="374151"/>
          <w:sz w:val="20"/>
          <w:u w:val="none"/>
        </w:rPr>
        <w:t xml:space="preserve"> of instructor-assigned teams, deliberately combining students with contrasting ML and software engineering backgrounds for a semester-long project with multiple milestones. I give teams extensive flexibility, but require a team contract and peer evaluatio</w:t>
      </w:r>
      <w:r>
        <w:rPr>
          <w:rFonts w:ascii="Liberation Sans" w:hAnsi="Liberation Sans" w:eastAsia="Liberation Sans" w:cs="Liberation Sans"/>
          <w:color w:val="374151"/>
          <w:sz w:val="20"/>
          <w:u w:val="none"/>
        </w:rPr>
        <w:t xml:space="preserve">ns focused on </w:t>
      </w:r>
      <w:r>
        <w:rPr>
          <w:rFonts w:ascii="Liberation Sans" w:hAnsi="Liberation Sans" w:eastAsia="Liberation Sans" w:cs="Liberation Sans"/>
          <w:i/>
          <w:color w:val="374151"/>
          <w:sz w:val="20"/>
          <w:u w:val="none"/>
        </w:rPr>
        <w:t xml:space="preserve">team citizenship</w:t>
      </w:r>
      <w:r>
        <w:rPr>
          <w:rFonts w:ascii="Liberation Sans" w:hAnsi="Liberation Sans" w:eastAsia="Liberation Sans" w:cs="Liberation Sans"/>
          <w:color w:val="374151"/>
          <w:sz w:val="20"/>
          <w:u w:val="none"/>
        </w:rPr>
        <w:t xml:space="preserve">. I dedicate a full lecture early in the course to teamwork in student teams, where among others, I prepare students for eventual problems with a </w:t>
      </w:r>
      <w:r>
        <w:rPr>
          <w:rFonts w:ascii="Liberation Sans" w:hAnsi="Liberation Sans" w:eastAsia="Liberation Sans" w:cs="Liberation Sans"/>
          <w:i/>
          <w:color w:val="374151"/>
          <w:sz w:val="20"/>
          <w:u w:val="none"/>
        </w:rPr>
        <w:t xml:space="preserve">pre-mortem activity</w:t>
      </w:r>
      <w:r>
        <w:rPr>
          <w:rFonts w:ascii="Liberation Sans" w:hAnsi="Liberation Sans" w:eastAsia="Liberation Sans" w:cs="Liberation Sans"/>
          <w:color w:val="374151"/>
          <w:sz w:val="20"/>
          <w:u w:val="none"/>
        </w:rPr>
        <w:t xml:space="preserve"> in class </w:t>
      </w:r>
      <w:hyperlink r:id="rId14" w:tooltip="https://paperpile.com/c/Ayl5wc/3wrj" w:history="1">
        <w:r>
          <w:rPr>
            <w:rStyle w:val="187"/>
            <w:rFonts w:ascii="Liberation Sans" w:hAnsi="Liberation Sans" w:eastAsia="Liberation Sans" w:cs="Liberation Sans"/>
            <w:color w:val="000000"/>
            <w:sz w:val="20"/>
            <w:u w:val="none"/>
          </w:rPr>
          <w:t xml:space="preserve">(Veinott et al. 2010)</w:t>
        </w:r>
      </w:hyperlink>
      <w:r>
        <w:rPr>
          <w:rFonts w:ascii="Liberation Sans" w:hAnsi="Liberation Sans" w:eastAsia="Liberation Sans" w:cs="Liberation Sans"/>
          <w:color w:val="374151"/>
          <w:sz w:val="20"/>
          <w:u w:val="none"/>
        </w:rPr>
        <w:t xml:space="preserve"> and I explicitly practice handling conflict and having </w:t>
      </w:r>
      <w:r>
        <w:rPr>
          <w:rFonts w:ascii="Liberation Sans" w:hAnsi="Liberation Sans" w:eastAsia="Liberation Sans" w:cs="Liberation Sans"/>
          <w:i/>
          <w:color w:val="374151"/>
          <w:sz w:val="20"/>
          <w:u w:val="none"/>
        </w:rPr>
        <w:t xml:space="preserve">difficult conversations</w:t>
      </w:r>
      <w:r>
        <w:rPr>
          <w:rFonts w:ascii="Liberation Sans" w:hAnsi="Liberation Sans" w:eastAsia="Liberation Sans" w:cs="Liberation Sans"/>
          <w:color w:val="374151"/>
          <w:sz w:val="20"/>
          <w:u w:val="none"/>
        </w:rPr>
        <w:t xml:space="preserve"> in another activity </w:t>
      </w:r>
      <w:hyperlink r:id="rId15" w:tooltip="https://paperpile.com/c/Ayl5wc/Hy2r" w:history="1">
        <w:r>
          <w:rPr>
            <w:rStyle w:val="187"/>
            <w:rFonts w:ascii="Liberation Sans" w:hAnsi="Liberation Sans" w:eastAsia="Liberation Sans" w:cs="Liberation Sans"/>
            <w:color w:val="000000"/>
            <w:sz w:val="20"/>
            <w:u w:val="none"/>
          </w:rPr>
          <w:t xml:space="preserve">(Patton et al. 2021)</w:t>
        </w:r>
      </w:hyperlink>
      <w:r>
        <w:rPr>
          <w:rFonts w:ascii="Liberation Sans" w:hAnsi="Liberation Sans" w:eastAsia="Liberation Sans" w:cs="Liberation Sans"/>
          <w:color w:val="374151"/>
          <w:sz w:val="20"/>
          <w:u w:val="none"/>
        </w:rPr>
        <w:t xml:space="preserve">. I have developed a scalable mentoring infrastructure pairing each team with a TA as a mentor who debriefs on teamwork after every milestone. I train the TAs to encourage students to speak up about problems in their own teams and to moderate such discussi</w:t>
      </w:r>
      <w:r>
        <w:rPr>
          <w:rFonts w:ascii="Liberation Sans" w:hAnsi="Liberation Sans" w:eastAsia="Liberation Sans" w:cs="Liberation Sans"/>
          <w:color w:val="374151"/>
          <w:sz w:val="20"/>
          <w:u w:val="none"/>
        </w:rPr>
        <w:t xml:space="preserve">ons, building a safe space for students to experiment with strategies to address conflicts </w:t>
      </w:r>
      <w:hyperlink r:id="rId16" w:tooltip="https://paperpile.com/c/Ayl5wc/Sg10" w:history="1">
        <w:r>
          <w:rPr>
            <w:rStyle w:val="187"/>
            <w:rFonts w:ascii="Liberation Sans" w:hAnsi="Liberation Sans" w:eastAsia="Liberation Sans" w:cs="Liberation Sans"/>
            <w:color w:val="000000"/>
            <w:sz w:val="20"/>
            <w:u w:val="none"/>
          </w:rPr>
          <w:t xml:space="preserve">(Lovett et al. 2023)</w:t>
        </w:r>
      </w:hyperlink>
      <w:r>
        <w:rPr>
          <w:rFonts w:ascii="Liberation Sans" w:hAnsi="Liberation Sans" w:eastAsia="Liberation Sans" w:cs="Liberation Sans"/>
          <w:color w:val="374151"/>
          <w:sz w:val="20"/>
          <w:u w:val="none"/>
        </w:rPr>
        <w:t xml:space="preserve">. I designed many of these practices based on pedagogy literature and based on discussions with colleagues (both within the department and at Eberly center workshops).</w:t>
      </w:r>
      <w:r/>
    </w:p>
    <w:p w14:paraId="525507CC">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Liberation Sans" w:hAnsi="Liberation Sans" w:eastAsia="Liberation Sans" w:cs="Liberation Sans"/>
          <w:b/>
          <w:color w:val="374151"/>
          <w:sz w:val="20"/>
          <w:u w:val="none"/>
        </w:rPr>
        <w:t xml:space="preserve">Operating a system with environment interactions under production conditions.</w:t>
      </w:r>
      <w:r>
        <w:rPr>
          <w:rFonts w:ascii="Liberation Sans" w:hAnsi="Liberation Sans" w:eastAsia="Liberation Sans" w:cs="Liberation Sans"/>
          <w:color w:val="374151"/>
          <w:sz w:val="20"/>
          <w:u w:val="none"/>
        </w:rPr>
        <w:t xml:space="preserve"> A central design goal of the team project is to push beyond common benchmark evaluations or hackathon-style prototypes toward end-user products that must withstand production conditions, where the environment matters and mistakes have stakes. For the cent</w:t>
      </w:r>
      <w:r>
        <w:rPr>
          <w:rFonts w:ascii="Liberation Sans" w:hAnsi="Liberation Sans" w:eastAsia="Liberation Sans" w:cs="Liberation Sans"/>
          <w:color w:val="374151"/>
          <w:sz w:val="20"/>
          <w:u w:val="none"/>
        </w:rPr>
        <w:t xml:space="preserve">ral project, students build a movie recommendation service for a simulated Netflix-style streaming platform, extracting features from continuously growing log files rather than a static dataset, and deploying their service to serve up to 10 requests per se</w:t>
      </w:r>
      <w:r>
        <w:rPr>
          <w:rFonts w:ascii="Liberation Sans" w:hAnsi="Liberation Sans" w:eastAsia="Liberation Sans" w:cs="Liberation Sans"/>
          <w:color w:val="374151"/>
          <w:sz w:val="20"/>
          <w:u w:val="none"/>
        </w:rPr>
        <w:t xml:space="preserve">cond for most of the semester.  For many ML-focused students, this is their first encounter with latency, scalability, and the infrastructure required to update and monitor a live service. Because the simulator models 1,000,000 users whose preferences evol</w:t>
      </w:r>
      <w:r>
        <w:rPr>
          <w:rFonts w:ascii="Liberation Sans" w:hAnsi="Liberation Sans" w:eastAsia="Liberation Sans" w:cs="Liberation Sans"/>
          <w:color w:val="374151"/>
          <w:sz w:val="20"/>
          <w:u w:val="none"/>
        </w:rPr>
        <w:t xml:space="preserve">ve in response to recommendations, predictions have (possibly delayed) consequences, some with safety implications (e.g., recommending R rated movies to minors), many affecting operating costs.  In addition, the simulated environment allows us to inject de</w:t>
      </w:r>
      <w:r>
        <w:rPr>
          <w:rFonts w:ascii="Liberation Sans" w:hAnsi="Liberation Sans" w:eastAsia="Liberation Sans" w:cs="Liberation Sans"/>
          <w:color w:val="374151"/>
          <w:sz w:val="20"/>
          <w:u w:val="none"/>
        </w:rPr>
        <w:t xml:space="preserve">sirable difficulties </w:t>
      </w:r>
      <w:hyperlink r:id="rId17" w:tooltip="https://paperpile.com/c/Ayl5wc/JyJA" w:history="1">
        <w:r>
          <w:rPr>
            <w:rStyle w:val="187"/>
            <w:rFonts w:ascii="Liberation Sans" w:hAnsi="Liberation Sans" w:eastAsia="Liberation Sans" w:cs="Liberation Sans"/>
            <w:color w:val="000000"/>
            <w:sz w:val="20"/>
            <w:u w:val="none"/>
          </w:rPr>
          <w:t xml:space="preserve">(Bjork and Bjork 2011)</w:t>
        </w:r>
      </w:hyperlink>
      <w:r>
        <w:rPr>
          <w:rFonts w:ascii="Liberation Sans" w:hAnsi="Liberation Sans" w:eastAsia="Liberation Sans" w:cs="Liberation Sans"/>
          <w:color w:val="374151"/>
          <w:sz w:val="20"/>
          <w:u w:val="none"/>
        </w:rPr>
        <w:t xml:space="preserve"> such as data quality problems, load spikes, data poisoning attacks, and many other issues that do not matter when maximizing benchmarks but that they will likely face in real production systems.</w:t>
      </w:r>
      <w:r/>
    </w:p>
    <w:p w14:paraId="5A792400">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Liberation Sans" w:hAnsi="Liberation Sans" w:eastAsia="Liberation Sans" w:cs="Liberation Sans"/>
          <w:b/>
          <w:color w:val="374151"/>
          <w:sz w:val="20"/>
          <w:u w:val="none"/>
        </w:rPr>
        <w:t xml:space="preserve">Active learning and real-world cases at scale.</w:t>
      </w:r>
      <w:r>
        <w:rPr>
          <w:rFonts w:ascii="Liberation Sans" w:hAnsi="Liberation Sans" w:eastAsia="Liberation Sans" w:cs="Liberation Sans"/>
          <w:color w:val="374151"/>
          <w:sz w:val="20"/>
          <w:u w:val="none"/>
        </w:rPr>
        <w:t xml:space="preserve"> To anchor abstract concepts in practice, nearly every lecture revolves around a commercial ML-powered product, such as automated clinical notes, sidewalk delivery robots, and recidivism risk tools. In each lecture, we conduct at least one breakout activit</w:t>
      </w:r>
      <w:r>
        <w:rPr>
          <w:rFonts w:ascii="Liberation Sans" w:hAnsi="Liberation Sans" w:eastAsia="Liberation Sans" w:cs="Liberation Sans"/>
          <w:color w:val="374151"/>
          <w:sz w:val="20"/>
          <w:u w:val="none"/>
        </w:rPr>
        <w:t xml:space="preserve">y in which students apply the course material to a practical case. To scale activities to 100+ students in a classroom, we approximate the standard </w:t>
      </w:r>
      <w:r>
        <w:rPr>
          <w:rFonts w:ascii="Liberation Sans" w:hAnsi="Liberation Sans" w:eastAsia="Liberation Sans" w:cs="Liberation Sans"/>
          <w:i/>
          <w:color w:val="374151"/>
          <w:sz w:val="20"/>
          <w:u w:val="none"/>
        </w:rPr>
        <w:t xml:space="preserve">think-pair-share</w:t>
      </w:r>
      <w:r>
        <w:rPr>
          <w:rFonts w:ascii="Liberation Sans" w:hAnsi="Liberation Sans" w:eastAsia="Liberation Sans" w:cs="Liberation Sans"/>
          <w:color w:val="374151"/>
          <w:sz w:val="20"/>
          <w:u w:val="none"/>
        </w:rPr>
        <w:t xml:space="preserve"> format </w:t>
      </w:r>
      <w:hyperlink r:id="rId18" w:tooltip="https://paperpile.com/c/Ayl5wc/F4cC" w:history="1">
        <w:r>
          <w:rPr>
            <w:rStyle w:val="187"/>
            <w:rFonts w:ascii="Liberation Sans" w:hAnsi="Liberation Sans" w:eastAsia="Liberation Sans" w:cs="Liberation Sans"/>
            <w:color w:val="000000"/>
            <w:sz w:val="20"/>
            <w:u w:val="none"/>
          </w:rPr>
          <w:t xml:space="preserve">(Lyman 1981)</w:t>
        </w:r>
      </w:hyperlink>
      <w:r>
        <w:rPr>
          <w:rFonts w:ascii="Liberation Sans" w:hAnsi="Liberation Sans" w:eastAsia="Liberation Sans" w:cs="Liberation Sans"/>
          <w:color w:val="374151"/>
          <w:sz w:val="20"/>
          <w:u w:val="none"/>
        </w:rPr>
        <w:t xml:space="preserve">: Students discuss with neighbors, post their answers publicly to a Slack channel, and then debrief with the full class, which we facilitate by passing around a microphone. We also experiment with automated LLM-generated feedback on their answers in Slack.</w:t>
      </w:r>
      <w:r>
        <w:rPr>
          <w:rFonts w:ascii="Liberation Sans" w:hAnsi="Liberation Sans" w:eastAsia="Liberation Sans" w:cs="Liberation Sans"/>
          <w:color w:val="374151"/>
          <w:sz w:val="20"/>
          <w:u w:val="none"/>
        </w:rPr>
        <w:t xml:space="preserve"> These discussions surface and help correct misconceptions students bring from prior experience or coursework </w:t>
      </w:r>
      <w:hyperlink r:id="rId19" w:tooltip="https://paperpile.com/c/Ayl5wc/Sg10" w:history="1">
        <w:r>
          <w:rPr>
            <w:rStyle w:val="187"/>
            <w:rFonts w:ascii="Liberation Sans" w:hAnsi="Liberation Sans" w:eastAsia="Liberation Sans" w:cs="Liberation Sans"/>
            <w:color w:val="000000"/>
            <w:sz w:val="20"/>
            <w:u w:val="none"/>
          </w:rPr>
          <w:t xml:space="preserve">(Lovett et al. 2023)</w:t>
        </w:r>
      </w:hyperlink>
      <w:r>
        <w:rPr>
          <w:rFonts w:ascii="Liberation Sans" w:hAnsi="Liberation Sans" w:eastAsia="Liberation Sans" w:cs="Liberation Sans"/>
          <w:color w:val="374151"/>
          <w:sz w:val="20"/>
          <w:u w:val="none"/>
        </w:rPr>
        <w:t xml:space="preserve">, and they expose a spectrum of defensible answers rather than a single right one. Student feedback suggests that many students appreciate these activities and attend lectures in person to participate. We offer to grade participation based on these activit</w:t>
      </w:r>
      <w:r>
        <w:rPr>
          <w:rFonts w:ascii="Liberation Sans" w:hAnsi="Liberation Sans" w:eastAsia="Liberation Sans" w:cs="Liberation Sans"/>
          <w:color w:val="374151"/>
          <w:sz w:val="20"/>
          <w:u w:val="none"/>
        </w:rPr>
        <w:t xml:space="preserve">ies, though we make participation grading optional (opt-in) to support autonomy and commitment (Cullen and Oppenheimer 2024).</w:t>
      </w:r>
      <w:r/>
    </w:p>
    <w:p w14:paraId="3ACD8265">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Liberation Sans" w:hAnsi="Liberation Sans" w:eastAsia="Liberation Sans" w:cs="Liberation Sans"/>
          <w:b/>
          <w:color w:val="374151"/>
          <w:sz w:val="20"/>
          <w:u w:val="none"/>
        </w:rPr>
        <w:t xml:space="preserve">Specifications grading with a safety net.</w:t>
      </w:r>
      <w:r>
        <w:rPr>
          <w:rFonts w:ascii="Liberation Sans" w:hAnsi="Liberation Sans" w:eastAsia="Liberation Sans" w:cs="Liberation Sans"/>
          <w:color w:val="374151"/>
          <w:sz w:val="20"/>
          <w:u w:val="none"/>
        </w:rPr>
        <w:t xml:space="preserve"> I am a strong proponent of </w:t>
      </w:r>
      <w:r>
        <w:rPr>
          <w:rFonts w:ascii="Liberation Sans" w:hAnsi="Liberation Sans" w:eastAsia="Liberation Sans" w:cs="Liberation Sans"/>
          <w:i/>
          <w:color w:val="374151"/>
          <w:sz w:val="20"/>
          <w:u w:val="none"/>
        </w:rPr>
        <w:t xml:space="preserve">specifications grading</w:t>
      </w:r>
      <w:r>
        <w:rPr>
          <w:rFonts w:ascii="Liberation Sans" w:hAnsi="Liberation Sans" w:eastAsia="Liberation Sans" w:cs="Liberation Sans"/>
          <w:color w:val="374151"/>
          <w:sz w:val="20"/>
          <w:u w:val="none"/>
        </w:rPr>
        <w:t xml:space="preserve">, a contemporary alternative to traditional point-based grading in which students must meet a clear pass/fail specification for each deliverable </w:t>
      </w:r>
      <w:hyperlink r:id="rId20" w:tooltip="https://paperpile.com/c/Ayl5wc/fscL" w:history="1">
        <w:r>
          <w:rPr>
            <w:rStyle w:val="187"/>
            <w:rFonts w:ascii="Liberation Sans" w:hAnsi="Liberation Sans" w:eastAsia="Liberation Sans" w:cs="Liberation Sans"/>
            <w:color w:val="000000"/>
            <w:sz w:val="20"/>
            <w:u w:val="none"/>
          </w:rPr>
          <w:t xml:space="preserve">(Nilson 2015)</w:t>
        </w:r>
      </w:hyperlink>
      <w:r>
        <w:rPr>
          <w:rFonts w:ascii="Liberation Sans" w:hAnsi="Liberation Sans" w:eastAsia="Liberation Sans" w:cs="Liberation Sans"/>
          <w:color w:val="374151"/>
          <w:sz w:val="20"/>
          <w:u w:val="none"/>
        </w:rPr>
        <w:t xml:space="preserve">. I have adopted it in all my courses since 2019. Clear pass/fail criteria aligned to learning objectives set high, transparent standards; a token-based retry system provides flexibility and a safety net for failure; the scheme also reduces grading effort </w:t>
      </w:r>
      <w:r>
        <w:rPr>
          <w:rFonts w:ascii="Liberation Sans" w:hAnsi="Liberation Sans" w:eastAsia="Liberation Sans" w:cs="Liberation Sans"/>
          <w:color w:val="374151"/>
          <w:sz w:val="20"/>
          <w:u w:val="none"/>
        </w:rPr>
        <w:t xml:space="preserve">and makes grading more reliable and predictable. This design provides a safe space for learning, provides flexibility and additional support where needed, while grading for (eventual) content mastery, cf. also “grading for equity” </w:t>
      </w:r>
      <w:hyperlink r:id="rId21" w:tooltip="https://paperpile.com/c/Ayl5wc/R7OK" w:history="1">
        <w:r>
          <w:rPr>
            <w:rStyle w:val="187"/>
            <w:rFonts w:ascii="Liberation Sans" w:hAnsi="Liberation Sans" w:eastAsia="Liberation Sans" w:cs="Liberation Sans"/>
            <w:color w:val="000000"/>
            <w:sz w:val="20"/>
            <w:u w:val="none"/>
          </w:rPr>
          <w:t xml:space="preserve">(Feldman 2024)</w:t>
        </w:r>
      </w:hyperlink>
      <w:r>
        <w:rPr>
          <w:rFonts w:ascii="Liberation Sans" w:hAnsi="Liberation Sans" w:eastAsia="Liberation Sans" w:cs="Liberation Sans"/>
          <w:color w:val="374151"/>
          <w:sz w:val="20"/>
          <w:u w:val="none"/>
        </w:rPr>
        <w:t xml:space="preserve">. In </w:t>
      </w:r>
      <w:r>
        <w:rPr>
          <w:rFonts w:ascii="Liberation Sans" w:hAnsi="Liberation Sans" w:eastAsia="Liberation Sans" w:cs="Liberation Sans"/>
          <w:i/>
          <w:color w:val="374151"/>
          <w:sz w:val="20"/>
          <w:u w:val="none"/>
        </w:rPr>
        <w:t xml:space="preserve">ML in Production</w:t>
      </w:r>
      <w:r>
        <w:rPr>
          <w:rFonts w:ascii="Liberation Sans" w:hAnsi="Liberation Sans" w:eastAsia="Liberation Sans" w:cs="Liberation Sans"/>
          <w:color w:val="374151"/>
          <w:sz w:val="20"/>
          <w:u w:val="none"/>
        </w:rPr>
        <w:t xml:space="preserve">, I provide a fully transparent grading scheme with every assignment and implemented a token system for flexibility and retries, allowing me to direct learning </w:t>
      </w:r>
      <w:hyperlink r:id="rId22" w:tooltip="https://paperpile.com/c/Ayl5wc/hjlV" w:history="1">
        <w:r>
          <w:rPr>
            <w:rStyle w:val="187"/>
            <w:rFonts w:ascii="Liberation Sans" w:hAnsi="Liberation Sans" w:eastAsia="Liberation Sans" w:cs="Liberation Sans"/>
            <w:color w:val="000000"/>
            <w:sz w:val="20"/>
            <w:u w:val="none"/>
          </w:rPr>
          <w:t xml:space="preserve">(Biggs 1996)</w:t>
        </w:r>
      </w:hyperlink>
      <w:r>
        <w:rPr>
          <w:rFonts w:ascii="Liberation Sans" w:hAnsi="Liberation Sans" w:eastAsia="Liberation Sans" w:cs="Liberation Sans"/>
          <w:color w:val="374151"/>
          <w:sz w:val="20"/>
          <w:u w:val="none"/>
        </w:rPr>
        <w:t xml:space="preserve">, set standards, and fix the grade boundaries at the beginning of the semester.</w:t>
      </w:r>
      <w:r/>
    </w:p>
    <w:p w14:paraId="7EED1A3C">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Liberation Sans" w:hAnsi="Liberation Sans" w:eastAsia="Liberation Sans" w:cs="Liberation Sans"/>
          <w:b/>
          <w:color w:val="374151"/>
          <w:sz w:val="20"/>
          <w:u w:val="none"/>
        </w:rPr>
        <w:t xml:space="preserve">Conceptual grounding with applied practice.</w:t>
      </w:r>
      <w:r>
        <w:rPr>
          <w:rFonts w:ascii="Liberation Sans" w:hAnsi="Liberation Sans" w:eastAsia="Liberation Sans" w:cs="Liberation Sans"/>
          <w:color w:val="374151"/>
          <w:sz w:val="20"/>
          <w:u w:val="none"/>
        </w:rPr>
        <w:t xml:space="preserve"> Software engineering education often has a reputation for being abstract and vague, either not “mathy” enough or not applied enough. Rather than escaping to formalism or focusing on teaching tools only, I still try to convey foundational concepts in lectu</w:t>
      </w:r>
      <w:r>
        <w:rPr>
          <w:rFonts w:ascii="Liberation Sans" w:hAnsi="Liberation Sans" w:eastAsia="Liberation Sans" w:cs="Liberation Sans"/>
          <w:color w:val="374151"/>
          <w:sz w:val="20"/>
          <w:u w:val="none"/>
        </w:rPr>
        <w:t xml:space="preserve">res, such as requirements, tradeoff reasoning, safety thinking, and process – even if they are often social rather than formal. I emphasize and apply them through case studies to ground the material in reality, which is also the format I use for exams. At </w:t>
      </w:r>
      <w:r>
        <w:rPr>
          <w:rFonts w:ascii="Liberation Sans" w:hAnsi="Liberation Sans" w:eastAsia="Liberation Sans" w:cs="Liberation Sans"/>
          <w:color w:val="374151"/>
          <w:sz w:val="20"/>
          <w:u w:val="none"/>
        </w:rPr>
        <w:t xml:space="preserve">the same time, I match this with applied labs and projects, where students use state of the art tools like Apache Kafka, Weights &amp; Biases, and Grafana. Student feedback frequently cites the tooling and project experience as the deciding factor in successfu</w:t>
      </w:r>
      <w:r>
        <w:rPr>
          <w:rFonts w:ascii="Liberation Sans" w:hAnsi="Liberation Sans" w:eastAsia="Liberation Sans" w:cs="Liberation Sans"/>
          <w:color w:val="374151"/>
          <w:sz w:val="20"/>
          <w:u w:val="none"/>
        </w:rPr>
        <w:t xml:space="preserve">l interviews for ML engineering internships and jobs.</w:t>
      </w:r>
      <w:r/>
    </w:p>
    <w:p w14:paraId="156D65C6">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Liberation Sans" w:hAnsi="Liberation Sans" w:eastAsia="Liberation Sans" w:cs="Liberation Sans"/>
          <w:b/>
          <w:color w:val="374151"/>
          <w:sz w:val="20"/>
          <w:u w:val="none"/>
        </w:rPr>
        <w:t xml:space="preserve">Adapting to student AI use.</w:t>
      </w:r>
      <w:r>
        <w:rPr>
          <w:rFonts w:ascii="Liberation Sans" w:hAnsi="Liberation Sans" w:eastAsia="Liberation Sans" w:cs="Liberation Sans"/>
          <w:color w:val="374151"/>
          <w:sz w:val="20"/>
          <w:u w:val="none"/>
        </w:rPr>
        <w:t xml:space="preserve"> The common reaction to student’s AI use has been a retreat to in-person, high-stakes assessment, which throws out decades of evidence that feedback from frequent low-stakes assessment is what actually drives learning </w:t>
      </w:r>
      <w:hyperlink r:id="rId23" w:tooltip="https://paperpile.com/c/Ayl5wc/UAJg" w:history="1">
        <w:r>
          <w:rPr>
            <w:rStyle w:val="187"/>
            <w:rFonts w:ascii="Liberation Sans" w:hAnsi="Liberation Sans" w:eastAsia="Liberation Sans" w:cs="Liberation Sans"/>
            <w:color w:val="000000"/>
            <w:sz w:val="20"/>
            <w:u w:val="none"/>
          </w:rPr>
          <w:t xml:space="preserve">(Black and Wiliam 1998)</w:t>
        </w:r>
      </w:hyperlink>
      <w:r>
        <w:rPr>
          <w:rFonts w:ascii="Liberation Sans" w:hAnsi="Liberation Sans" w:eastAsia="Liberation Sans" w:cs="Liberation Sans"/>
          <w:color w:val="374151"/>
          <w:sz w:val="20"/>
          <w:u w:val="none"/>
        </w:rPr>
        <w:t xml:space="preserve">. AI use can certainly undermine learning when it short-circuits productive struggle </w:t>
      </w:r>
      <w:hyperlink r:id="rId24" w:tooltip="https://paperpile.com/c/Ayl5wc/umL0+ZNdp" w:history="1">
        <w:r>
          <w:rPr>
            <w:rStyle w:val="187"/>
            <w:rFonts w:ascii="Liberation Sans" w:hAnsi="Liberation Sans" w:eastAsia="Liberation Sans" w:cs="Liberation Sans"/>
            <w:color w:val="000000"/>
            <w:sz w:val="20"/>
            <w:u w:val="none"/>
          </w:rPr>
          <w:t xml:space="preserve">(Bastani et al. 2025; Handa et al. 2025)</w:t>
        </w:r>
      </w:hyperlink>
      <w:r>
        <w:rPr>
          <w:rFonts w:ascii="Liberation Sans" w:hAnsi="Liberation Sans" w:eastAsia="Liberation Sans" w:cs="Liberation Sans"/>
          <w:color w:val="374151"/>
          <w:sz w:val="20"/>
          <w:u w:val="none"/>
        </w:rPr>
        <w:t xml:space="preserve">, but banning it fails to prepare students for the real world. We explicitly permit AI use and focus instead on shaping what students do with it. Because most of our students will not build software engineering tools, I avoid software engineering tasks as </w:t>
      </w:r>
      <w:r>
        <w:rPr>
          <w:rFonts w:ascii="Liberation Sans" w:hAnsi="Liberation Sans" w:eastAsia="Liberation Sans" w:cs="Liberation Sans"/>
          <w:color w:val="374151"/>
          <w:sz w:val="20"/>
          <w:u w:val="none"/>
        </w:rPr>
        <w:t xml:space="preserve">case studies or assignments, and concentrate on end-user applications with a clear business case. As assignments solvable by current agents become trivial, we constantly adapt how we teach and assess learning and raise the floor, for example extending a ma</w:t>
      </w:r>
      <w:r>
        <w:rPr>
          <w:rFonts w:ascii="Liberation Sans" w:hAnsi="Liberation Sans" w:eastAsia="Liberation Sans" w:cs="Liberation Sans"/>
          <w:color w:val="374151"/>
          <w:sz w:val="20"/>
          <w:u w:val="none"/>
        </w:rPr>
        <w:t xml:space="preserve">ture 400 KLOC open source repository rather than a demo project; implementing hazard analysis to support a scalable analysis rather than performing it manually on a small example. We moved previously-written reflection questions to in-person checkpoints wi</w:t>
      </w:r>
      <w:r>
        <w:rPr>
          <w:rFonts w:ascii="Liberation Sans" w:hAnsi="Liberation Sans" w:eastAsia="Liberation Sans" w:cs="Liberation Sans"/>
          <w:color w:val="374151"/>
          <w:sz w:val="20"/>
          <w:u w:val="none"/>
        </w:rPr>
        <w:t xml:space="preserve">th a TA, and we find that team projects do useful work here too, since teammates hold each other accountable for understanding their own contributions. I watch the public discourse and talk with colleagues to continuously refine our approach</w:t>
      </w:r>
      <w:r/>
    </w:p>
    <w:p w14:paraId="7DD998F4">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Liberation Sans" w:hAnsi="Liberation Sans" w:eastAsia="Liberation Sans" w:cs="Liberation Sans"/>
          <w:b/>
          <w:color w:val="374151"/>
          <w:sz w:val="20"/>
          <w:u w:val="none"/>
        </w:rPr>
        <w:t xml:space="preserve">Shared teaching materials.</w:t>
      </w:r>
      <w:r>
        <w:rPr>
          <w:rFonts w:ascii="Liberation Sans" w:hAnsi="Liberation Sans" w:eastAsia="Liberation Sans" w:cs="Liberation Sans"/>
          <w:color w:val="374151"/>
          <w:sz w:val="20"/>
          <w:u w:val="none"/>
        </w:rPr>
        <w:t xml:space="preserve"> I make course materials publicly available and support other instructors and self-learners using them. This includes sharing slides, readings, and assignments (and even an annotated bibliography of relevant academic resources), as well as privately sharin</w:t>
      </w:r>
      <w:r>
        <w:rPr>
          <w:rFonts w:ascii="Liberation Sans" w:hAnsi="Liberation Sans" w:eastAsia="Liberation Sans" w:cs="Liberation Sans"/>
          <w:color w:val="374151"/>
          <w:sz w:val="20"/>
          <w:u w:val="none"/>
        </w:rPr>
        <w:t xml:space="preserve">g course infrastructure like the movie streaming simulator. I have released </w:t>
      </w:r>
      <w:r>
        <w:rPr>
          <w:rFonts w:ascii="Liberation Sans" w:hAnsi="Liberation Sans" w:eastAsia="Liberation Sans" w:cs="Liberation Sans"/>
          <w:i/>
          <w:color w:val="374151"/>
          <w:sz w:val="20"/>
          <w:u w:val="none"/>
        </w:rPr>
        <w:t xml:space="preserve">lecture recordings</w:t>
      </w:r>
      <w:r>
        <w:rPr>
          <w:rFonts w:ascii="Liberation Sans" w:hAnsi="Liberation Sans" w:eastAsia="Liberation Sans" w:cs="Liberation Sans"/>
          <w:color w:val="374151"/>
          <w:sz w:val="20"/>
          <w:u w:val="none"/>
        </w:rPr>
        <w:t xml:space="preserve"> of two offerings on YouTube, many of which have hundreds of views (the first lecture has over 6000 views). In 2020, we published an article about the first offering of the course to motivate teaching this content </w:t>
      </w:r>
      <w:hyperlink r:id="rId25" w:tooltip="https://paperpile.com/c/Ayl5wc/Az5r" w:history="1">
        <w:r>
          <w:rPr>
            <w:rStyle w:val="187"/>
            <w:rFonts w:ascii="Liberation Sans" w:hAnsi="Liberation Sans" w:eastAsia="Liberation Sans" w:cs="Liberation Sans"/>
            <w:color w:val="000000"/>
            <w:sz w:val="20"/>
            <w:u w:val="none"/>
          </w:rPr>
          <w:t xml:space="preserve">(Kästner and Kang 2020)</w:t>
        </w:r>
      </w:hyperlink>
      <w:r>
        <w:rPr>
          <w:rFonts w:ascii="Liberation Sans" w:hAnsi="Liberation Sans" w:eastAsia="Liberation Sans" w:cs="Liberation Sans"/>
          <w:color w:val="374151"/>
          <w:sz w:val="20"/>
          <w:u w:val="none"/>
        </w:rPr>
        <w:t xml:space="preserve"> and later I wrote a textbook corresponding to the course, published with MIT Press in 2025 under a Creative Commons license </w:t>
      </w:r>
      <w:hyperlink r:id="rId26" w:tooltip="https://paperpile.com/c/Ayl5wc/Kas0" w:history="1">
        <w:r>
          <w:rPr>
            <w:rStyle w:val="187"/>
            <w:rFonts w:ascii="Liberation Sans" w:hAnsi="Liberation Sans" w:eastAsia="Liberation Sans" w:cs="Liberation Sans"/>
            <w:color w:val="000000"/>
            <w:sz w:val="20"/>
            <w:u w:val="none"/>
          </w:rPr>
          <w:t xml:space="preserve">(Kästner 2025)</w:t>
        </w:r>
      </w:hyperlink>
      <w:r>
        <w:rPr>
          <w:rFonts w:ascii="Liberation Sans" w:hAnsi="Liberation Sans" w:eastAsia="Liberation Sans" w:cs="Liberation Sans"/>
          <w:color w:val="374151"/>
          <w:sz w:val="20"/>
          <w:u w:val="none"/>
        </w:rPr>
        <w:t xml:space="preserve">. I am aware of related courses adopting substantial portions of the material at McGill (Jin Guo), Toronto (Marsha Chechik), and Groningen (Daniel Feitosa); in addition, several universities have independently created related courses with a similar scope s</w:t>
      </w:r>
      <w:r>
        <w:rPr>
          <w:rFonts w:ascii="Liberation Sans" w:hAnsi="Liberation Sans" w:eastAsia="Liberation Sans" w:cs="Liberation Sans"/>
          <w:color w:val="374151"/>
          <w:sz w:val="20"/>
          <w:u w:val="none"/>
        </w:rPr>
        <w:t xml:space="preserve">ince, e.g., </w:t>
      </w:r>
      <w:hyperlink r:id="rId27" w:tooltip="https://paperpile.com/c/Ayl5wc/nEis+sKdh+enUy+Lj2A" w:history="1">
        <w:r>
          <w:rPr>
            <w:rStyle w:val="187"/>
            <w:rFonts w:ascii="Liberation Sans" w:hAnsi="Liberation Sans" w:eastAsia="Liberation Sans" w:cs="Liberation Sans"/>
            <w:color w:val="000000"/>
            <w:sz w:val="20"/>
            <w:u w:val="none"/>
          </w:rPr>
          <w:t xml:space="preserve">(Chenoweth and Linos 2025; Siegmund 2025; Costa 2022; Palomba et al. 2026)</w:t>
        </w:r>
      </w:hyperlink>
      <w:r>
        <w:rPr>
          <w:rFonts w:ascii="Liberation Sans" w:hAnsi="Liberation Sans" w:eastAsia="Liberation Sans" w:cs="Liberation Sans"/>
          <w:color w:val="374151"/>
          <w:sz w:val="20"/>
          <w:u w:val="none"/>
        </w:rPr>
        <w:t xml:space="preserve">.</w:t>
      </w:r>
      <w:r/>
    </w:p>
    <w:p w14:paraId="4DD424BB">
      <w:pPr>
        <w:pBdr/>
        <w:spacing/>
        <w:ind/>
        <w:rPr/>
      </w:pPr>
      <w:r/>
      <w:r/>
      <w:r/>
    </w:p>
    <w:p w14:paraId="2C01C3E9">
      <w:pPr>
        <w:pBdr/>
        <w:spacing/>
        <w:ind/>
        <w:rPr/>
      </w:pPr>
      <w:r/>
      <w:r/>
      <w:r/>
    </w:p>
    <w:p w14:paraId="205AD269">
      <w:pPr>
        <w:pBdr/>
        <w:spacing/>
        <w:ind/>
        <w:rPr/>
      </w:pPr>
      <w:r>
        <w:rPr>
          <w:highlight w:val="none"/>
        </w:rPr>
      </w:r>
      <w:r>
        <w:rPr>
          <w:highlight w:val="none"/>
        </w:rPr>
      </w:r>
      <w:r>
        <w:rPr>
          <w:highlight w:val="none"/>
        </w:rPr>
      </w:r>
    </w:p>
    <w:p w14:paraId="00000008" w14:textId="77777777">
      <w:pPr>
        <w:pBdr/>
        <w:spacing/>
        <w:ind/>
        <w:rPr/>
      </w:pPr>
      <w:r/>
      <w:r/>
    </w:p>
    <w:sectPr>
      <w:footerReference w:type="default" r:id="rId9"/>
      <w:footnotePr/>
      <w:endnotePr/>
      <w:type w:val="nextPage"/>
      <w:pgSz w:h="15840" w:orient="portrait" w:w="12240"/>
      <w:pgMar w:top="1440" w:right="1440" w:bottom="1440" w:left="144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5733C87" w14:textId="77777777">
      <w:pPr>
        <w:pBdr/>
        <w:spacing/>
        <w:ind/>
        <w:rPr/>
      </w:pPr>
      <w:r>
        <w:separator/>
      </w:r>
      <w:r/>
    </w:p>
  </w:endnote>
  <w:endnote w:type="continuationSeparator" w:id="0">
    <w:p w14:paraId="0C532266"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Georgia">
    <w:panose1 w:val="02020502060505020204"/>
  </w:font>
  <w:font w:name="Helvetica">
    <w:panose1 w:val="020B0604020202020204"/>
  </w:font>
  <w:font w:name="Times New Roman">
    <w:panose1 w:val="02020603050405020304"/>
  </w:font>
  <w:font w:name="Arial">
    <w:panose1 w:val="020B0604020202020204"/>
  </w:font>
  <w:font w:name="Times">
    <w:panose1 w:val="05040102010807070707"/>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09"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ind/>
      <w:rPr>
        <w:rFonts w:eastAsia="Times" w:cs="Times"/>
        <w:color w:val="000000"/>
        <w:szCs w:val="24"/>
      </w:rPr>
    </w:pPr>
    <w:r>
      <w:rPr>
        <w:rFonts w:eastAsia="Times" w:cs="Times"/>
        <w:color w:val="000000"/>
        <w:szCs w:val="24"/>
      </w:rPr>
    </w:r>
    <w:r>
      <w:rPr>
        <w:rFonts w:eastAsia="Times" w:cs="Times"/>
        <w:color w:val="000000"/>
        <w:szCs w:val="24"/>
      </w:rPr>
    </w:r>
  </w:p>
  <w:p w14:paraId="0000000A"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ind/>
      <w:rPr>
        <w:rFonts w:eastAsia="Times" w:cs="Times"/>
        <w:color w:val="000000"/>
        <w:szCs w:val="24"/>
      </w:rPr>
    </w:pPr>
    <w:r>
      <w:rPr>
        <w:rFonts w:eastAsia="Times" w:cs="Times"/>
        <w:color w:val="000000"/>
        <w:szCs w:val="24"/>
      </w:rPr>
    </w:r>
    <w:r>
      <w:rPr>
        <w:rFonts w:eastAsia="Times" w:cs="Times"/>
        <w:color w:val="000000"/>
        <w:szCs w:val="24"/>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23C5D95" w14:textId="77777777">
      <w:pPr>
        <w:pBdr/>
        <w:spacing/>
        <w:ind/>
        <w:rPr/>
      </w:pPr>
      <w:r>
        <w:separator/>
      </w:r>
      <w:r/>
    </w:p>
  </w:footnote>
  <w:footnote w:type="continuationSeparator" w:id="0">
    <w:p w14:paraId="102C0E04"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1169A4"/>
    <w:lvl w:ilvl="0">
      <w:isLgl w:val="false"/>
      <w:lvlJc w:val="left"/>
      <w:lvlText w:val="●"/>
      <w:numFmt w:val="bullet"/>
      <w:pPr>
        <w:pBdr/>
        <w:spacing/>
        <w:ind w:hanging="360" w:left="720"/>
      </w:pPr>
      <w:pStyle w:val="719"/>
      <w:rPr>
        <w:rFonts w:ascii="Arial" w:hAnsi="Arial" w:eastAsia="Arial" w:cs="Arial"/>
        <w:sz w:val="23"/>
        <w:szCs w:val="23"/>
        <w:u w:val="none"/>
      </w:rPr>
      <w:start w:val="1"/>
      <w:suff w:val="tab"/>
    </w:lvl>
    <w:lvl w:ilvl="1">
      <w:isLgl w:val="false"/>
      <w:lvlJc w:val="left"/>
      <w:lvlText w:val="○"/>
      <w:numFmt w:val="bullet"/>
      <w:pPr>
        <w:pBdr/>
        <w:spacing/>
        <w:ind w:hanging="360" w:left="1440"/>
      </w:pPr>
      <w:pStyle w:val="720"/>
      <w:rPr>
        <w:rFonts w:ascii="Arial" w:hAnsi="Arial" w:eastAsia="Arial" w:cs="Arial"/>
        <w:sz w:val="23"/>
        <w:szCs w:val="23"/>
        <w:u w:val="none"/>
      </w:rPr>
      <w:start w:val="1"/>
      <w:suff w:val="tab"/>
    </w:lvl>
    <w:lvl w:ilvl="2">
      <w:isLgl w:val="false"/>
      <w:lvlJc w:val="left"/>
      <w:lvlText w:val="■"/>
      <w:numFmt w:val="bullet"/>
      <w:pPr>
        <w:pBdr/>
        <w:spacing/>
        <w:ind w:hanging="360" w:left="2160"/>
      </w:pPr>
      <w:pStyle w:val="721"/>
      <w:rPr>
        <w:u w:val="none"/>
      </w:rPr>
      <w:start w:val="1"/>
      <w:suff w:val="tab"/>
    </w:lvl>
    <w:lvl w:ilvl="3">
      <w:isLgl w:val="false"/>
      <w:lvlJc w:val="left"/>
      <w:lvlText w:val="●"/>
      <w:numFmt w:val="bullet"/>
      <w:pPr>
        <w:pBdr/>
        <w:spacing/>
        <w:ind w:hanging="360" w:left="2880"/>
      </w:pPr>
      <w:pStyle w:val="722"/>
      <w:rPr>
        <w:u w:val="none"/>
      </w:rPr>
      <w:start w:val="1"/>
      <w:suff w:val="tab"/>
    </w:lvl>
    <w:lvl w:ilvl="4">
      <w:isLgl w:val="false"/>
      <w:lvlJc w:val="left"/>
      <w:lvlText w:val="○"/>
      <w:numFmt w:val="bullet"/>
      <w:pPr>
        <w:pBdr/>
        <w:spacing/>
        <w:ind w:hanging="360" w:left="3600"/>
      </w:pPr>
      <w:pStyle w:val="723"/>
      <w:rPr>
        <w:u w:val="none"/>
      </w:rPr>
      <w:start w:val="1"/>
      <w:suff w:val="tab"/>
    </w:lvl>
    <w:lvl w:ilvl="5">
      <w:isLgl w:val="false"/>
      <w:lvlJc w:val="left"/>
      <w:lvlText w:val="■"/>
      <w:numFmt w:val="bullet"/>
      <w:pPr>
        <w:pBdr/>
        <w:spacing/>
        <w:ind w:hanging="360" w:left="4320"/>
      </w:pPr>
      <w:pStyle w:val="724"/>
      <w:rPr>
        <w:u w:val="none"/>
      </w:rPr>
      <w:start w:val="1"/>
      <w:suff w:val="tab"/>
    </w:lvl>
    <w:lvl w:ilvl="6">
      <w:isLgl w:val="false"/>
      <w:lvlJc w:val="left"/>
      <w:lvlText w:val="●"/>
      <w:numFmt w:val="bullet"/>
      <w:pPr>
        <w:pBdr/>
        <w:spacing/>
        <w:ind w:hanging="360" w:left="5040"/>
      </w:pPr>
      <w:pStyle w:val="725"/>
      <w:rPr>
        <w:u w:val="none"/>
      </w:rPr>
      <w:start w:val="1"/>
      <w:suff w:val="tab"/>
    </w:lvl>
    <w:lvl w:ilvl="7">
      <w:isLgl w:val="false"/>
      <w:lvlJc w:val="left"/>
      <w:lvlText w:val="○"/>
      <w:numFmt w:val="bullet"/>
      <w:pPr>
        <w:pBdr/>
        <w:spacing/>
        <w:ind w:hanging="360" w:left="5760"/>
      </w:pPr>
      <w:pStyle w:val="726"/>
      <w:rPr>
        <w:u w:val="none"/>
      </w:rPr>
      <w:start w:val="1"/>
      <w:suff w:val="tab"/>
    </w:lvl>
    <w:lvl w:ilvl="8">
      <w:isLgl w:val="false"/>
      <w:lvlJc w:val="left"/>
      <w:lvlText w:val="■"/>
      <w:numFmt w:val="bullet"/>
      <w:pPr>
        <w:pBdr/>
        <w:spacing/>
        <w:ind w:hanging="360" w:left="6480"/>
      </w:pPr>
      <w:pStyle w:val="727"/>
      <w:rPr>
        <w:u w:val="none"/>
      </w:rPr>
      <w:start w:val="1"/>
      <w:suff w:val="tab"/>
    </w:lvl>
  </w:abstractNum>
  <w:abstractNum w:abstractNumId="1">
    <w:nsid w:val="4C616E72"/>
    <w:lvl w:ilvl="0">
      <w:isLgl w:val="false"/>
      <w:lvlJc w:val="left"/>
      <w:lvlText w:val="%1."/>
      <w:numFmt w:val="decimal"/>
      <w:pPr>
        <w:pBdr/>
        <w:tabs>
          <w:tab w:val="num" w:leader="none" w:pos="720"/>
        </w:tabs>
        <w:spacing/>
        <w:ind w:hanging="720" w:left="720"/>
      </w:pPr>
      <w:pStyle w:val="750"/>
      <w:rPr/>
      <w:start w:val="1"/>
      <w:suff w:val="tab"/>
    </w:lvl>
    <w:lvl w:ilvl="1">
      <w:isLgl w:val="false"/>
      <w:lvlJc w:val="left"/>
      <w:lvlText w:val="%2."/>
      <w:numFmt w:val="decimal"/>
      <w:pPr>
        <w:pBdr/>
        <w:tabs>
          <w:tab w:val="num" w:leader="none" w:pos="1440"/>
        </w:tabs>
        <w:spacing/>
        <w:ind w:hanging="720" w:left="1440"/>
      </w:pPr>
      <w:rPr/>
      <w:start w:val="1"/>
      <w:suff w:val="tab"/>
    </w:lvl>
    <w:lvl w:ilvl="2">
      <w:isLgl w:val="false"/>
      <w:lvlJc w:val="left"/>
      <w:lvlText w:val="%3."/>
      <w:numFmt w:val="decimal"/>
      <w:pPr>
        <w:pBdr/>
        <w:tabs>
          <w:tab w:val="num" w:leader="none" w:pos="2160"/>
        </w:tabs>
        <w:spacing/>
        <w:ind w:hanging="720" w:left="2160"/>
      </w:pPr>
      <w:rPr/>
      <w:start w:val="1"/>
      <w:suff w:val="tab"/>
    </w:lvl>
    <w:lvl w:ilvl="3">
      <w:isLgl w:val="false"/>
      <w:lvlJc w:val="left"/>
      <w:lvlText w:val="%4."/>
      <w:numFmt w:val="decimal"/>
      <w:pPr>
        <w:pBdr/>
        <w:tabs>
          <w:tab w:val="num" w:leader="none" w:pos="2880"/>
        </w:tabs>
        <w:spacing/>
        <w:ind w:hanging="720" w:left="2880"/>
      </w:pPr>
      <w:rPr/>
      <w:start w:val="1"/>
      <w:suff w:val="tab"/>
    </w:lvl>
    <w:lvl w:ilvl="4">
      <w:isLgl w:val="false"/>
      <w:lvlJc w:val="left"/>
      <w:lvlText w:val="%5."/>
      <w:numFmt w:val="decimal"/>
      <w:pPr>
        <w:pBdr/>
        <w:tabs>
          <w:tab w:val="num" w:leader="none" w:pos="3600"/>
        </w:tabs>
        <w:spacing/>
        <w:ind w:hanging="720" w:left="3600"/>
      </w:pPr>
      <w:rPr/>
      <w:start w:val="1"/>
      <w:suff w:val="tab"/>
    </w:lvl>
    <w:lvl w:ilvl="5">
      <w:isLgl w:val="false"/>
      <w:lvlJc w:val="left"/>
      <w:lvlText w:val="%6."/>
      <w:numFmt w:val="decimal"/>
      <w:pPr>
        <w:pBdr/>
        <w:tabs>
          <w:tab w:val="num" w:leader="none" w:pos="4320"/>
        </w:tabs>
        <w:spacing/>
        <w:ind w:hanging="720" w:left="4320"/>
      </w:pPr>
      <w:rPr/>
      <w:start w:val="1"/>
      <w:suff w:val="tab"/>
    </w:lvl>
    <w:lvl w:ilvl="6">
      <w:isLgl w:val="false"/>
      <w:lvlJc w:val="left"/>
      <w:lvlText w:val="%7."/>
      <w:numFmt w:val="decimal"/>
      <w:pPr>
        <w:pBdr/>
        <w:tabs>
          <w:tab w:val="num" w:leader="none" w:pos="5040"/>
        </w:tabs>
        <w:spacing/>
        <w:ind w:hanging="720" w:left="5040"/>
      </w:pPr>
      <w:rPr/>
      <w:start w:val="1"/>
      <w:suff w:val="tab"/>
    </w:lvl>
    <w:lvl w:ilvl="7">
      <w:isLgl w:val="false"/>
      <w:lvlJc w:val="left"/>
      <w:lvlText w:val="%8."/>
      <w:numFmt w:val="decimal"/>
      <w:pPr>
        <w:pBdr/>
        <w:tabs>
          <w:tab w:val="num" w:leader="none" w:pos="5760"/>
        </w:tabs>
        <w:spacing/>
        <w:ind w:hanging="720" w:left="5760"/>
      </w:pPr>
      <w:rPr/>
      <w:start w:val="1"/>
      <w:suff w:val="tab"/>
    </w:lvl>
    <w:lvl w:ilvl="8">
      <w:isLgl w:val="false"/>
      <w:lvlJc w:val="left"/>
      <w:lvlText w:val="%9."/>
      <w:numFmt w:val="decimal"/>
      <w:pPr>
        <w:pBdr/>
        <w:tabs>
          <w:tab w:val="num" w:leader="none" w:pos="6480"/>
        </w:tabs>
        <w:spacing/>
        <w:ind w:hanging="720" w:left="6480"/>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w:hAnsi="Times" w:eastAsia="Times" w:cs="Times"/>
        <w:sz w:val="24"/>
        <w:szCs w:val="24"/>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2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2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2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2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2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2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60">
    <w:name w:val="Title Char"/>
    <w:basedOn w:val="728"/>
    <w:link w:val="731"/>
    <w:uiPriority w:val="10"/>
    <w:pPr>
      <w:pBdr/>
      <w:spacing/>
      <w:ind/>
    </w:pPr>
    <w:rPr>
      <w:rFonts w:ascii="Arial" w:hAnsi="Arial" w:eastAsia="Arial" w:cs="Arial"/>
      <w:spacing w:val="-10"/>
      <w:sz w:val="56"/>
      <w:szCs w:val="56"/>
    </w:rPr>
  </w:style>
  <w:style w:type="character" w:styleId="162">
    <w:name w:val="Subtitle Char"/>
    <w:basedOn w:val="728"/>
    <w:link w:val="752"/>
    <w:uiPriority w:val="11"/>
    <w:pPr>
      <w:pBdr/>
      <w:spacing/>
      <w:ind/>
    </w:pPr>
    <w:rPr>
      <w:color w:val="595959" w:themeColor="text1" w:themeTint="A6"/>
      <w:spacing w:val="15"/>
      <w:sz w:val="28"/>
      <w:szCs w:val="28"/>
    </w:rPr>
  </w:style>
  <w:style w:type="paragraph" w:styleId="163">
    <w:name w:val="Quote"/>
    <w:basedOn w:val="718"/>
    <w:next w:val="718"/>
    <w:link w:val="164"/>
    <w:uiPriority w:val="29"/>
    <w:qFormat/>
    <w:pPr>
      <w:pBdr/>
      <w:spacing w:before="160"/>
      <w:ind/>
      <w:jc w:val="center"/>
    </w:pPr>
    <w:rPr>
      <w:i/>
      <w:iCs/>
      <w:color w:val="404040" w:themeColor="text1" w:themeTint="BF"/>
    </w:rPr>
  </w:style>
  <w:style w:type="character" w:styleId="164">
    <w:name w:val="Quote Char"/>
    <w:basedOn w:val="728"/>
    <w:link w:val="163"/>
    <w:uiPriority w:val="29"/>
    <w:pPr>
      <w:pBdr/>
      <w:spacing/>
      <w:ind/>
    </w:pPr>
    <w:rPr>
      <w:i/>
      <w:iCs/>
      <w:color w:val="404040" w:themeColor="text1" w:themeTint="BF"/>
    </w:rPr>
  </w:style>
  <w:style w:type="paragraph" w:styleId="165">
    <w:name w:val="List Paragraph"/>
    <w:basedOn w:val="718"/>
    <w:uiPriority w:val="34"/>
    <w:qFormat/>
    <w:pPr>
      <w:pBdr/>
      <w:spacing/>
      <w:ind w:left="720"/>
      <w:contextualSpacing w:val="true"/>
    </w:pPr>
  </w:style>
  <w:style w:type="character" w:styleId="166">
    <w:name w:val="Intense Emphasis"/>
    <w:basedOn w:val="728"/>
    <w:uiPriority w:val="21"/>
    <w:qFormat/>
    <w:pPr>
      <w:pBdr/>
      <w:spacing/>
      <w:ind/>
    </w:pPr>
    <w:rPr>
      <w:i/>
      <w:iCs/>
      <w:color w:val="0f4761" w:themeColor="accent1" w:themeShade="BF"/>
    </w:rPr>
  </w:style>
  <w:style w:type="paragraph" w:styleId="167">
    <w:name w:val="Intense Quote"/>
    <w:basedOn w:val="718"/>
    <w:next w:val="71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28"/>
    <w:link w:val="167"/>
    <w:uiPriority w:val="30"/>
    <w:pPr>
      <w:pBdr/>
      <w:spacing/>
      <w:ind/>
    </w:pPr>
    <w:rPr>
      <w:i/>
      <w:iCs/>
      <w:color w:val="0f4761" w:themeColor="accent1" w:themeShade="BF"/>
    </w:rPr>
  </w:style>
  <w:style w:type="character" w:styleId="169">
    <w:name w:val="Intense Reference"/>
    <w:basedOn w:val="728"/>
    <w:uiPriority w:val="32"/>
    <w:qFormat/>
    <w:pPr>
      <w:pBdr/>
      <w:spacing/>
      <w:ind/>
    </w:pPr>
    <w:rPr>
      <w:b/>
      <w:bCs/>
      <w:smallCaps/>
      <w:color w:val="0f4761" w:themeColor="accent1" w:themeShade="BF"/>
      <w:spacing w:val="5"/>
    </w:rPr>
  </w:style>
  <w:style w:type="paragraph" w:styleId="170">
    <w:name w:val="No Spacing"/>
    <w:basedOn w:val="718"/>
    <w:uiPriority w:val="1"/>
    <w:qFormat/>
    <w:pPr>
      <w:pBdr/>
      <w:spacing w:after="0" w:line="240" w:lineRule="auto"/>
      <w:ind/>
    </w:pPr>
  </w:style>
  <w:style w:type="character" w:styleId="171">
    <w:name w:val="Subtle Emphasis"/>
    <w:basedOn w:val="728"/>
    <w:uiPriority w:val="19"/>
    <w:qFormat/>
    <w:pPr>
      <w:pBdr/>
      <w:spacing/>
      <w:ind/>
    </w:pPr>
    <w:rPr>
      <w:i/>
      <w:iCs/>
      <w:color w:val="404040" w:themeColor="text1" w:themeTint="BF"/>
    </w:rPr>
  </w:style>
  <w:style w:type="character" w:styleId="172">
    <w:name w:val="Emphasis"/>
    <w:basedOn w:val="728"/>
    <w:uiPriority w:val="20"/>
    <w:qFormat/>
    <w:pPr>
      <w:pBdr/>
      <w:spacing/>
      <w:ind/>
    </w:pPr>
    <w:rPr>
      <w:i/>
      <w:iCs/>
    </w:rPr>
  </w:style>
  <w:style w:type="character" w:styleId="173">
    <w:name w:val="Strong"/>
    <w:basedOn w:val="728"/>
    <w:uiPriority w:val="22"/>
    <w:qFormat/>
    <w:pPr>
      <w:pBdr/>
      <w:spacing/>
      <w:ind/>
    </w:pPr>
    <w:rPr>
      <w:b/>
      <w:bCs/>
    </w:rPr>
  </w:style>
  <w:style w:type="character" w:styleId="174">
    <w:name w:val="Subtle Reference"/>
    <w:basedOn w:val="728"/>
    <w:uiPriority w:val="31"/>
    <w:qFormat/>
    <w:pPr>
      <w:pBdr/>
      <w:spacing/>
      <w:ind/>
    </w:pPr>
    <w:rPr>
      <w:smallCaps/>
      <w:color w:val="5a5a5a" w:themeColor="text1" w:themeTint="A5"/>
    </w:rPr>
  </w:style>
  <w:style w:type="character" w:styleId="175">
    <w:name w:val="Book Title"/>
    <w:basedOn w:val="728"/>
    <w:uiPriority w:val="33"/>
    <w:qFormat/>
    <w:pPr>
      <w:pBdr/>
      <w:spacing/>
      <w:ind/>
    </w:pPr>
    <w:rPr>
      <w:b/>
      <w:bCs/>
      <w:i/>
      <w:iCs/>
      <w:spacing w:val="5"/>
    </w:rPr>
  </w:style>
  <w:style w:type="paragraph" w:styleId="180">
    <w:name w:val="Caption"/>
    <w:basedOn w:val="718"/>
    <w:next w:val="718"/>
    <w:uiPriority w:val="35"/>
    <w:unhideWhenUsed/>
    <w:qFormat/>
    <w:pPr>
      <w:pBdr/>
      <w:spacing w:after="200" w:line="240" w:lineRule="auto"/>
      <w:ind/>
    </w:pPr>
    <w:rPr>
      <w:i/>
      <w:iCs/>
      <w:color w:val="0e2841" w:themeColor="text2"/>
      <w:sz w:val="18"/>
      <w:szCs w:val="18"/>
    </w:rPr>
  </w:style>
  <w:style w:type="paragraph" w:styleId="181">
    <w:name w:val="footnote text"/>
    <w:basedOn w:val="718"/>
    <w:link w:val="182"/>
    <w:uiPriority w:val="99"/>
    <w:semiHidden/>
    <w:unhideWhenUsed/>
    <w:pPr>
      <w:pBdr/>
      <w:spacing w:after="0" w:line="240" w:lineRule="auto"/>
      <w:ind/>
    </w:pPr>
    <w:rPr>
      <w:sz w:val="20"/>
      <w:szCs w:val="20"/>
    </w:rPr>
  </w:style>
  <w:style w:type="character" w:styleId="182">
    <w:name w:val="Footnote Text Char"/>
    <w:basedOn w:val="728"/>
    <w:link w:val="181"/>
    <w:uiPriority w:val="99"/>
    <w:semiHidden/>
    <w:pPr>
      <w:pBdr/>
      <w:spacing/>
      <w:ind/>
    </w:pPr>
    <w:rPr>
      <w:sz w:val="20"/>
      <w:szCs w:val="20"/>
    </w:rPr>
  </w:style>
  <w:style w:type="character" w:styleId="183">
    <w:name w:val="footnote reference"/>
    <w:basedOn w:val="728"/>
    <w:uiPriority w:val="99"/>
    <w:semiHidden/>
    <w:unhideWhenUsed/>
    <w:pPr>
      <w:pBdr/>
      <w:spacing/>
      <w:ind/>
    </w:pPr>
    <w:rPr>
      <w:vertAlign w:val="superscript"/>
    </w:rPr>
  </w:style>
  <w:style w:type="paragraph" w:styleId="184">
    <w:name w:val="endnote text"/>
    <w:basedOn w:val="718"/>
    <w:link w:val="185"/>
    <w:uiPriority w:val="99"/>
    <w:semiHidden/>
    <w:unhideWhenUsed/>
    <w:pPr>
      <w:pBdr/>
      <w:spacing w:after="0" w:line="240" w:lineRule="auto"/>
      <w:ind/>
    </w:pPr>
    <w:rPr>
      <w:sz w:val="20"/>
      <w:szCs w:val="20"/>
    </w:rPr>
  </w:style>
  <w:style w:type="character" w:styleId="185">
    <w:name w:val="Endnote Text Char"/>
    <w:basedOn w:val="728"/>
    <w:link w:val="184"/>
    <w:uiPriority w:val="99"/>
    <w:semiHidden/>
    <w:pPr>
      <w:pBdr/>
      <w:spacing/>
      <w:ind/>
    </w:pPr>
    <w:rPr>
      <w:sz w:val="20"/>
      <w:szCs w:val="20"/>
    </w:rPr>
  </w:style>
  <w:style w:type="character" w:styleId="186">
    <w:name w:val="endnote reference"/>
    <w:basedOn w:val="728"/>
    <w:uiPriority w:val="99"/>
    <w:semiHidden/>
    <w:unhideWhenUsed/>
    <w:pPr>
      <w:pBdr/>
      <w:spacing/>
      <w:ind/>
    </w:pPr>
    <w:rPr>
      <w:vertAlign w:val="superscript"/>
    </w:rPr>
  </w:style>
  <w:style w:type="character" w:styleId="187">
    <w:name w:val="Hyperlink"/>
    <w:basedOn w:val="728"/>
    <w:uiPriority w:val="99"/>
    <w:unhideWhenUsed/>
    <w:pPr>
      <w:pBdr/>
      <w:spacing/>
      <w:ind/>
    </w:pPr>
    <w:rPr>
      <w:color w:val="0563c1" w:themeColor="hyperlink"/>
      <w:u w:val="single"/>
    </w:rPr>
  </w:style>
  <w:style w:type="character" w:styleId="188">
    <w:name w:val="FollowedHyperlink"/>
    <w:basedOn w:val="728"/>
    <w:uiPriority w:val="99"/>
    <w:semiHidden/>
    <w:unhideWhenUsed/>
    <w:pPr>
      <w:pBdr/>
      <w:spacing/>
      <w:ind/>
    </w:pPr>
    <w:rPr>
      <w:color w:val="954f72" w:themeColor="followedHyperlink"/>
      <w:u w:val="single"/>
    </w:rPr>
  </w:style>
  <w:style w:type="paragraph" w:styleId="189">
    <w:name w:val="toc 1"/>
    <w:basedOn w:val="718"/>
    <w:next w:val="718"/>
    <w:uiPriority w:val="39"/>
    <w:unhideWhenUsed/>
    <w:pPr>
      <w:pBdr/>
      <w:spacing w:after="100"/>
      <w:ind/>
    </w:pPr>
  </w:style>
  <w:style w:type="paragraph" w:styleId="190">
    <w:name w:val="toc 2"/>
    <w:basedOn w:val="718"/>
    <w:next w:val="718"/>
    <w:uiPriority w:val="39"/>
    <w:unhideWhenUsed/>
    <w:pPr>
      <w:pBdr/>
      <w:spacing w:after="100"/>
      <w:ind w:left="220"/>
    </w:pPr>
  </w:style>
  <w:style w:type="paragraph" w:styleId="191">
    <w:name w:val="toc 3"/>
    <w:basedOn w:val="718"/>
    <w:next w:val="718"/>
    <w:uiPriority w:val="39"/>
    <w:unhideWhenUsed/>
    <w:pPr>
      <w:pBdr/>
      <w:spacing w:after="100"/>
      <w:ind w:left="440"/>
    </w:pPr>
  </w:style>
  <w:style w:type="paragraph" w:styleId="192">
    <w:name w:val="toc 4"/>
    <w:basedOn w:val="718"/>
    <w:next w:val="718"/>
    <w:uiPriority w:val="39"/>
    <w:unhideWhenUsed/>
    <w:pPr>
      <w:pBdr/>
      <w:spacing w:after="100"/>
      <w:ind w:left="660"/>
    </w:pPr>
  </w:style>
  <w:style w:type="paragraph" w:styleId="193">
    <w:name w:val="toc 5"/>
    <w:basedOn w:val="718"/>
    <w:next w:val="718"/>
    <w:uiPriority w:val="39"/>
    <w:unhideWhenUsed/>
    <w:pPr>
      <w:pBdr/>
      <w:spacing w:after="100"/>
      <w:ind w:left="880"/>
    </w:pPr>
  </w:style>
  <w:style w:type="paragraph" w:styleId="194">
    <w:name w:val="toc 6"/>
    <w:basedOn w:val="718"/>
    <w:next w:val="718"/>
    <w:uiPriority w:val="39"/>
    <w:unhideWhenUsed/>
    <w:pPr>
      <w:pBdr/>
      <w:spacing w:after="100"/>
      <w:ind w:left="1100"/>
    </w:pPr>
  </w:style>
  <w:style w:type="paragraph" w:styleId="195">
    <w:name w:val="toc 7"/>
    <w:basedOn w:val="718"/>
    <w:next w:val="718"/>
    <w:uiPriority w:val="39"/>
    <w:unhideWhenUsed/>
    <w:pPr>
      <w:pBdr/>
      <w:spacing w:after="100"/>
      <w:ind w:left="1320"/>
    </w:pPr>
  </w:style>
  <w:style w:type="paragraph" w:styleId="196">
    <w:name w:val="toc 8"/>
    <w:basedOn w:val="718"/>
    <w:next w:val="718"/>
    <w:uiPriority w:val="39"/>
    <w:unhideWhenUsed/>
    <w:pPr>
      <w:pBdr/>
      <w:spacing w:after="100"/>
      <w:ind w:left="1540"/>
    </w:pPr>
  </w:style>
  <w:style w:type="paragraph" w:styleId="197">
    <w:name w:val="toc 9"/>
    <w:basedOn w:val="718"/>
    <w:next w:val="718"/>
    <w:uiPriority w:val="39"/>
    <w:unhideWhenUsed/>
    <w:pPr>
      <w:pBdr/>
      <w:spacing w:after="100"/>
      <w:ind w:left="1760"/>
    </w:pPr>
  </w:style>
  <w:style w:type="character" w:styleId="198">
    <w:name w:val="Placeholder Text"/>
    <w:basedOn w:val="72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18"/>
    <w:next w:val="718"/>
    <w:uiPriority w:val="99"/>
    <w:unhideWhenUsed/>
    <w:pPr>
      <w:pBdr/>
      <w:spacing w:after="0" w:afterAutospacing="0"/>
      <w:ind/>
    </w:pPr>
  </w:style>
  <w:style w:type="paragraph" w:styleId="718" w:default="1">
    <w:name w:val="Normal"/>
    <w:qFormat/>
    <w:pPr>
      <w:pBdr/>
      <w:spacing/>
      <w:ind/>
    </w:pPr>
    <w:rPr>
      <w:rFonts w:eastAsia="Times New Roman" w:cs="Times New Roman"/>
      <w:szCs w:val="20"/>
    </w:rPr>
  </w:style>
  <w:style w:type="paragraph" w:styleId="719">
    <w:name w:val="Heading 1"/>
    <w:basedOn w:val="718"/>
    <w:next w:val="718"/>
    <w:link w:val="738"/>
    <w:qFormat/>
    <w:pPr>
      <w:keepNext w:val="true"/>
      <w:numPr>
        <w:numId w:val="1"/>
      </w:numPr>
      <w:pBdr/>
      <w:spacing w:after="60" w:before="240"/>
      <w:ind/>
      <w:jc w:val="center"/>
      <w:outlineLvl w:val="0"/>
    </w:pPr>
    <w:rPr>
      <w:b/>
      <w:caps/>
      <w:sz w:val="28"/>
    </w:rPr>
  </w:style>
  <w:style w:type="paragraph" w:styleId="720">
    <w:name w:val="Heading 2"/>
    <w:basedOn w:val="718"/>
    <w:next w:val="718"/>
    <w:link w:val="739"/>
    <w:qFormat/>
    <w:pPr>
      <w:keepNext w:val="true"/>
      <w:numPr>
        <w:ilvl w:val="1"/>
        <w:numId w:val="1"/>
      </w:numPr>
      <w:pBdr/>
      <w:spacing w:after="60" w:before="240"/>
      <w:ind/>
      <w:outlineLvl w:val="1"/>
    </w:pPr>
    <w:rPr>
      <w:rFonts w:ascii="Helvetica" w:hAnsi="Helvetica"/>
      <w:b/>
      <w:i/>
    </w:rPr>
  </w:style>
  <w:style w:type="paragraph" w:styleId="721">
    <w:name w:val="Heading 3"/>
    <w:basedOn w:val="718"/>
    <w:next w:val="718"/>
    <w:link w:val="740"/>
    <w:qFormat/>
    <w:pPr>
      <w:keepNext w:val="true"/>
      <w:numPr>
        <w:ilvl w:val="2"/>
        <w:numId w:val="1"/>
      </w:numPr>
      <w:pBdr/>
      <w:spacing w:after="60" w:before="240"/>
      <w:ind/>
      <w:outlineLvl w:val="2"/>
    </w:pPr>
    <w:rPr>
      <w:b/>
    </w:rPr>
  </w:style>
  <w:style w:type="paragraph" w:styleId="722">
    <w:name w:val="Heading 4"/>
    <w:basedOn w:val="718"/>
    <w:next w:val="718"/>
    <w:link w:val="741"/>
    <w:qFormat/>
    <w:pPr>
      <w:keepNext w:val="true"/>
      <w:numPr>
        <w:ilvl w:val="3"/>
        <w:numId w:val="1"/>
      </w:numPr>
      <w:pBdr/>
      <w:spacing w:after="60" w:before="240"/>
      <w:ind/>
      <w:outlineLvl w:val="3"/>
    </w:pPr>
    <w:rPr>
      <w:b/>
      <w:i/>
    </w:rPr>
  </w:style>
  <w:style w:type="paragraph" w:styleId="723">
    <w:name w:val="Heading 5"/>
    <w:basedOn w:val="718"/>
    <w:next w:val="718"/>
    <w:link w:val="742"/>
    <w:qFormat/>
    <w:pPr>
      <w:numPr>
        <w:ilvl w:val="4"/>
        <w:numId w:val="1"/>
      </w:numPr>
      <w:pBdr/>
      <w:spacing w:after="60" w:before="240"/>
      <w:ind/>
      <w:outlineLvl w:val="4"/>
    </w:pPr>
    <w:rPr>
      <w:rFonts w:ascii="Helvetica" w:hAnsi="Helvetica"/>
      <w:sz w:val="22"/>
    </w:rPr>
  </w:style>
  <w:style w:type="paragraph" w:styleId="724">
    <w:name w:val="Heading 6"/>
    <w:basedOn w:val="718"/>
    <w:next w:val="718"/>
    <w:link w:val="743"/>
    <w:qFormat/>
    <w:pPr>
      <w:numPr>
        <w:ilvl w:val="5"/>
        <w:numId w:val="1"/>
      </w:numPr>
      <w:pBdr/>
      <w:spacing w:after="60" w:before="240"/>
      <w:ind/>
      <w:outlineLvl w:val="5"/>
    </w:pPr>
    <w:rPr>
      <w:rFonts w:ascii="Helvetica" w:hAnsi="Helvetica"/>
      <w:i/>
      <w:sz w:val="22"/>
    </w:rPr>
  </w:style>
  <w:style w:type="paragraph" w:styleId="725">
    <w:name w:val="Heading 7"/>
    <w:basedOn w:val="718"/>
    <w:next w:val="718"/>
    <w:link w:val="744"/>
    <w:qFormat/>
    <w:pPr>
      <w:numPr>
        <w:ilvl w:val="6"/>
        <w:numId w:val="1"/>
      </w:numPr>
      <w:pBdr/>
      <w:spacing w:after="60" w:before="240"/>
      <w:ind/>
      <w:outlineLvl w:val="6"/>
    </w:pPr>
    <w:rPr>
      <w:rFonts w:ascii="Helvetica" w:hAnsi="Helvetica"/>
      <w:sz w:val="20"/>
    </w:rPr>
  </w:style>
  <w:style w:type="paragraph" w:styleId="726">
    <w:name w:val="Heading 8"/>
    <w:basedOn w:val="718"/>
    <w:next w:val="718"/>
    <w:link w:val="745"/>
    <w:qFormat/>
    <w:pPr>
      <w:numPr>
        <w:ilvl w:val="7"/>
        <w:numId w:val="1"/>
      </w:numPr>
      <w:pBdr/>
      <w:spacing w:after="60" w:before="240"/>
      <w:ind/>
      <w:outlineLvl w:val="7"/>
    </w:pPr>
    <w:rPr>
      <w:rFonts w:ascii="Helvetica" w:hAnsi="Helvetica"/>
      <w:i/>
      <w:sz w:val="20"/>
    </w:rPr>
  </w:style>
  <w:style w:type="paragraph" w:styleId="727">
    <w:name w:val="Heading 9"/>
    <w:basedOn w:val="718"/>
    <w:next w:val="718"/>
    <w:link w:val="746"/>
    <w:qFormat/>
    <w:pPr>
      <w:numPr>
        <w:ilvl w:val="8"/>
        <w:numId w:val="1"/>
      </w:numPr>
      <w:pBdr/>
      <w:spacing w:after="60" w:before="240"/>
      <w:ind/>
      <w:outlineLvl w:val="8"/>
    </w:pPr>
    <w:rPr>
      <w:rFonts w:ascii="Helvetica" w:hAnsi="Helvetica"/>
      <w:i/>
      <w:sz w:val="18"/>
    </w:rPr>
  </w:style>
  <w:style w:type="character" w:styleId="728" w:default="1">
    <w:name w:val="Default Paragraph Font"/>
    <w:uiPriority w:val="1"/>
    <w:semiHidden/>
    <w:unhideWhenUsed/>
    <w:pPr>
      <w:pBdr/>
      <w:spacing/>
      <w:ind/>
    </w:pPr>
  </w:style>
  <w:style w:type="table" w:styleId="72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0" w:default="1">
    <w:name w:val="No List"/>
    <w:uiPriority w:val="99"/>
    <w:semiHidden/>
    <w:unhideWhenUsed/>
    <w:pPr>
      <w:pBdr/>
      <w:spacing/>
      <w:ind/>
    </w:pPr>
  </w:style>
  <w:style w:type="paragraph" w:styleId="731">
    <w:name w:val="Title"/>
    <w:basedOn w:val="718"/>
    <w:next w:val="718"/>
    <w:pPr>
      <w:keepNext w:val="true"/>
      <w:keepLines w:val="true"/>
      <w:pBdr/>
      <w:spacing w:after="120" w:before="480"/>
      <w:ind/>
    </w:pPr>
    <w:rPr>
      <w:b/>
      <w:sz w:val="72"/>
      <w:szCs w:val="72"/>
    </w:rPr>
  </w:style>
  <w:style w:type="paragraph" w:styleId="732">
    <w:name w:val="Body Text Indent"/>
    <w:basedOn w:val="718"/>
    <w:link w:val="733"/>
    <w:pPr>
      <w:pBdr/>
      <w:tabs>
        <w:tab w:val="right" w:leader="none" w:pos="720"/>
        <w:tab w:val="left" w:leader="none" w:pos="1080"/>
      </w:tabs>
      <w:spacing w:before="240"/>
      <w:ind w:hanging="994" w:left="1080"/>
    </w:pPr>
    <w:rPr>
      <w:caps/>
    </w:rPr>
  </w:style>
  <w:style w:type="character" w:styleId="733" w:customStyle="1">
    <w:name w:val="Body Text Indent Char"/>
    <w:basedOn w:val="728"/>
    <w:link w:val="732"/>
    <w:pPr>
      <w:pBdr/>
      <w:spacing/>
      <w:ind/>
    </w:pPr>
    <w:rPr>
      <w:rFonts w:ascii="Times" w:hAnsi="Times" w:eastAsia="Times New Roman" w:cs="Times New Roman"/>
      <w:caps/>
      <w:szCs w:val="20"/>
    </w:rPr>
  </w:style>
  <w:style w:type="paragraph" w:styleId="734">
    <w:name w:val="Header"/>
    <w:basedOn w:val="718"/>
    <w:link w:val="735"/>
    <w:uiPriority w:val="99"/>
    <w:unhideWhenUsed/>
    <w:pPr>
      <w:pBdr/>
      <w:tabs>
        <w:tab w:val="center" w:leader="none" w:pos="4680"/>
        <w:tab w:val="right" w:leader="none" w:pos="9360"/>
      </w:tabs>
      <w:spacing/>
      <w:ind/>
    </w:pPr>
  </w:style>
  <w:style w:type="character" w:styleId="735" w:customStyle="1">
    <w:name w:val="Header Char"/>
    <w:basedOn w:val="728"/>
    <w:link w:val="734"/>
    <w:uiPriority w:val="99"/>
    <w:pPr>
      <w:pBdr/>
      <w:spacing/>
      <w:ind/>
    </w:pPr>
    <w:rPr>
      <w:rFonts w:ascii="Times" w:hAnsi="Times" w:eastAsia="Times New Roman" w:cs="Times New Roman"/>
      <w:szCs w:val="20"/>
    </w:rPr>
  </w:style>
  <w:style w:type="paragraph" w:styleId="736">
    <w:name w:val="Footer"/>
    <w:basedOn w:val="718"/>
    <w:link w:val="737"/>
    <w:unhideWhenUsed/>
    <w:pPr>
      <w:pBdr/>
      <w:tabs>
        <w:tab w:val="center" w:leader="none" w:pos="4680"/>
        <w:tab w:val="right" w:leader="none" w:pos="9360"/>
      </w:tabs>
      <w:spacing/>
      <w:ind/>
    </w:pPr>
  </w:style>
  <w:style w:type="character" w:styleId="737" w:customStyle="1">
    <w:name w:val="Footer Char"/>
    <w:basedOn w:val="728"/>
    <w:link w:val="736"/>
    <w:uiPriority w:val="99"/>
    <w:pPr>
      <w:pBdr/>
      <w:spacing/>
      <w:ind/>
    </w:pPr>
    <w:rPr>
      <w:rFonts w:ascii="Times" w:hAnsi="Times" w:eastAsia="Times New Roman" w:cs="Times New Roman"/>
      <w:szCs w:val="20"/>
    </w:rPr>
  </w:style>
  <w:style w:type="character" w:styleId="738" w:customStyle="1">
    <w:name w:val="Heading 1 Char"/>
    <w:basedOn w:val="728"/>
    <w:link w:val="719"/>
    <w:pPr>
      <w:pBdr/>
      <w:spacing/>
      <w:ind/>
    </w:pPr>
    <w:rPr>
      <w:rFonts w:ascii="Times" w:hAnsi="Times" w:eastAsia="Times New Roman" w:cs="Times New Roman"/>
      <w:b/>
      <w:caps/>
      <w:sz w:val="28"/>
      <w:szCs w:val="20"/>
    </w:rPr>
  </w:style>
  <w:style w:type="character" w:styleId="739" w:customStyle="1">
    <w:name w:val="Heading 2 Char"/>
    <w:basedOn w:val="728"/>
    <w:link w:val="720"/>
    <w:pPr>
      <w:pBdr/>
      <w:spacing/>
      <w:ind/>
    </w:pPr>
    <w:rPr>
      <w:rFonts w:ascii="Helvetica" w:hAnsi="Helvetica" w:eastAsia="Times New Roman" w:cs="Times New Roman"/>
      <w:b/>
      <w:i/>
      <w:szCs w:val="20"/>
    </w:rPr>
  </w:style>
  <w:style w:type="character" w:styleId="740" w:customStyle="1">
    <w:name w:val="Heading 3 Char"/>
    <w:basedOn w:val="728"/>
    <w:link w:val="721"/>
    <w:pPr>
      <w:pBdr/>
      <w:spacing/>
      <w:ind/>
    </w:pPr>
    <w:rPr>
      <w:rFonts w:ascii="Times" w:hAnsi="Times" w:eastAsia="Times New Roman" w:cs="Times New Roman"/>
      <w:b/>
      <w:szCs w:val="20"/>
    </w:rPr>
  </w:style>
  <w:style w:type="character" w:styleId="741" w:customStyle="1">
    <w:name w:val="Heading 4 Char"/>
    <w:basedOn w:val="728"/>
    <w:link w:val="722"/>
    <w:pPr>
      <w:pBdr/>
      <w:spacing/>
      <w:ind/>
    </w:pPr>
    <w:rPr>
      <w:rFonts w:ascii="Times" w:hAnsi="Times" w:eastAsia="Times New Roman" w:cs="Times New Roman"/>
      <w:b/>
      <w:i/>
      <w:szCs w:val="20"/>
    </w:rPr>
  </w:style>
  <w:style w:type="character" w:styleId="742" w:customStyle="1">
    <w:name w:val="Heading 5 Char"/>
    <w:basedOn w:val="728"/>
    <w:link w:val="723"/>
    <w:pPr>
      <w:pBdr/>
      <w:spacing/>
      <w:ind/>
    </w:pPr>
    <w:rPr>
      <w:rFonts w:ascii="Helvetica" w:hAnsi="Helvetica" w:eastAsia="Times New Roman" w:cs="Times New Roman"/>
      <w:sz w:val="22"/>
      <w:szCs w:val="20"/>
    </w:rPr>
  </w:style>
  <w:style w:type="character" w:styleId="743" w:customStyle="1">
    <w:name w:val="Heading 6 Char"/>
    <w:basedOn w:val="728"/>
    <w:link w:val="724"/>
    <w:pPr>
      <w:pBdr/>
      <w:spacing/>
      <w:ind/>
    </w:pPr>
    <w:rPr>
      <w:rFonts w:ascii="Helvetica" w:hAnsi="Helvetica" w:eastAsia="Times New Roman" w:cs="Times New Roman"/>
      <w:i/>
      <w:sz w:val="22"/>
      <w:szCs w:val="20"/>
    </w:rPr>
  </w:style>
  <w:style w:type="character" w:styleId="744" w:customStyle="1">
    <w:name w:val="Heading 7 Char"/>
    <w:basedOn w:val="728"/>
    <w:link w:val="725"/>
    <w:pPr>
      <w:pBdr/>
      <w:spacing/>
      <w:ind/>
    </w:pPr>
    <w:rPr>
      <w:rFonts w:ascii="Helvetica" w:hAnsi="Helvetica" w:eastAsia="Times New Roman" w:cs="Times New Roman"/>
      <w:sz w:val="20"/>
      <w:szCs w:val="20"/>
    </w:rPr>
  </w:style>
  <w:style w:type="character" w:styleId="745" w:customStyle="1">
    <w:name w:val="Heading 8 Char"/>
    <w:basedOn w:val="728"/>
    <w:link w:val="726"/>
    <w:pPr>
      <w:pBdr/>
      <w:spacing/>
      <w:ind/>
    </w:pPr>
    <w:rPr>
      <w:rFonts w:ascii="Helvetica" w:hAnsi="Helvetica" w:eastAsia="Times New Roman" w:cs="Times New Roman"/>
      <w:i/>
      <w:sz w:val="20"/>
      <w:szCs w:val="20"/>
    </w:rPr>
  </w:style>
  <w:style w:type="character" w:styleId="746" w:customStyle="1">
    <w:name w:val="Heading 9 Char"/>
    <w:basedOn w:val="728"/>
    <w:link w:val="727"/>
    <w:pPr>
      <w:pBdr/>
      <w:spacing/>
      <w:ind/>
    </w:pPr>
    <w:rPr>
      <w:rFonts w:ascii="Helvetica" w:hAnsi="Helvetica" w:eastAsia="Times New Roman" w:cs="Times New Roman"/>
      <w:i/>
      <w:sz w:val="18"/>
      <w:szCs w:val="20"/>
    </w:rPr>
  </w:style>
  <w:style w:type="character" w:styleId="747">
    <w:name w:val="page number"/>
    <w:basedOn w:val="728"/>
    <w:pPr>
      <w:pBdr/>
      <w:spacing/>
      <w:ind/>
    </w:pPr>
  </w:style>
  <w:style w:type="paragraph" w:styleId="748">
    <w:name w:val="Body Text"/>
    <w:basedOn w:val="718"/>
    <w:link w:val="749"/>
    <w:uiPriority w:val="99"/>
    <w:semiHidden/>
    <w:unhideWhenUsed/>
    <w:pPr>
      <w:pBdr/>
      <w:spacing w:after="120"/>
      <w:ind/>
    </w:pPr>
  </w:style>
  <w:style w:type="character" w:styleId="749" w:customStyle="1">
    <w:name w:val="Body Text Char"/>
    <w:basedOn w:val="728"/>
    <w:link w:val="748"/>
    <w:uiPriority w:val="99"/>
    <w:semiHidden/>
    <w:pPr>
      <w:pBdr/>
      <w:spacing/>
      <w:ind/>
    </w:pPr>
    <w:rPr>
      <w:rFonts w:ascii="Times" w:hAnsi="Times" w:eastAsia="Times New Roman" w:cs="Times New Roman"/>
      <w:szCs w:val="20"/>
    </w:rPr>
  </w:style>
  <w:style w:type="paragraph" w:styleId="750" w:customStyle="1">
    <w:name w:val="indent list"/>
    <w:basedOn w:val="718"/>
    <w:pPr>
      <w:numPr>
        <w:numId w:val="2"/>
      </w:numPr>
      <w:pBdr/>
      <w:spacing/>
      <w:ind/>
    </w:pPr>
    <w:rPr>
      <w:sz w:val="20"/>
    </w:rPr>
  </w:style>
  <w:style w:type="paragraph" w:styleId="751" w:customStyle="1">
    <w:name w:val="SubSection Header"/>
    <w:basedOn w:val="718"/>
    <w:pPr>
      <w:pBdr/>
      <w:spacing w:after="80" w:before="240"/>
      <w:ind/>
    </w:pPr>
    <w:rPr>
      <w:b/>
      <w:caps/>
    </w:rPr>
  </w:style>
  <w:style w:type="paragraph" w:styleId="752">
    <w:name w:val="Subtitle"/>
    <w:basedOn w:val="718"/>
    <w:next w:val="718"/>
    <w:pPr>
      <w:keepNext w:val="true"/>
      <w:keepLines w:val="true"/>
      <w:pBdr/>
      <w:spacing w:after="80" w:before="360"/>
      <w:ind/>
    </w:pPr>
    <w:rPr>
      <w:rFonts w:ascii="Georgia" w:hAnsi="Georgia" w:eastAsia="Georgia" w:cs="Georgia"/>
      <w:i/>
      <w:color w:val="666666"/>
      <w:sz w:val="48"/>
      <w:szCs w:val="48"/>
    </w:rPr>
  </w:style>
  <w:style w:type="paragraph" w:styleId="753">
    <w:name w:val="Body Text 2"/>
    <w:basedOn w:val="718"/>
    <w:link w:val="754"/>
    <w:uiPriority w:val="99"/>
    <w:unhideWhenUsed/>
    <w:pPr>
      <w:pBdr/>
      <w:spacing w:after="120" w:line="480" w:lineRule="auto"/>
      <w:ind/>
    </w:pPr>
  </w:style>
  <w:style w:type="character" w:styleId="754" w:customStyle="1">
    <w:name w:val="Body Text 2 Char"/>
    <w:basedOn w:val="728"/>
    <w:link w:val="753"/>
    <w:uiPriority w:val="99"/>
    <w:pPr>
      <w:pBdr/>
      <w:spacing/>
      <w:ind/>
    </w:pPr>
    <w:rPr>
      <w:rFonts w:eastAsia="Times New Roman" w:cs="Times New Roman"/>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hyperlink" Target="https://paperpile.com/c/Ayl5wc/Kas0" TargetMode="External"/><Relationship Id="rId12" Type="http://schemas.openxmlformats.org/officeDocument/2006/relationships/hyperlink" Target="https://paperpile.com/c/Ayl5wc/Sg10" TargetMode="External"/><Relationship Id="rId13" Type="http://schemas.openxmlformats.org/officeDocument/2006/relationships/hyperlink" Target="https://paperpile.com/c/Ayl5wc/lyDO+yvWz" TargetMode="External"/><Relationship Id="rId14" Type="http://schemas.openxmlformats.org/officeDocument/2006/relationships/hyperlink" Target="https://paperpile.com/c/Ayl5wc/3wrj" TargetMode="External"/><Relationship Id="rId15" Type="http://schemas.openxmlformats.org/officeDocument/2006/relationships/hyperlink" Target="https://paperpile.com/c/Ayl5wc/Hy2r" TargetMode="External"/><Relationship Id="rId16" Type="http://schemas.openxmlformats.org/officeDocument/2006/relationships/hyperlink" Target="https://paperpile.com/c/Ayl5wc/Sg10" TargetMode="External"/><Relationship Id="rId17" Type="http://schemas.openxmlformats.org/officeDocument/2006/relationships/hyperlink" Target="https://paperpile.com/c/Ayl5wc/JyJA" TargetMode="External"/><Relationship Id="rId18" Type="http://schemas.openxmlformats.org/officeDocument/2006/relationships/hyperlink" Target="https://paperpile.com/c/Ayl5wc/F4cC" TargetMode="External"/><Relationship Id="rId19" Type="http://schemas.openxmlformats.org/officeDocument/2006/relationships/hyperlink" Target="https://paperpile.com/c/Ayl5wc/Sg10" TargetMode="External"/><Relationship Id="rId20" Type="http://schemas.openxmlformats.org/officeDocument/2006/relationships/hyperlink" Target="https://paperpile.com/c/Ayl5wc/fscL" TargetMode="External"/><Relationship Id="rId21" Type="http://schemas.openxmlformats.org/officeDocument/2006/relationships/hyperlink" Target="https://paperpile.com/c/Ayl5wc/R7OK" TargetMode="External"/><Relationship Id="rId22" Type="http://schemas.openxmlformats.org/officeDocument/2006/relationships/hyperlink" Target="https://paperpile.com/c/Ayl5wc/hjlV" TargetMode="External"/><Relationship Id="rId23" Type="http://schemas.openxmlformats.org/officeDocument/2006/relationships/hyperlink" Target="https://paperpile.com/c/Ayl5wc/UAJg" TargetMode="External"/><Relationship Id="rId24" Type="http://schemas.openxmlformats.org/officeDocument/2006/relationships/hyperlink" Target="https://paperpile.com/c/Ayl5wc/umL0+ZNdp" TargetMode="External"/><Relationship Id="rId25" Type="http://schemas.openxmlformats.org/officeDocument/2006/relationships/hyperlink" Target="https://paperpile.com/c/Ayl5wc/Az5r" TargetMode="External"/><Relationship Id="rId26" Type="http://schemas.openxmlformats.org/officeDocument/2006/relationships/hyperlink" Target="https://paperpile.com/c/Ayl5wc/Kas0" TargetMode="External"/><Relationship Id="rId27" Type="http://schemas.openxmlformats.org/officeDocument/2006/relationships/hyperlink" Target="https://paperpile.com/c/Ayl5wc/nEis+sKdh+enUy+Lj2A"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FOYQAct7zWVH4Z8KzdarBeQ87g==">AMUW2mVKXRIbqdUuKabdlpqNwOrN+HF3uos9PCM9JgE6Dn4yzD7I/8vPnA1+RVzW/pAOsbJiYc42pUxrLodvdv4SxIjqQP0xlSgqBFm2gy7wiFftLIAgG0nZcPWjadBPmGOrBM4GEidnnsB0lfUR2kj5Q6VkQhE93A==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Carnegie Mellon University</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 Frollini</dc:creator>
  <cp:revision>3</cp:revision>
  <dcterms:created xsi:type="dcterms:W3CDTF">2025-05-20T13:13:00Z</dcterms:created>
  <dcterms:modified xsi:type="dcterms:W3CDTF">2026-06-10T21:36:50Z</dcterms:modified>
</cp:coreProperties>
</file>