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Altersvorsorgedepot ab 2027 | Berater-Informationen</w:t>
      </w:r>
    </w:p>
    <w:p>
      <w:pPr>
        <w:pStyle w:val="Heading1"/>
      </w:pPr>
      <w:r>
        <w:t>Die Reform der privaten Altersvorsorge</w:t>
      </w:r>
    </w:p>
    <w:p>
      <w:r>
        <w:t>Das Altersvorsorgedepot löst ab</w:t>
        <w:br/>
        <w:t xml:space="preserve">        2027 die Riester-Rente ab. Informieren Sie sich hier über die neuen Rahmenbedingungen, das</w:t>
        <w:br/>
        <w:t xml:space="preserve">        angepasste Fördermodell und die unterschiedlichen Produktvarianten für Ihre Mandanten.</w:t>
      </w:r>
    </w:p>
    <w:p>
      <w:pPr>
        <w:pStyle w:val="Heading2"/>
      </w:pPr>
      <w:r>
        <w:t>Die drei Anlagewege im Überblick</w:t>
      </w:r>
    </w:p>
    <w:p>
      <w:r>
        <w:t>Der Gesetzgeber rückt von der</w:t>
        <w:br/>
        <w:t xml:space="preserve">        pauschalen Garantiepflicht ab und ermöglicht künftig eine stärkere Kapitalmarktorientierung. Mandanten können je</w:t>
        <w:br/>
        <w:t xml:space="preserve">        nach Risikoneigung und Vorwissen aus folgenden Wegen wählen:</w:t>
      </w:r>
    </w:p>
    <w:p>
      <w:pPr>
        <w:pStyle w:val="Heading3"/>
      </w:pPr>
      <w:r>
        <w:t>Standarddepot</w:t>
      </w:r>
    </w:p>
    <w:p>
      <w:r>
        <w:t>Kostengünstiges Standardprodukt mit gedeckelten Effektivkosten von 1 % und eingeschränkter Fondsauswahl.</w:t>
        <w:br/>
        <w:t xml:space="preserve">            Die Möglichkeit der Eigenheimrente steht hier voraussichtlich auch nicht zur Verfügung. Der Staat wird in</w:t>
        <w:br/>
        <w:t xml:space="preserve">            diesem Bereich auch ein Produkt anbieten.</w:t>
      </w:r>
    </w:p>
    <w:p>
      <w:pPr>
        <w:pStyle w:val="Heading3"/>
      </w:pPr>
      <w:r>
        <w:t>Altersvorsorgedepot</w:t>
      </w:r>
    </w:p>
    <w:p>
      <w:r>
        <w:t>Für renditeorientierte Anleger, die ihre Anlage (z.B. ETFs, Aktienfonds) selbst bestimmen möchten. Es gibt</w:t>
        <w:br/>
        <w:t xml:space="preserve">            keine Beitragsgarantie (0 %), wodurch die vollen Renditechancen des Kapitalmarkts genutzt werden können, bei</w:t>
        <w:br/>
        <w:t xml:space="preserve">            entsprechendem Risiko von Kursschwankungen.</w:t>
      </w:r>
    </w:p>
    <w:p>
      <w:pPr>
        <w:pStyle w:val="Heading3"/>
      </w:pPr>
      <w:r>
        <w:t>Garantieprodukte</w:t>
      </w:r>
    </w:p>
    <w:p>
      <w:r>
        <w:t>Für sicherheitsorientierte Anleger bleiben Produkte mit Beitragsgarantien bestehen. Mandanten können sich</w:t>
        <w:br/>
        <w:t xml:space="preserve">            hier beispielsweise für Garantieniveaus von 80 % oder 100 % entscheiden. Höhere Garantien gehen naturgemäß</w:t>
        <w:br/>
        <w:t xml:space="preserve">            mit geringeren Renditeerwartungen einher.</w:t>
      </w:r>
    </w:p>
    <w:p>
      <w:pPr>
        <w:pStyle w:val="Heading2"/>
      </w:pPr>
      <w:r>
        <w:t>Die neue Zulagensystematik</w:t>
      </w:r>
    </w:p>
    <w:p>
      <w:r>
        <w:t>Gestaffeltes Modell, bei dem sich die Zulage am</w:t>
        <w:br/>
        <w:t xml:space="preserve">          Eigenbeitrag orientiert.</w:t>
      </w:r>
    </w:p>
    <w:p>
      <w:r>
        <w:t>Das neue Fördermodell ist gestaffelt und orientiert sich am Eigenbeitrag und nicht mehr am</w:t>
        <w:br/>
        <w:t xml:space="preserve">          Vorjahresbruttoeinkommen, so wie das bei der Riester-Rente der Fall war. Die erste Förderstufe begünstigt</w:t>
        <w:br/>
        <w:t xml:space="preserve">          gezielt die ersten 30 € des monatlichen Eigenbeitrags.</w:t>
        <w:br/>
        <w:t xml:space="preserve">          Hier erreicht das neue System die höchste relative Förderquote.</w:t>
      </w:r>
    </w:p>
    <w:p>
      <w:r>
        <w:t>Stufe 1: Bis 360 € / Jahr (30 € / Monat) | Fördersatz: 50 Cent pro Euro | + max. 180 €</w:t>
      </w:r>
    </w:p>
    <w:p>
      <w:r>
        <w:t>Stufe 2: Weitere 1.440 € / Jahr | Fördersatz: 25 Cent pro Euro | + max. 360 €</w:t>
      </w:r>
    </w:p>
    <w:p>
      <w:r>
        <w:t>Maximale jährliche Grundzulage | 540 €</w:t>
      </w:r>
    </w:p>
    <w:p>
      <w:pPr>
        <w:pStyle w:val="Heading4"/>
      </w:pPr>
      <w:r>
        <w:t>Zusätzliche Zulagen</w:t>
      </w:r>
    </w:p>
    <w:p>
      <w:pPr>
        <w:pStyle w:val="ListBullet"/>
      </w:pPr>
      <w:r>
        <w:t>300 € Kinderzulage pro Kind (jährlich) Fördersatz: 1 € pro Euro (max. 300</w:t>
        <w:br/>
        <w:t xml:space="preserve">                €)</w:t>
      </w:r>
    </w:p>
    <w:p>
      <w:pPr>
        <w:pStyle w:val="ListBullet"/>
      </w:pPr>
      <w:r>
        <w:t>200 € Berufseinsteigerbonus (einmalig für unter 25-Jährige)</w:t>
      </w:r>
    </w:p>
    <w:p>
      <w:r>
        <w:t>Rechenbeispiel</w:t>
      </w:r>
    </w:p>
    <w:p>
      <w:pPr>
        <w:pStyle w:val="Heading3"/>
      </w:pPr>
      <w:r>
        <w:t>30 € Eigenbeitrag – 480 € staatliche Förderung</w:t>
      </w:r>
    </w:p>
    <w:p>
      <w:r>
        <w:t>Ein Mandant zahlt genau 30 € pro Monat (360 € p.a.) in das Depot ein. Hat er zusätzlich ein</w:t>
        <w:br/>
        <w:t xml:space="preserve">            förderberechtigtes Kind, sieht die Rechnung so aus:</w:t>
      </w:r>
    </w:p>
    <w:p>
      <w:r>
        <w:t>Der Staat legt in diesem Beispiel</w:t>
        <w:br/>
        <w:t xml:space="preserve">              auf jeden selbst</w:t>
        <w:br/>
        <w:t xml:space="preserve">              eingezahlten Euro weitere 1,33 Euro drauf.</w:t>
      </w:r>
    </w:p>
    <w:p>
      <w:pPr>
        <w:pStyle w:val="Heading2"/>
      </w:pPr>
      <w:r>
        <w:t>Der Berater als Förderoptimierer</w:t>
      </w:r>
    </w:p>
    <w:p>
      <w:r>
        <w:t>Das AV-Depot 2027 ist nicht</w:t>
        <w:br/>
        <w:t xml:space="preserve">        nur ein neues Produkt – es ist der Startschuss für eine neue Dimension der Altersvorsorgeberatung. Ihre Aufgabe:</w:t>
        <w:br/>
        <w:t xml:space="preserve">        Mandanten über das neue System aufklären und als ganzheitlicher Förderoptimierer den individuell besten</w:t>
        <w:br/>
        <w:t xml:space="preserve">        Produktmix gestalten.</w:t>
      </w:r>
    </w:p>
    <w:p>
      <w:pPr>
        <w:pStyle w:val="Heading3"/>
      </w:pPr>
      <w:r>
        <w:t>Das Prinzip: Erst die 30 €, dann der Rest</w:t>
      </w:r>
    </w:p>
    <w:p>
      <w:r>
        <w:t>Die ersten 30 €</w:t>
        <w:br/>
        <w:t xml:space="preserve">              Eigenbeitrag pro Monat sollten grundsätzlich in das AV-Depot fließen. Hier ist die staatliche</w:t>
        <w:br/>
        <w:t xml:space="preserve">            Förderquote mit 50 % am höchsten – kein anderes</w:t>
        <w:br/>
        <w:t xml:space="preserve">            gefördertes Produkt</w:t>
        <w:br/>
        <w:t xml:space="preserve">            erreicht diesen Hebel auf dem ersten Euro. Dieser Sockelbetrag ist damit gesetzt.</w:t>
      </w:r>
    </w:p>
    <w:p>
      <w:r>
        <w:t>Der darüber</w:t>
        <w:br/>
        <w:t xml:space="preserve">              hinausgehende</w:t>
        <w:br/>
        <w:t xml:space="preserve">              Sparbetrag sollte individuell – abhängig von Einkommenssituation, Steuerlast, Liquiditätsbedarf</w:t>
        <w:br/>
        <w:t xml:space="preserve">            und Rentenwunsch – auf die verfügbaren Produkte der privaten Altersvorsorge verteilt werden.</w:t>
      </w:r>
    </w:p>
    <w:p>
      <w:pPr>
        <w:pStyle w:val="Heading3"/>
      </w:pPr>
      <w:r>
        <w:t>Individuelle Stellschrauben im Beratungsgespräch</w:t>
      </w:r>
    </w:p>
    <w:p>
      <w:r>
        <w:t>Für Mandanten mit hoher Steuerlast kann die Basis-Rente (Rürup) als ergänzendes Produkt besonders attraktiv sein – mit bis zu 100 %</w:t>
        <w:br/>
        <w:t xml:space="preserve">                Sonderausgabenabzug auf den Beitrag.</w:t>
      </w:r>
    </w:p>
    <w:p>
      <w:r>
        <w:t>Die bAV Direktversicherung spart</w:t>
        <w:br/>
        <w:t xml:space="preserve">                zusätzlich Sozialabgaben auf den Beitrag und eignet sich besonders für Arbeitnehmer mit</w:t>
        <w:br/>
        <w:t xml:space="preserve">                Arbeitgeberzuschuss (seit 2022 Pflicht bei Entgeltumwandlung).</w:t>
      </w:r>
    </w:p>
    <w:p>
      <w:r>
        <w:t>Wer jederzeit auf Kapital zugreifen möchte, ist mit</w:t>
        <w:br/>
        <w:t xml:space="preserve">                einem privaten ETF-Depot besser bedient. Keine Bindungsfristen, keine</w:t>
        <w:br/>
        <w:t xml:space="preserve">                Förderrückforderung – dafür ohne staatliche Zulagen.</w:t>
      </w:r>
    </w:p>
    <w:p>
      <w:pPr>
        <w:pStyle w:val="Heading2"/>
      </w:pPr>
      <w:r>
        <w:t>Optionen für Mandanten mit bestehendem Riester-Vertrag</w:t>
      </w:r>
    </w:p>
    <w:p>
      <w:r>
        <w:t>Aktuell gibt es rund 15</w:t>
        <w:br/>
        <w:t xml:space="preserve">        Millionen Riester-Verträge in Deutschland. Bestandskunden müssen nichts überstürzen – haben aber vier</w:t>
        <w:br/>
        <w:t xml:space="preserve">          unterschiedliche Handlungsoptionen , die individuell zu prüfen sind.</w:t>
      </w:r>
    </w:p>
    <w:p>
      <w:pPr>
        <w:pStyle w:val="Heading3"/>
      </w:pPr>
      <w:r>
        <w:t>Option 1: Vertrag weiterführen (Bestandsschutz)</w:t>
      </w:r>
    </w:p>
    <w:p>
      <w:r>
        <w:t>Alle vor 2027 abgeschlossenen Riester-Verträge genießen Bestandsschutz. Sie laufen weiter und werden nach</w:t>
        <w:br/>
        <w:t xml:space="preserve">            den bisherigen Riester-Regeln gefördert – d.h. bisherige Zulagen und Steuervorteile bleiben erhalten,</w:t>
        <w:br/>
        <w:t xml:space="preserve">            solange weiter eingezahlt wird. Diese Option ist ohne jeglichen Aufwand und birgt kein Risiko.</w:t>
      </w:r>
    </w:p>
    <w:p>
      <w:r>
        <w:t>⚠️ Hinweis: Die bisherige 100%ige Beitragsgarantie und die damit verbundenen</w:t>
        <w:br/>
        <w:t xml:space="preserve">            Renditeeinschränkungen bleiben ebenfalls bestehen.</w:t>
      </w:r>
    </w:p>
    <w:p>
      <w:pPr>
        <w:pStyle w:val="Heading3"/>
      </w:pPr>
      <w:r>
        <w:t>Option 2: Vertrag behalten, Förderung umstellen</w:t>
      </w:r>
    </w:p>
    <w:p>
      <w:r>
        <w:t>Der bestehende Riester-Vertrag bleibt bestehen – lediglich die Fördersystematik wird auf</w:t>
        <w:br/>
        <w:t xml:space="preserve">            die neue AV-Depot-Logik umgestellt. Das bedeutet: Es gelten künftig die neuen Zulagensätze (50 Ct / 25 Ct</w:t>
        <w:br/>
        <w:t xml:space="preserve">            pro Euro) statt der alten Riester-Grundzulage (175 €). Das Produkt und das Kapital bleiben unverändert.</w:t>
      </w:r>
    </w:p>
    <w:p>
      <w:r>
        <w:t>⚠️ Wichtig: Beide Fördersysteme können nicht gleichzeitig für verschiedene</w:t>
        <w:br/>
        <w:t xml:space="preserve">            Verträge genutzt werden. Eine Umstellung schließt die gleichzeitige Förderung nach altem Riester-Recht aus.</w:t>
      </w:r>
    </w:p>
    <w:p>
      <w:pPr>
        <w:pStyle w:val="Heading3"/>
      </w:pPr>
      <w:r>
        <w:t>Option 3: Beitragsfrei stellen &amp; neu beginnen</w:t>
      </w:r>
    </w:p>
    <w:p>
      <w:r>
        <w:t>Der bestehende Riester-Vertrag wird ruhend gestellt (beitragsfrei) und das bereits angesparte Kapital</w:t>
        <w:br/>
        <w:t xml:space="preserve">            wächst weiter nach den bisherigen Vertragsbedingungen. Parallel dazu kann ein neues Altersvorsorgedepot</w:t>
        <w:br/>
        <w:t xml:space="preserve">            eröffnet und mit der neuen staatlichen Förderung bespart werden.</w:t>
      </w:r>
    </w:p>
    <w:p>
      <w:r>
        <w:t>⚠️ Hinweis: Bei Beitragsfreistellung entfallen die Riester-Zulagen für die ruhende Phase.</w:t>
        <w:br/>
        <w:t xml:space="preserve">            Bisherige Zulagen bleiben aber erhalten.</w:t>
      </w:r>
    </w:p>
    <w:p>
      <w:pPr>
        <w:pStyle w:val="Heading3"/>
      </w:pPr>
      <w:r>
        <w:t>Option 4: Übertrag ins neue System</w:t>
      </w:r>
    </w:p>
    <w:p>
      <w:r>
        <w:t>Mandanten können das angesparte Riester-Kapital förderunschädlich in ein zertifiziertes Altersvorsorgedepot</w:t>
        <w:br/>
        <w:t xml:space="preserve">            übertragen. Ein Rückzahlen der bisher erhaltenen Zulagen ist dabei nicht nötig. Das übertragene Kapital</w:t>
        <w:br/>
        <w:t xml:space="preserve">            unterliegt dann dem neuen Regelwerk – inklusive der neuen Auszahlungsoptionen und flexibleren</w:t>
        <w:br/>
        <w:t xml:space="preserve">            Garantiestufen.</w:t>
      </w:r>
    </w:p>
    <w:p>
      <w:r>
        <w:t>⚠️ Hinweis: Die genaue Übertragsprozedur ist noch nicht final definiert. Eine individuelle</w:t>
        <w:br/>
        <w:t xml:space="preserve">            Kosten-Nutzen-Analyse durch den Berater ist zwingend empfohlen.</w:t>
      </w:r>
    </w:p>
    <w:p>
      <w:pPr>
        <w:pStyle w:val="Heading2"/>
      </w:pPr>
      <w:r>
        <w:t>31. Dezember 2026: Die letzte Chance auf einen</w:t>
        <w:br/>
        <w:t xml:space="preserve">          Riester-Vertrag</w:t>
      </w:r>
    </w:p>
    <w:p>
      <w:r>
        <w:t>Ab dem 1. Januar 2027 können keine neuen Riester-Verträge mehr abgeschlossen werden . Für bestimmte Mandanten – insbesondere</w:t>
        <w:br/>
        <w:t xml:space="preserve">        Geringverdiener mit Kindern – ist das alte Riester-System unter bestimmten Bedingungen deutlich vorteilhafter</w:t>
        <w:br/>
        <w:t xml:space="preserve">        als das neue AV-Depot. Jetzt ist der Zeitpunkt für das proaktive Beratungsgespräch.</w:t>
      </w:r>
    </w:p>
    <w:p>
      <w:pPr>
        <w:pStyle w:val="Heading3"/>
      </w:pPr>
      <w:r>
        <w:t>Warum jetzt noch ein Riester-Vertrag?</w:t>
      </w:r>
    </w:p>
    <w:p>
      <w:r>
        <w:t>Ein Vertragsabschluss 2026 sichert die staatlichen</w:t>
        <w:br/>
        <w:t xml:space="preserve">                Riester-Zulagen für das laufende Sparjahr: bis zu 175 € Grundzulage plus alle Kinderzulagen à 300 €.</w:t>
      </w:r>
    </w:p>
    <w:p>
      <w:r>
        <w:t>Mit einem Riester-Bestandsvertrag stehen ab 2027 alle</w:t>
        <w:br/>
        <w:t xml:space="preserve">                vier Handlungsoptionen offen (weiterführen, übertragen, beitragsfrei stellen, Förderung umstellen).</w:t>
        <w:br/>
        <w:t xml:space="preserve">                Mandanten ohne Vertrag können das neue AV-Depot nur neu abschließen.</w:t>
      </w:r>
    </w:p>
    <w:p>
      <w:r>
        <w:t>Jeder Monat früheren Sparstarts zählt. Mandanten ohne</w:t>
        <w:br/>
        <w:t xml:space="preserve">                jegliche Altersvorsorge profitieren vom frühzeitigen Kapitalaufbau – unabhängig davon, ob sie 2027 ins</w:t>
        <w:br/>
        <w:t xml:space="preserve">                AV-Depot wechseln oder beim Riester-Vertrag bleiben.</w:t>
      </w:r>
    </w:p>
    <w:p>
      <w:pPr>
        <w:pStyle w:val="Heading3"/>
      </w:pPr>
      <w:r>
        <w:t>Für wen lohnt es sich besonders? Geringverdiener mit Kindern.</w:t>
      </w:r>
    </w:p>
    <w:p>
      <w:r>
        <w:t>Das alte Riester-System hat bei bestimmten Konstellationen einen entscheidenden</w:t>
        <w:br/>
        <w:t xml:space="preserve">            strukturellen Vorteil. Speziell bei Geringverdienern mit Kindern sind die Zulagen nach der</w:t>
        <w:br/>
        <w:t xml:space="preserve">            Riester-Systematik noch deutlich höher als in der neuen Fördersystematik. Beispielrechnung: Geringverdiener, 2 Kinder RIESTER — 60 €/Jahr</w:t>
        <w:br/>
        <w:t xml:space="preserve">                  Eigenanteil (bei Einkommen ≤ ~20.875 €) Grundzulage: 175</w:t>
        <w:br/>
        <w:t xml:space="preserve">                    € Kinderzulage: 2 ×</w:t>
        <w:br/>
        <w:t xml:space="preserve">                    300 € = 600 € 775 € Förderung AV-DEPOT — 120</w:t>
        <w:br/>
        <w:t xml:space="preserve">                  €/Jahr Eigenanteil Grundzulage: 60 €</w:t>
        <w:br/>
        <w:t xml:space="preserve">                    (50% prop.) Kinderzulage: 2 ×</w:t>
        <w:br/>
        <w:t xml:space="preserve">                    120 € = 240 € 300 € Förderung ⚠️ Bedingung für volle Riester-Förderung: Eigenbeitrag + Zulagen ≥ 4% des Vorjahresbruttos.</w:t>
        <w:br/>
        <w:t xml:space="preserve">              Mit 2 Kindern (775 € Zulagen) genügt der Sockelbetrag (60 €) für Einkommen bis ca. 20.875 €.</w:t>
        <w:br/>
        <w:t xml:space="preserve">              Die Kinderzulage im AV-Depot ist proportional zum Eigenbeitrag; volle 300 €/Kind ab 25 €/Monat.</w:t>
      </w:r>
    </w:p>
    <w:p>
      <w:pPr>
        <w:pStyle w:val="Heading4"/>
      </w:pPr>
      <w:r>
        <w:t>Beispielrechnung: Geringverdiener, 2 Kinder</w:t>
      </w:r>
    </w:p>
    <w:p>
      <w:pPr>
        <w:pStyle w:val="Heading3"/>
      </w:pPr>
      <w:r>
        <w:t>Hier macht Riester noch Sinn</w:t>
      </w:r>
    </w:p>
    <w:p>
      <w:r>
        <w:t>Bis zu</w:t>
        <w:br/>
        <w:t xml:space="preserve">          diesem Vorjahresbruttoeinkommen ist die Riester-Zulage für Eigenbeiträge unter 30 € im Monat höher, als die</w:t>
        <w:br/>
        <w:t xml:space="preserve">          Zulage im neuen AV-Depot.</w:t>
      </w:r>
    </w:p>
    <w:p>
      <w:r>
        <w:t>Ab</w:t>
        <w:br/>
        <w:t xml:space="preserve">          einem monatlichen Eigenbeitrag von 30 € ist die Förderung im neuen AV-Depot stets höher als im Riester-System.</w:t>
      </w:r>
    </w:p>
    <w:p>
      <w:pPr>
        <w:pStyle w:val="Heading2"/>
      </w:pPr>
      <w:r>
        <w:t>Weitere Rahmenbedingungen</w:t>
      </w:r>
    </w:p>
    <w:p>
      <w:pPr>
        <w:pStyle w:val="Heading3"/>
      </w:pPr>
      <w:r>
        <w:t>Ab wann stehen die neuen Produkte zur Verfügung?</w:t>
      </w:r>
    </w:p>
    <w:p>
      <w:r>
        <w:t>Der Bundesrat hat die Reform am 08. Mai 2026 final beschlossen. Nun benötigen die Produktanbieter</w:t>
        <w:br/>
        <w:t xml:space="preserve">              (Banken, Versicherungen, Fondsgesellschaften) Zeit, um die neuen, zertifizierten Altersvorsorgedepots zu</w:t>
        <w:br/>
        <w:t xml:space="preserve">              entwickeln und technisch sowie administrativ umzusetzen.</w:t>
      </w:r>
    </w:p>
    <w:p>
      <w:r>
        <w:t>Aus diesem Grund werden die ersten konkreten und abschließbaren Produkte voraussichtlich erst ab Anfang 2027 flächendeckend auf dem Markt zur Verfügung stehen. Das restliche Jahr 2026</w:t>
        <w:br/>
        <w:t xml:space="preserve">              dient somit als wichtiges Vorbereitungs- und Übergangsjahr für die strategische Beratung.</w:t>
      </w:r>
    </w:p>
    <w:p>
      <w:pPr>
        <w:pStyle w:val="Heading3"/>
      </w:pPr>
      <w:r>
        <w:t>Wie funktioniert die Auszahlungsphase?</w:t>
      </w:r>
    </w:p>
    <w:p>
      <w:r>
        <w:t>Das neue System bietet mehr Flexibilität als das bisherige Riester-System. Ab dem vollendeten 65.</w:t>
        <w:br/>
        <w:t xml:space="preserve">                Lebensjahr stehen zwei Optionen zur Verfügung:</w:t>
      </w:r>
    </w:p>
    <w:p>
      <w:pPr>
        <w:pStyle w:val="ListBullet"/>
      </w:pPr>
      <w:r>
        <w:t>Lebenslange Rente: Eine monatliche Rente wird bis zum Lebensende ausgezahlt – analog</w:t>
        <w:br/>
        <w:t xml:space="preserve">                zum bisherigen Riester-System.</w:t>
      </w:r>
    </w:p>
    <w:p>
      <w:pPr>
        <w:pStyle w:val="ListBullet"/>
      </w:pPr>
      <w:r>
        <w:t>Auszahlplan bis mindestens 85. Lebensjahr: Das Kapital wird planmäßig über einen</w:t>
        <w:br/>
        <w:t xml:space="preserve">                definierten Zeitraum ausgezahlt. Ab dem 85. Lebensjahr muss eine lebenslange Leibrente den Restbetrag</w:t>
        <w:br/>
        <w:t xml:space="preserve">                absichern (sofern noch Kapital vorhanden).</w:t>
      </w:r>
    </w:p>
    <w:p>
      <w:r>
        <w:t>Zusätzlich kann beim Renteneintritt eine Einmalauszahlung von bis zu 30 % des angesparten</w:t>
        <w:br/>
        <w:t xml:space="preserve">                Kapitals entnommen werden. Der verbleibende Betrag wird dann über die gewählte Auszahlungsform</w:t>
        <w:br/>
        <w:t xml:space="preserve">              verrentet.</w:t>
      </w:r>
    </w:p>
    <w:p>
      <w:pPr>
        <w:pStyle w:val="Heading3"/>
      </w:pPr>
      <w:r>
        <w:t>Wie erfolgt die steuerliche Behandlung?</w:t>
      </w:r>
    </w:p>
    <w:p>
      <w:r>
        <w:t>Ansparphase: Sowohl die Eigenbeiträge als auch die staatlichen Zulagen können gemeinsam als Sonderausgaben in der Einkommensteuererklärung geltend gemacht werden.</w:t>
        <w:br/>
        <w:t xml:space="preserve">              Kapitalerträge, Dividenden und Kursgewinne innerhalb des Depots bleiben in der Ansparphase vollständig</w:t>
        <w:br/>
        <w:t xml:space="preserve">              steuerfrei (keine Abgeltungsteuer, keine Vorabpauschale).</w:t>
      </w:r>
    </w:p>
    <w:p>
      <w:r>
        <w:t>Günstigerprüfung: Das Finanzamt prüft automatisch, ob der steuerliche Vorteil aus dem</w:t>
        <w:br/>
        <w:t xml:space="preserve">              Sonderausgabenabzug oder die direkte Zulage für den Mandanten günstiger ist. Übersteigt die</w:t>
        <w:br/>
        <w:t xml:space="preserve">              Steuerersparnis die erhaltene Zulage, wird die Differenz als zusätzliche Steuererstattung ausgezahlt. Für</w:t>
        <w:br/>
        <w:t xml:space="preserve">              Besserverdienende kann der Sonderausgabenabzug daher besonders attraktiv sein.</w:t>
      </w:r>
    </w:p>
    <w:p>
      <w:r>
        <w:t>Beitragsgrenzen: Die steuerliche Absetzbarkeit der Eigenbeiträge plus Zulagen gilt bis</w:t>
        <w:br/>
        <w:t xml:space="preserve">              zu einem Eigenbeitrag von 1.800 €/Jahr. Einzahlungen darüber hinaus (bis max. 6.840 €/Jahr) erhalten keine</w:t>
        <w:br/>
        <w:t xml:space="preserve">              Zulagen, sind aber weiterhin steuerbegünstigt in der Anlage (keine Kapitalertragsteuer).</w:t>
      </w:r>
    </w:p>
    <w:p>
      <w:r>
        <w:t>Auszahlungsphase: Die Auszahlungen unterliegen der nachgelagerten Besteuerung mit dem</w:t>
        <w:br/>
        <w:t xml:space="preserve">              dann gültigen persönlichen Einkommensteuersatz – typischerweise niedriger als in der Erwerbsphase.</w:t>
      </w:r>
    </w:p>
    <w:p>
      <w:pPr>
        <w:pStyle w:val="Heading3"/>
      </w:pPr>
      <w:r>
        <w:t>Wer ist förderberechtigt – auch Selbstständige?</w:t>
      </w:r>
    </w:p>
    <w:p>
      <w:r>
        <w:t>Das neue AV-Depot erweitert den Förderkreis erheblich gegenüber dem bisherigen Riester-System. Während</w:t>
        <w:br/>
        <w:t xml:space="preserve">              Riester auf Pflichtversicherte (Arbeitnehmer, Beamte) beschränkt war, steht das neue</w:t>
        <w:br/>
        <w:t xml:space="preserve">              System grundsätzlich auch Selbstständigen und Freiberuflern offen – sofern sie nicht</w:t>
        <w:br/>
        <w:t xml:space="preserve">              bereits eine vergleichbare Altersvorsorge (z. B. berufsständisches Versorgungswerk) nachweisen müssen.</w:t>
      </w:r>
    </w:p>
    <w:p>
      <w:r>
        <w:t>Dies ist ein wesentlicher Fortschritt: Rund 4 Millionen Selbstständige in Deutschland hatten bisher</w:t>
        <w:br/>
        <w:t xml:space="preserve">              keinen Zugang zu staatlich geförderter privater Altersvorsorge auf dieser Ebene. Für Berater eröffnet sich</w:t>
        <w:br/>
        <w:t xml:space="preserve">              damit eine neue, bisher kaum erschlossene Zielgruppe.</w:t>
      </w:r>
    </w:p>
    <w:p>
      <w:pPr>
        <w:pStyle w:val="Heading3"/>
      </w:pPr>
      <w:r>
        <w:t>Welche Nachteile hat das Standarddepot gegenüber dem regulären AV-Depot?</w:t>
      </w:r>
    </w:p>
    <w:p>
      <w:r>
        <w:t>Das Standarddepot ist als vereinfachtes Einstiegsprodukt konzipiert und eignet sich für Mandanten, die</w:t>
        <w:br/>
        <w:t xml:space="preserve">              keine aktive Anlageentscheidung treffen möchten. Es bringt jedoch zwei wesentliche Einschränkungen mit</w:t>
        <w:br/>
        <w:t xml:space="preserve">              sich, die für viele Mandanten relevant sein können:</w:t>
      </w:r>
    </w:p>
    <w:p>
      <w:r>
        <w:t>1. Starre Fondsbeschränkung auf 2 Fonds: Das Standarddepot besteht gesetzlich aus genau</w:t>
        <w:br/>
        <w:t xml:space="preserve">              zwei vom Anbieter vorausgewählten Fonds – einem risikoarmen (Risikoklasse 1–2) und einem</w:t>
        <w:br/>
        <w:t xml:space="preserve">              chancenorientierten (Risikoklasse 3–5). Eine individuelle Fondsauswahl, der Einsatz von Einzel-ETFs nach</w:t>
        <w:br/>
        <w:t xml:space="preserve">              eigener Präferenz oder eine breitere Diversifikation sind im Standarddepot nicht möglich. Wer eine</w:t>
        <w:br/>
        <w:t xml:space="preserve">              selbstbestimmte Anlagestrategie bevorzugt, ist auf das reguläre Altersvorsorgedepot angewiesen.</w:t>
      </w:r>
    </w:p>
    <w:p>
      <w:r>
        <w:t>2. Keine Eigenheim-Rente (Wohnentnahme): Die im AV-Depot grundsätzlich vorgesehene</w:t>
        <w:br/>
        <w:t xml:space="preserve">              Möglichkeit, gefördertes Kapital zur Finanzierung oder Tilgung von selbstgenutztem Wohneigentum zu</w:t>
        <w:br/>
        <w:t xml:space="preserve">              entnehmen (Nachfolger des Wohn-Riesters), steht beim Standarddepot nicht zur Verfügung.</w:t>
        <w:br/>
        <w:t xml:space="preserve">              Mandanten, die mittelfristig Wohneigentum anstreben und die Förderung auch dafür nutzen möchten, sollten</w:t>
        <w:br/>
        <w:t xml:space="preserve">              daher von Beginn an ein reguläres Altersvorsorgedepot wählen.</w:t>
      </w:r>
    </w:p>
    <w:p>
      <w:r>
        <w:t>⚠️ Hinweis für Berater: Die Produktentscheidung zwischen Standarddepot und regulärem</w:t>
        <w:br/>
        <w:t xml:space="preserve">              AV-Depot sollte bereits bei Abschluss bewusst getroffen werden – ein späterer Wechsel ist zwar möglich,</w:t>
        <w:br/>
        <w:t xml:space="preserve">              aber ggf. mit Kosten verbunden. Insbesondere die Wohnentnahmeoption kann nachträglich nicht „aktiviert"</w:t>
        <w:br/>
        <w:t xml:space="preserve">              werden.</w:t>
      </w:r>
    </w:p>
    <w:p>
      <w:pPr>
        <w:pStyle w:val="Heading3"/>
      </w:pPr>
      <w:r>
        <w:t>Kann man mehr als 150 € im Monat in das AV-Depot einzahlen?</w:t>
      </w:r>
    </w:p>
    <w:p>
      <w:r>
        <w:t>Ja, Einzahlungen über 150 € pro Monat (1.800 € pro Jahr) sind möglich. Laut dem Bundesfinanzministerium</w:t>
        <w:br/>
        <w:t xml:space="preserve">              ist die jährliche Einzahlung in einen Altersvorsorgevertrag auf einen Höchstbetrag von 6.840 € (570 €/Monat) begrenzt. Die staatliche Förderung</w:t>
        <w:br/>
        <w:t xml:space="preserve">              greift jedoch</w:t>
        <w:br/>
        <w:t xml:space="preserve">              nur für den geförderten Anteil bis 1.800 €/Jahr – Beiträge darüber werden nicht mehr mit Zulagen bedacht.</w:t>
      </w:r>
    </w:p>
    <w:p>
      <w:r>
        <w:t>Die steuerliche Behandlung des ungeförderten Anteils (über 150 €/Monat) unterscheidet sich von der des</w:t>
        <w:br/>
        <w:t xml:space="preserve">              geförderten:</w:t>
      </w:r>
    </w:p>
    <w:p>
      <w:pPr>
        <w:pStyle w:val="ListBullet"/>
      </w:pPr>
      <w:r>
        <w:t>Ansparphase: Der übersteigende Beitrag wird aus bereits versteuertem Einkommen</w:t>
        <w:br/>
        <w:t xml:space="preserve">                (Nettoeinkommen) geleistet. Ein Sonderausgabenabzug ist für diesen Teil nicht möglich. Erträge und</w:t>
        <w:br/>
        <w:t xml:space="preserve">                Gewinne innerhalb des Depots wachsen jedoch steuerlich begünstigt.</w:t>
      </w:r>
    </w:p>
    <w:p>
      <w:pPr>
        <w:pStyle w:val="ListBullet"/>
      </w:pPr>
      <w:r>
        <w:t>Rentenphase: Da die übersteigenden Beiträge bereits versteuert wurden, wird in der</w:t>
        <w:br/>
        <w:t xml:space="preserve">                Auszahlungsphase nur der Ertragsanteil besteuert – also der Teil, der auf Kursgewinne und Erträge</w:t>
        <w:br/>
        <w:t xml:space="preserve">                entfällt. Das eingezahlte Kapital selbst wird nicht erneut belastet.</w:t>
      </w:r>
    </w:p>
    <w:p>
      <w:pPr>
        <w:pStyle w:val="Heading3"/>
      </w:pPr>
      <w:r>
        <w:t>Kann man sich das angesparte Kapital auch auf einmal auszahlen lassen?</w:t>
      </w:r>
    </w:p>
    <w:p>
      <w:r>
        <w:t>Eine vollständige Einmalauszahlung des Kapitals ist nicht möglich. Sowohl im alten Riester-System als</w:t>
        <w:br/>
        <w:t xml:space="preserve">              auch im neuen AV-Depot gilt: Beim Rentenbeginn (ab 65 Jahren) können maximal 30 % des angesparten</w:t>
        <w:br/>
        <w:t xml:space="preserve">                Kapitals als Einmalbetrag entnommen werden. Der verbleibende Betrag (mindestens 70 %) muss als</w:t>
        <w:br/>
        <w:t xml:space="preserve">              monatliche Rente oder Auszahlplan abgerufen werden.</w:t>
      </w:r>
    </w:p>
    <w:p>
      <w:r>
        <w:t>Diese Regelung gilt unabhängig davon, ob Förderung nach dem alten Riester- oder dem neuen AV-Depot-System</w:t>
        <w:br/>
        <w:t xml:space="preserve">              erfolgt ist. Eine wichtige Beratungsaufgabe ist es, Mandanten frühzeitig auf diese Auszahlungsstruktur</w:t>
        <w:br/>
        <w:t xml:space="preserve">              hinzuweisen und die Auszahlungsstrategie entsprechend zu planen.</w:t>
      </w:r>
    </w:p>
    <w:p>
      <w:pPr>
        <w:pStyle w:val="Heading3"/>
      </w:pPr>
      <w:r>
        <w:t>Wie viele geförderte Altersvorsorge­verträge kann man maximal haben?</w:t>
      </w:r>
    </w:p>
    <w:p>
      <w:r>
        <w:t>Pro Person können insgesamt maximal zwei</w:t>
        <w:br/>
        <w:t xml:space="preserve">                Altersvorsorgeverträge gleichzeitig staatlich gefördert werden. Das gilt unabhängig davon, ob es sich um Altersvorsorgedepots,</w:t>
        <w:br/>
        <w:t xml:space="preserve">              umgestellte Riester-Verträge oder eine Kombination aus beidem handelt.</w:t>
      </w:r>
    </w:p>
    <w:p>
      <w:r>
        <w:t>Wichtig: Die Förderung – also Grundzulage und ggf. Kinderzulage – wird personenbezogen gewährt und nicht pro Vertrag doppelt ausgezahlt. Auch der geförderte Eigenbeitrag ist auf insgesamt 1.800 €/Jahr gedeckelt, verteilt über alle Verträge zusammen.</w:t>
      </w:r>
    </w:p>
    <w:p>
      <w:r>
        <w:t>Entscheidend dabei: Die alte Riester-Förderung (pauschale Grundzulage) und die neue AV-Depot-Förderung</w:t>
        <w:br/>
        <w:t xml:space="preserve">              (beitragsabhängige Staffelzulage) können nicht gleichzeitig bezogen werden. Wer zwei</w:t>
        <w:br/>
        <w:t xml:space="preserve">              Verträge bespart, erhält für beide Verträge die neue Fördersystematik – eine parallele</w:t>
        <w:br/>
        <w:t xml:space="preserve">              Förderung nach dem alten Riester-Recht ist ausgeschlossen.</w:t>
      </w:r>
    </w:p>
    <w:p>
      <w:pPr>
        <w:pStyle w:val="Heading3"/>
      </w:pPr>
      <w:r>
        <w:t>Sind vorzeitige Verfügungen möglich?</w:t>
      </w:r>
    </w:p>
    <w:p>
      <w:r>
        <w:t>Die Auszahlungsphase beginnt regulär ab dem 65. Lebensjahr. Eine vorzeitige Entnahme des Kapitals ist</w:t>
        <w:br/>
        <w:t xml:space="preserve">              zwar rechtlich möglich, führt jedoch in der Regel zum Verlust der staatlichen Förderung (Zulagen und</w:t>
        <w:br/>
        <w:t xml:space="preserve">              Steuervorteile müssen zurückgezahlt werden). Eine Ausnahme bildet die wohnungswirtschaftliche Verwendung –</w:t>
        <w:br/>
        <w:t xml:space="preserve">              diese steht jedoch nur im regulären Altersvorsorgedepot zur Verfügung, nicht im Standarddepot.</w:t>
      </w:r>
    </w:p>
    <w:p>
      <w:pPr>
        <w:pStyle w:val="Heading2"/>
      </w:pPr>
      <w:r>
        <w:t>Social-Media-Grafiken zum Download</w:t>
      </w:r>
    </w:p>
    <w:p>
      <w:r>
        <w:t>Laden Sie diese aufbereiteten</w:t>
        <w:br/>
        <w:t xml:space="preserve">        Grafiken herunter und teilen Sie sie per Social Media oder direkt mit Ihren Mandanten – für eine verständliche</w:t>
        <w:br/>
        <w:t xml:space="preserve">        und professionelle Kommunikation rund um das neue Altersvorsorgedepot.</w:t>
      </w:r>
    </w:p>
    <w:p>
      <w:pPr>
        <w:pStyle w:val="Heading4"/>
      </w:pPr>
      <w:r>
        <w:t>Die 3 Anlagewege</w:t>
      </w:r>
    </w:p>
    <w:p>
      <w:r>
        <w:t>Standarddepot, individuelles AV-Depot und</w:t>
        <w:br/>
        <w:t xml:space="preserve">              Versicherungsmantel – auf einen Blick.</w:t>
      </w:r>
    </w:p>
    <w:p>
      <w:pPr>
        <w:pStyle w:val="Heading4"/>
      </w:pPr>
      <w:r>
        <w:t>Die neue Zulagensystematik</w:t>
      </w:r>
    </w:p>
    <w:p>
      <w:r>
        <w:t>Förderstufen, Kinderzulage und</w:t>
        <w:br/>
        <w:t xml:space="preserve">              Berufseinsteiger-Bonus verständlich erklärt.</w:t>
      </w:r>
    </w:p>
    <w:p>
      <w:pPr>
        <w:pStyle w:val="Heading4"/>
      </w:pPr>
      <w:r>
        <w:t>Optionen für Riester-Mandanten</w:t>
      </w:r>
    </w:p>
    <w:p>
      <w:r>
        <w:t>Die 4 Handlungsoptionen für Inhaber eines</w:t>
        <w:br/>
        <w:t xml:space="preserve">              bestehenden Riester-Vertrags.</w:t>
      </w:r>
    </w:p>
    <w:p>
      <w:pPr>
        <w:pStyle w:val="Heading4"/>
      </w:pPr>
      <w:r>
        <w:t>Handlungsbedarf in 2026</w:t>
      </w:r>
    </w:p>
    <w:p>
      <w:r>
        <w:t>Letzte Chance auf einen Riester-Vertrag –</w:t>
        <w:br/>
        <w:t xml:space="preserve">              besonders relevant für Geringverdiener mit Kindern.</w:t>
      </w:r>
    </w:p>
    <w:p>
      <w:pPr>
        <w:pStyle w:val="Heading4"/>
      </w:pPr>
      <w:r>
        <w:t>Musteranschreiben Riester-Mandanten</w:t>
      </w:r>
    </w:p>
    <w:p>
      <w:r>
        <w:t>Druckfertiges Anschreiben für Mandanten mit</w:t>
        <w:br/>
        <w:t xml:space="preserve">              bestehendem Riester-Vertrag – zur Erstinformation und Terminvereinbarung.</w:t>
      </w:r>
    </w:p>
    <w:p>
      <w:pPr>
        <w:pStyle w:val="Heading2"/>
      </w:pPr>
      <w:r>
        <w:t>Vorbereitung auf den Systemwechsel</w:t>
      </w:r>
    </w:p>
    <w:p>
      <w:r>
        <w:t>Die Vorbereitungen für das neue AV-Depot laufen auf</w:t>
        <w:br/>
        <w:t xml:space="preserve">          Hochtouren. Als Berater können Sie die Zeit bis</w:t>
        <w:br/>
        <w:t xml:space="preserve">          2027 nutzen, um bestehende Vorsorgestrukturen ihrer Mandanten zu analysieren und den möglichen Bedarf für</w:t>
        <w:br/>
        <w:t xml:space="preserve">          einen Wechsel oder Neuabschluss zu evaluieren.</w:t>
      </w:r>
    </w:p>
    <w:p>
      <w:pPr>
        <w:pStyle w:val="Heading3"/>
      </w:pPr>
      <w:r>
        <w:t>Tabelle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Anzahl Kinder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Max. Einkommen (Vorjahresbrutto)</w:t>
            </w:r>
          </w:p>
        </w:tc>
        <w:tc>
          <w:tcPr>
            <w:tcW w:type="dxa" w:w="1440"/>
          </w:tcPr>
          <w:p>
            <w:r>
              <w:t>13.375 €</w:t>
            </w:r>
          </w:p>
        </w:tc>
        <w:tc>
          <w:tcPr>
            <w:tcW w:type="dxa" w:w="1440"/>
          </w:tcPr>
          <w:p>
            <w:r>
              <w:t>20.875 €</w:t>
            </w:r>
          </w:p>
        </w:tc>
        <w:tc>
          <w:tcPr>
            <w:tcW w:type="dxa" w:w="1440"/>
          </w:tcPr>
          <w:p>
            <w:r>
              <w:t>28.375 €</w:t>
            </w:r>
          </w:p>
        </w:tc>
        <w:tc>
          <w:tcPr>
            <w:tcW w:type="dxa" w:w="1440"/>
          </w:tcPr>
          <w:p>
            <w:r>
              <w:t>35.875 €</w:t>
            </w:r>
          </w:p>
        </w:tc>
        <w:tc>
          <w:tcPr>
            <w:tcW w:type="dxa" w:w="1440"/>
          </w:tcPr>
          <w:p>
            <w:r>
              <w:t>43.375 €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